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7F" w:rsidRDefault="00FE22E6" w:rsidP="000D1B91">
      <w:pPr>
        <w:pStyle w:val="Headingnon-numbered"/>
      </w:pPr>
      <w:r>
        <w:t xml:space="preserve">FINAL </w:t>
      </w:r>
      <w:r w:rsidR="0093168C">
        <w:t xml:space="preserve">report </w:t>
      </w:r>
      <w:r w:rsidR="000257E1">
        <w:t>on Australia’s future emissions reduction targets</w:t>
      </w:r>
      <w:r w:rsidR="001C4816">
        <w:t>, 2 July 2015</w:t>
      </w:r>
    </w:p>
    <w:p w:rsidR="00BF4560" w:rsidRPr="00771C73" w:rsidRDefault="0093168C" w:rsidP="00771C73">
      <w:pPr>
        <w:pStyle w:val="BodyText"/>
      </w:pPr>
      <w:r w:rsidRPr="00771C73">
        <w:t>In its</w:t>
      </w:r>
      <w:r w:rsidR="003037F7" w:rsidRPr="00771C73">
        <w:t xml:space="preserve"> </w:t>
      </w:r>
      <w:r w:rsidR="000257E1" w:rsidRPr="00771C73">
        <w:t>Draft R</w:t>
      </w:r>
      <w:r w:rsidR="003037F7" w:rsidRPr="00771C73">
        <w:t xml:space="preserve">eport </w:t>
      </w:r>
      <w:r w:rsidRPr="00771C73">
        <w:t xml:space="preserve">to the Minister for the Environment on 22 April </w:t>
      </w:r>
      <w:r w:rsidR="003037F7" w:rsidRPr="00771C73">
        <w:t xml:space="preserve">on Australia’s future </w:t>
      </w:r>
      <w:r w:rsidR="008A39EE" w:rsidRPr="00771C73">
        <w:t xml:space="preserve">greenhouse gas </w:t>
      </w:r>
      <w:r w:rsidR="003037F7" w:rsidRPr="00771C73">
        <w:t xml:space="preserve">emissions reduction targets, </w:t>
      </w:r>
      <w:r w:rsidRPr="00771C73">
        <w:t>the Authority recommended</w:t>
      </w:r>
      <w:r w:rsidR="00BF4560" w:rsidRPr="00771C73">
        <w:t xml:space="preserve"> that at the upcoming Paris </w:t>
      </w:r>
      <w:r w:rsidR="00D163E1" w:rsidRPr="00771C73">
        <w:t xml:space="preserve">climate </w:t>
      </w:r>
      <w:r w:rsidR="001515CC" w:rsidRPr="00771C73">
        <w:t>c</w:t>
      </w:r>
      <w:r w:rsidR="00BF4560" w:rsidRPr="00771C73">
        <w:t>onference Australia commit to:</w:t>
      </w:r>
    </w:p>
    <w:p w:rsidR="00BF4560" w:rsidRPr="00FC3A53" w:rsidRDefault="00BF4560" w:rsidP="003B29EA">
      <w:pPr>
        <w:pStyle w:val="ListBullet"/>
        <w:rPr>
          <w:rFonts w:eastAsiaTheme="minorHAnsi"/>
        </w:rPr>
      </w:pPr>
      <w:r w:rsidRPr="00FC3A53">
        <w:rPr>
          <w:rFonts w:eastAsiaTheme="minorHAnsi"/>
        </w:rPr>
        <w:t>a 2025 target of 30 per cent below 2000 levels</w:t>
      </w:r>
      <w:r w:rsidR="00EF109B">
        <w:rPr>
          <w:rFonts w:eastAsiaTheme="minorHAnsi"/>
        </w:rPr>
        <w:t>;</w:t>
      </w:r>
      <w:r w:rsidR="003D3469">
        <w:rPr>
          <w:rFonts w:eastAsiaTheme="minorHAnsi"/>
        </w:rPr>
        <w:t xml:space="preserve"> and</w:t>
      </w:r>
    </w:p>
    <w:p w:rsidR="00BF4560" w:rsidRPr="00FC3A53" w:rsidRDefault="00BF4560" w:rsidP="003B29EA">
      <w:pPr>
        <w:pStyle w:val="ListBullet"/>
        <w:rPr>
          <w:rFonts w:eastAsiaTheme="minorHAnsi"/>
        </w:rPr>
      </w:pPr>
      <w:r w:rsidRPr="00FC3A53">
        <w:rPr>
          <w:rFonts w:eastAsiaTheme="minorHAnsi"/>
        </w:rPr>
        <w:t xml:space="preserve">further reductions by 2030 </w:t>
      </w:r>
      <w:r w:rsidR="0093168C">
        <w:rPr>
          <w:rFonts w:eastAsiaTheme="minorHAnsi"/>
        </w:rPr>
        <w:t>of</w:t>
      </w:r>
      <w:r w:rsidR="0093168C" w:rsidRPr="00FC3A53">
        <w:rPr>
          <w:rFonts w:eastAsiaTheme="minorHAnsi"/>
        </w:rPr>
        <w:t xml:space="preserve"> </w:t>
      </w:r>
      <w:r w:rsidRPr="00FC3A53">
        <w:rPr>
          <w:rFonts w:eastAsiaTheme="minorHAnsi"/>
        </w:rPr>
        <w:t>between 40</w:t>
      </w:r>
      <w:r w:rsidR="003037F7" w:rsidRPr="00FC3A53">
        <w:rPr>
          <w:rFonts w:eastAsiaTheme="minorHAnsi"/>
        </w:rPr>
        <w:t xml:space="preserve"> and </w:t>
      </w:r>
      <w:r w:rsidRPr="00FC3A53">
        <w:rPr>
          <w:rFonts w:eastAsiaTheme="minorHAnsi"/>
        </w:rPr>
        <w:t>60 per cent below 2000 levels.</w:t>
      </w:r>
    </w:p>
    <w:p w:rsidR="00BF4560" w:rsidRPr="00771C73" w:rsidRDefault="00BF4560" w:rsidP="00771C73">
      <w:pPr>
        <w:pStyle w:val="BodyText"/>
      </w:pPr>
      <w:r w:rsidRPr="00771C73">
        <w:t xml:space="preserve">The Authority indicated </w:t>
      </w:r>
      <w:r w:rsidR="003037F7" w:rsidRPr="00771C73">
        <w:t xml:space="preserve">it would review </w:t>
      </w:r>
      <w:r w:rsidRPr="00771C73">
        <w:t xml:space="preserve">these </w:t>
      </w:r>
      <w:r w:rsidR="0093168C" w:rsidRPr="00771C73">
        <w:t xml:space="preserve">preliminary </w:t>
      </w:r>
      <w:r w:rsidRPr="00771C73">
        <w:t>recommendations in the light of feedback from stakeholders and any new information that became available.</w:t>
      </w:r>
    </w:p>
    <w:p w:rsidR="00BF4560" w:rsidRPr="00771C73" w:rsidRDefault="00BF4560" w:rsidP="00771C73">
      <w:pPr>
        <w:pStyle w:val="BodyText"/>
      </w:pPr>
      <w:r w:rsidRPr="00771C73">
        <w:t>The consultati</w:t>
      </w:r>
      <w:r w:rsidR="0093168C" w:rsidRPr="00771C73">
        <w:t>ve process</w:t>
      </w:r>
      <w:r w:rsidRPr="00771C73">
        <w:t xml:space="preserve"> elicited a good </w:t>
      </w:r>
      <w:r w:rsidR="0093168C" w:rsidRPr="00771C73">
        <w:t>exchange of views</w:t>
      </w:r>
      <w:r w:rsidR="00824F3F" w:rsidRPr="00771C73">
        <w:t>,</w:t>
      </w:r>
      <w:r w:rsidRPr="00771C73">
        <w:t xml:space="preserve"> which helped to clarify </w:t>
      </w:r>
      <w:r w:rsidR="0093168C" w:rsidRPr="00771C73">
        <w:t xml:space="preserve">the Authority’s </w:t>
      </w:r>
      <w:r w:rsidRPr="00771C73">
        <w:t>understanding</w:t>
      </w:r>
      <w:r w:rsidR="003037F7" w:rsidRPr="00771C73">
        <w:t xml:space="preserve"> of the </w:t>
      </w:r>
      <w:r w:rsidRPr="00771C73">
        <w:t xml:space="preserve">positions of various </w:t>
      </w:r>
      <w:r w:rsidR="003037F7" w:rsidRPr="00771C73">
        <w:t>stakeholders</w:t>
      </w:r>
      <w:r w:rsidRPr="00771C73">
        <w:t>. From the Authority</w:t>
      </w:r>
      <w:r w:rsidR="00E06BB7">
        <w:t>’</w:t>
      </w:r>
      <w:r w:rsidRPr="00771C73">
        <w:t>s perspective, these discussions</w:t>
      </w:r>
      <w:r w:rsidR="00824F3F" w:rsidRPr="00771C73">
        <w:t>—</w:t>
      </w:r>
      <w:r w:rsidRPr="00771C73">
        <w:t xml:space="preserve">and the limited new information which has </w:t>
      </w:r>
      <w:r w:rsidR="0093168C" w:rsidRPr="00771C73">
        <w:t>emerged</w:t>
      </w:r>
      <w:r w:rsidRPr="00771C73">
        <w:t xml:space="preserve"> in recent weeks</w:t>
      </w:r>
      <w:r w:rsidR="00824F3F" w:rsidRPr="00771C73">
        <w:t>—</w:t>
      </w:r>
      <w:r w:rsidRPr="00771C73">
        <w:t>have strengthened the Authority's conviction in the overall appropriateness of its preliminary recommendations. In particular</w:t>
      </w:r>
      <w:r w:rsidR="003D3469">
        <w:t>,</w:t>
      </w:r>
      <w:r w:rsidR="0093168C" w:rsidRPr="00771C73">
        <w:t xml:space="preserve"> a broad measure of agreement existed around the following points</w:t>
      </w:r>
      <w:r w:rsidRPr="00771C73">
        <w:t>:</w:t>
      </w:r>
    </w:p>
    <w:p w:rsidR="005469EC" w:rsidRPr="003B29EA" w:rsidRDefault="0093168C" w:rsidP="003B29EA">
      <w:pPr>
        <w:pStyle w:val="ListBullet"/>
        <w:rPr>
          <w:rFonts w:eastAsiaTheme="minorHAnsi"/>
        </w:rPr>
      </w:pPr>
      <w:r w:rsidRPr="003B29EA">
        <w:rPr>
          <w:rFonts w:eastAsiaTheme="minorHAnsi"/>
        </w:rPr>
        <w:t xml:space="preserve">the determination of </w:t>
      </w:r>
      <w:r w:rsidR="005469EC" w:rsidRPr="003B29EA">
        <w:rPr>
          <w:rFonts w:eastAsiaTheme="minorHAnsi"/>
        </w:rPr>
        <w:t xml:space="preserve">targets should </w:t>
      </w:r>
      <w:r w:rsidRPr="003B29EA">
        <w:rPr>
          <w:rFonts w:eastAsiaTheme="minorHAnsi"/>
        </w:rPr>
        <w:t xml:space="preserve">give most </w:t>
      </w:r>
      <w:r w:rsidR="005469EC" w:rsidRPr="003B29EA">
        <w:rPr>
          <w:rFonts w:eastAsiaTheme="minorHAnsi"/>
        </w:rPr>
        <w:t xml:space="preserve">weight </w:t>
      </w:r>
      <w:r w:rsidRPr="003B29EA">
        <w:rPr>
          <w:rFonts w:eastAsiaTheme="minorHAnsi"/>
        </w:rPr>
        <w:t xml:space="preserve">to </w:t>
      </w:r>
      <w:r w:rsidR="005469EC" w:rsidRPr="003B29EA">
        <w:rPr>
          <w:rFonts w:eastAsiaTheme="minorHAnsi"/>
        </w:rPr>
        <w:t xml:space="preserve">what the scientific evidence is telling us we need to do, </w:t>
      </w:r>
      <w:r w:rsidR="00F26BA3">
        <w:rPr>
          <w:rFonts w:eastAsiaTheme="minorHAnsi"/>
        </w:rPr>
        <w:t>to</w:t>
      </w:r>
      <w:r w:rsidRPr="003B29EA">
        <w:rPr>
          <w:rFonts w:eastAsiaTheme="minorHAnsi"/>
        </w:rPr>
        <w:t xml:space="preserve"> </w:t>
      </w:r>
      <w:r w:rsidR="005469EC" w:rsidRPr="003B29EA">
        <w:rPr>
          <w:rFonts w:eastAsiaTheme="minorHAnsi"/>
        </w:rPr>
        <w:t>what comparable countries</w:t>
      </w:r>
      <w:r w:rsidR="00F26BA3">
        <w:rPr>
          <w:rFonts w:eastAsiaTheme="minorHAnsi"/>
        </w:rPr>
        <w:t xml:space="preserve"> are doing and, not least, to</w:t>
      </w:r>
      <w:r w:rsidR="005469EC" w:rsidRPr="003B29EA">
        <w:rPr>
          <w:rFonts w:eastAsiaTheme="minorHAnsi"/>
        </w:rPr>
        <w:t xml:space="preserve"> what is</w:t>
      </w:r>
      <w:r w:rsidRPr="003B29EA">
        <w:rPr>
          <w:rFonts w:eastAsiaTheme="minorHAnsi"/>
        </w:rPr>
        <w:t xml:space="preserve"> </w:t>
      </w:r>
      <w:r w:rsidR="005469EC" w:rsidRPr="003B29EA">
        <w:rPr>
          <w:rFonts w:eastAsiaTheme="minorHAnsi"/>
        </w:rPr>
        <w:t>in the best interests of current and future generations of Australians</w:t>
      </w:r>
      <w:r w:rsidR="003D3469">
        <w:rPr>
          <w:rFonts w:eastAsiaTheme="minorHAnsi"/>
        </w:rPr>
        <w:t>;</w:t>
      </w:r>
    </w:p>
    <w:p w:rsidR="00BF4560" w:rsidRPr="003B29EA" w:rsidRDefault="00BF4560" w:rsidP="003B29EA">
      <w:pPr>
        <w:pStyle w:val="ListBullet"/>
        <w:rPr>
          <w:rFonts w:eastAsiaTheme="minorHAnsi"/>
        </w:rPr>
      </w:pPr>
      <w:r w:rsidRPr="003B29EA">
        <w:rPr>
          <w:rFonts w:eastAsiaTheme="minorHAnsi"/>
        </w:rPr>
        <w:t xml:space="preserve">while the recommended targets for Australia are challenging, they are no more so than </w:t>
      </w:r>
      <w:r w:rsidR="003037F7" w:rsidRPr="003B29EA">
        <w:rPr>
          <w:rFonts w:eastAsiaTheme="minorHAnsi"/>
        </w:rPr>
        <w:t xml:space="preserve">the targets </w:t>
      </w:r>
      <w:r w:rsidRPr="003B29EA">
        <w:rPr>
          <w:rFonts w:eastAsiaTheme="minorHAnsi"/>
        </w:rPr>
        <w:t>many other developed countries have been pursuing in recent years, and are committing to</w:t>
      </w:r>
      <w:r w:rsidR="0093168C" w:rsidRPr="003B29EA">
        <w:rPr>
          <w:rFonts w:eastAsiaTheme="minorHAnsi"/>
        </w:rPr>
        <w:t xml:space="preserve"> in the</w:t>
      </w:r>
      <w:r w:rsidRPr="003B29EA">
        <w:rPr>
          <w:rFonts w:eastAsiaTheme="minorHAnsi"/>
        </w:rPr>
        <w:t xml:space="preserve"> post-2020</w:t>
      </w:r>
      <w:r w:rsidR="0093168C" w:rsidRPr="003B29EA">
        <w:rPr>
          <w:rFonts w:eastAsiaTheme="minorHAnsi"/>
        </w:rPr>
        <w:t xml:space="preserve"> period</w:t>
      </w:r>
      <w:r w:rsidR="003D3469">
        <w:rPr>
          <w:rFonts w:eastAsiaTheme="minorHAnsi"/>
        </w:rPr>
        <w:t>;</w:t>
      </w:r>
    </w:p>
    <w:p w:rsidR="005469EC" w:rsidRPr="003B29EA" w:rsidRDefault="00BF4560" w:rsidP="003B29EA">
      <w:pPr>
        <w:pStyle w:val="ListBullet"/>
        <w:rPr>
          <w:rFonts w:eastAsiaTheme="minorHAnsi"/>
        </w:rPr>
      </w:pPr>
      <w:r w:rsidRPr="003B29EA">
        <w:rPr>
          <w:rFonts w:eastAsiaTheme="minorHAnsi"/>
        </w:rPr>
        <w:t xml:space="preserve">the costs of achieving particular targets (including </w:t>
      </w:r>
      <w:r w:rsidR="0093168C" w:rsidRPr="003B29EA">
        <w:rPr>
          <w:rFonts w:eastAsiaTheme="minorHAnsi"/>
        </w:rPr>
        <w:t xml:space="preserve">their </w:t>
      </w:r>
      <w:r w:rsidRPr="003B29EA">
        <w:rPr>
          <w:rFonts w:eastAsiaTheme="minorHAnsi"/>
        </w:rPr>
        <w:t xml:space="preserve">adverse impacts on </w:t>
      </w:r>
      <w:r w:rsidR="0093168C" w:rsidRPr="003B29EA">
        <w:rPr>
          <w:rFonts w:eastAsiaTheme="minorHAnsi"/>
        </w:rPr>
        <w:t xml:space="preserve">certain </w:t>
      </w:r>
      <w:r w:rsidRPr="003B29EA">
        <w:rPr>
          <w:rFonts w:eastAsiaTheme="minorHAnsi"/>
        </w:rPr>
        <w:t xml:space="preserve">industries) are best considered in the design of appropriate policy instruments, rather than </w:t>
      </w:r>
      <w:r w:rsidR="0093168C" w:rsidRPr="003B29EA">
        <w:rPr>
          <w:rFonts w:eastAsiaTheme="minorHAnsi"/>
        </w:rPr>
        <w:t xml:space="preserve">through the acceptance </w:t>
      </w:r>
      <w:r w:rsidRPr="003B29EA">
        <w:rPr>
          <w:rFonts w:eastAsiaTheme="minorHAnsi"/>
        </w:rPr>
        <w:t xml:space="preserve">of </w:t>
      </w:r>
      <w:r w:rsidR="0093168C" w:rsidRPr="003B29EA">
        <w:rPr>
          <w:rFonts w:eastAsiaTheme="minorHAnsi"/>
        </w:rPr>
        <w:t xml:space="preserve">inadequate </w:t>
      </w:r>
      <w:r w:rsidRPr="003B29EA">
        <w:rPr>
          <w:rFonts w:eastAsiaTheme="minorHAnsi"/>
        </w:rPr>
        <w:t>national targets</w:t>
      </w:r>
      <w:r w:rsidR="003D3469">
        <w:rPr>
          <w:rFonts w:eastAsiaTheme="minorHAnsi"/>
        </w:rPr>
        <w:t>;</w:t>
      </w:r>
    </w:p>
    <w:p w:rsidR="005469EC" w:rsidRPr="003B29EA" w:rsidRDefault="0093168C" w:rsidP="003B29EA">
      <w:pPr>
        <w:pStyle w:val="ListBullet"/>
        <w:rPr>
          <w:rFonts w:eastAsiaTheme="minorHAnsi"/>
        </w:rPr>
      </w:pPr>
      <w:r w:rsidRPr="003B29EA">
        <w:rPr>
          <w:rFonts w:eastAsiaTheme="minorHAnsi"/>
        </w:rPr>
        <w:t xml:space="preserve">major benefits to </w:t>
      </w:r>
      <w:r w:rsidR="00265740" w:rsidRPr="003B29EA">
        <w:rPr>
          <w:rFonts w:eastAsiaTheme="minorHAnsi"/>
        </w:rPr>
        <w:t xml:space="preserve">Australia will </w:t>
      </w:r>
      <w:r w:rsidRPr="003B29EA">
        <w:rPr>
          <w:rFonts w:eastAsiaTheme="minorHAnsi"/>
        </w:rPr>
        <w:t xml:space="preserve">accrue </w:t>
      </w:r>
      <w:r w:rsidR="00265740" w:rsidRPr="003B29EA">
        <w:rPr>
          <w:rFonts w:eastAsiaTheme="minorHAnsi"/>
        </w:rPr>
        <w:t xml:space="preserve">both from avoiding the harmful consequences of dangerous climate change and from </w:t>
      </w:r>
      <w:r w:rsidRPr="003B29EA">
        <w:rPr>
          <w:rFonts w:eastAsiaTheme="minorHAnsi"/>
        </w:rPr>
        <w:t xml:space="preserve">participating in </w:t>
      </w:r>
      <w:r w:rsidR="00265740" w:rsidRPr="003B29EA">
        <w:rPr>
          <w:rFonts w:eastAsiaTheme="minorHAnsi"/>
        </w:rPr>
        <w:t xml:space="preserve">the opportunities </w:t>
      </w:r>
      <w:r w:rsidRPr="003B29EA">
        <w:rPr>
          <w:rFonts w:eastAsiaTheme="minorHAnsi"/>
        </w:rPr>
        <w:t xml:space="preserve">and new technologies </w:t>
      </w:r>
      <w:r w:rsidR="00265740" w:rsidRPr="003B29EA">
        <w:rPr>
          <w:rFonts w:eastAsiaTheme="minorHAnsi"/>
        </w:rPr>
        <w:t>that will accompany the transition to a lower carbon world</w:t>
      </w:r>
      <w:r w:rsidR="003D3469">
        <w:rPr>
          <w:rFonts w:eastAsiaTheme="minorHAnsi"/>
        </w:rPr>
        <w:t>;</w:t>
      </w:r>
      <w:r w:rsidR="00F26BA3">
        <w:rPr>
          <w:rFonts w:eastAsiaTheme="minorHAnsi"/>
        </w:rPr>
        <w:t xml:space="preserve"> and</w:t>
      </w:r>
    </w:p>
    <w:p w:rsidR="00C8637F" w:rsidRPr="003B29EA" w:rsidRDefault="005469EC" w:rsidP="003B29EA">
      <w:pPr>
        <w:pStyle w:val="ListBullet"/>
        <w:rPr>
          <w:rFonts w:eastAsiaTheme="minorHAnsi"/>
        </w:rPr>
      </w:pPr>
      <w:r w:rsidRPr="003B29EA">
        <w:rPr>
          <w:rFonts w:eastAsiaTheme="minorHAnsi"/>
        </w:rPr>
        <w:t xml:space="preserve">all countries, including Australia, </w:t>
      </w:r>
      <w:r w:rsidR="0093168C" w:rsidRPr="003B29EA">
        <w:rPr>
          <w:rFonts w:eastAsiaTheme="minorHAnsi"/>
        </w:rPr>
        <w:t xml:space="preserve">will </w:t>
      </w:r>
      <w:r w:rsidRPr="003B29EA">
        <w:rPr>
          <w:rFonts w:eastAsiaTheme="minorHAnsi"/>
        </w:rPr>
        <w:t xml:space="preserve">need to progressively lift their efforts to reduce emissions </w:t>
      </w:r>
      <w:r w:rsidR="0093168C" w:rsidRPr="003B29EA">
        <w:rPr>
          <w:rFonts w:eastAsiaTheme="minorHAnsi"/>
        </w:rPr>
        <w:t xml:space="preserve">well </w:t>
      </w:r>
      <w:r w:rsidRPr="003B29EA">
        <w:rPr>
          <w:rFonts w:eastAsiaTheme="minorHAnsi"/>
        </w:rPr>
        <w:t>beyond 2020 to maintain a reasonable chance of limiting global warming to less than 2 degrees above pre-industrial levels.</w:t>
      </w:r>
    </w:p>
    <w:p w:rsidR="00BF4560" w:rsidRPr="00771C73" w:rsidRDefault="00520F4F" w:rsidP="00771C73">
      <w:pPr>
        <w:pStyle w:val="BodyText"/>
      </w:pPr>
      <w:r w:rsidRPr="00771C73">
        <w:t xml:space="preserve">This brief final report addresses </w:t>
      </w:r>
      <w:r w:rsidR="0093168C" w:rsidRPr="00771C73">
        <w:t>issues</w:t>
      </w:r>
      <w:r w:rsidRPr="00771C73">
        <w:t xml:space="preserve"> which have arisen since the release of the Authority</w:t>
      </w:r>
      <w:r w:rsidR="00355CD2">
        <w:t>’</w:t>
      </w:r>
      <w:r w:rsidRPr="00771C73">
        <w:t xml:space="preserve">s </w:t>
      </w:r>
      <w:r w:rsidR="003D3469">
        <w:t xml:space="preserve">recent </w:t>
      </w:r>
      <w:r w:rsidR="00355CD2">
        <w:t>D</w:t>
      </w:r>
      <w:r w:rsidRPr="00771C73">
        <w:t xml:space="preserve">raft </w:t>
      </w:r>
      <w:r w:rsidR="00355CD2">
        <w:t>R</w:t>
      </w:r>
      <w:r w:rsidRPr="00771C73">
        <w:t>eport, and indicates the Authority</w:t>
      </w:r>
      <w:r w:rsidR="00355CD2">
        <w:t>’</w:t>
      </w:r>
      <w:r w:rsidRPr="00771C73">
        <w:t xml:space="preserve">s responses to those </w:t>
      </w:r>
      <w:r w:rsidR="0093168C" w:rsidRPr="00771C73">
        <w:t>issues</w:t>
      </w:r>
      <w:r w:rsidRPr="00771C73">
        <w:t>.</w:t>
      </w:r>
    </w:p>
    <w:p w:rsidR="00FE22E6" w:rsidRDefault="0093168C" w:rsidP="000D1B91">
      <w:pPr>
        <w:pStyle w:val="Headingreferences"/>
      </w:pPr>
      <w:r>
        <w:lastRenderedPageBreak/>
        <w:t>C</w:t>
      </w:r>
      <w:r w:rsidR="002D713A">
        <w:t xml:space="preserve">limate </w:t>
      </w:r>
      <w:r w:rsidR="00776FBA">
        <w:t>s</w:t>
      </w:r>
      <w:r>
        <w:t>cience</w:t>
      </w:r>
    </w:p>
    <w:p w:rsidR="00960821" w:rsidRPr="00771C73" w:rsidRDefault="00417A30" w:rsidP="00771C73">
      <w:pPr>
        <w:pStyle w:val="BodyText"/>
      </w:pPr>
      <w:r w:rsidRPr="00771C73">
        <w:t xml:space="preserve">The </w:t>
      </w:r>
      <w:r w:rsidR="000F2D9D" w:rsidRPr="00771C73">
        <w:t>Authority</w:t>
      </w:r>
      <w:r w:rsidRPr="00771C73">
        <w:t>’s</w:t>
      </w:r>
      <w:r w:rsidR="009D7886" w:rsidRPr="00771C73">
        <w:t xml:space="preserve"> </w:t>
      </w:r>
      <w:r w:rsidR="00261ECA" w:rsidRPr="00771C73">
        <w:t xml:space="preserve">recommendations for </w:t>
      </w:r>
      <w:r w:rsidRPr="00771C73">
        <w:t xml:space="preserve">Australia’s post-2020 </w:t>
      </w:r>
      <w:r w:rsidR="00261ECA" w:rsidRPr="00771C73">
        <w:t>emissions reduction targets</w:t>
      </w:r>
      <w:r w:rsidRPr="00771C73">
        <w:t xml:space="preserve"> are underpinned by the</w:t>
      </w:r>
      <w:r w:rsidR="00261ECA" w:rsidRPr="00771C73">
        <w:t xml:space="preserve"> </w:t>
      </w:r>
      <w:r w:rsidR="00105A14" w:rsidRPr="00771C73">
        <w:t xml:space="preserve">evidence from </w:t>
      </w:r>
      <w:r w:rsidR="00261ECA" w:rsidRPr="00771C73">
        <w:t>climate science</w:t>
      </w:r>
      <w:r w:rsidR="005447E8">
        <w:t xml:space="preserve"> that e</w:t>
      </w:r>
      <w:r w:rsidR="009D7886" w:rsidRPr="00771C73">
        <w:t>missions of greenhouse gases from</w:t>
      </w:r>
      <w:r w:rsidR="00261ECA" w:rsidRPr="00771C73">
        <w:t xml:space="preserve"> human</w:t>
      </w:r>
      <w:r w:rsidR="00960821" w:rsidRPr="00771C73">
        <w:t xml:space="preserve"> activities</w:t>
      </w:r>
      <w:r w:rsidR="00261ECA" w:rsidRPr="00771C73">
        <w:t xml:space="preserve"> are </w:t>
      </w:r>
      <w:r w:rsidRPr="00771C73">
        <w:t xml:space="preserve">the dominant contributor to global </w:t>
      </w:r>
      <w:r w:rsidR="003037F7" w:rsidRPr="00771C73">
        <w:t>warming</w:t>
      </w:r>
      <w:r w:rsidR="005447E8">
        <w:t>.</w:t>
      </w:r>
      <w:r w:rsidRPr="00771C73">
        <w:t xml:space="preserve"> </w:t>
      </w:r>
      <w:r w:rsidR="005447E8">
        <w:t>A</w:t>
      </w:r>
      <w:r w:rsidRPr="00771C73">
        <w:t>ll countries have</w:t>
      </w:r>
      <w:r w:rsidR="003A59D1" w:rsidRPr="00771C73">
        <w:t xml:space="preserve"> agreed to </w:t>
      </w:r>
      <w:r w:rsidRPr="00771C73">
        <w:t xml:space="preserve">work together to </w:t>
      </w:r>
      <w:r w:rsidR="003A59D1" w:rsidRPr="00771C73">
        <w:t xml:space="preserve">reduce emissions to a level that keeps global warming below </w:t>
      </w:r>
      <w:r w:rsidR="00EF109B">
        <w:t xml:space="preserve">the </w:t>
      </w:r>
      <w:r w:rsidR="003A59D1" w:rsidRPr="00771C73">
        <w:t>2 degrees</w:t>
      </w:r>
      <w:r w:rsidR="005447E8">
        <w:t xml:space="preserve"> threshold</w:t>
      </w:r>
      <w:r w:rsidR="003A59D1" w:rsidRPr="00771C73">
        <w:t xml:space="preserve">. Climate science </w:t>
      </w:r>
      <w:r w:rsidRPr="00771C73">
        <w:t xml:space="preserve">also </w:t>
      </w:r>
      <w:r w:rsidR="003A59D1" w:rsidRPr="00771C73">
        <w:t xml:space="preserve">tells us that </w:t>
      </w:r>
      <w:r w:rsidR="003037F7" w:rsidRPr="00771C73">
        <w:t xml:space="preserve">warming </w:t>
      </w:r>
      <w:r w:rsidR="003A59D1" w:rsidRPr="00771C73">
        <w:t xml:space="preserve">beyond </w:t>
      </w:r>
      <w:r w:rsidRPr="00771C73">
        <w:t xml:space="preserve">that </w:t>
      </w:r>
      <w:r w:rsidR="003A59D1" w:rsidRPr="00771C73">
        <w:t xml:space="preserve">threshold </w:t>
      </w:r>
      <w:r w:rsidRPr="00771C73">
        <w:t xml:space="preserve">is likely to have </w:t>
      </w:r>
      <w:r w:rsidR="00C84C1C" w:rsidRPr="00771C73">
        <w:t xml:space="preserve">increasingly severe </w:t>
      </w:r>
      <w:r w:rsidRPr="00771C73">
        <w:t xml:space="preserve">social, economic and environmental </w:t>
      </w:r>
      <w:r w:rsidR="006A0499" w:rsidRPr="00771C73">
        <w:t>impacts</w:t>
      </w:r>
      <w:r w:rsidR="003A59D1" w:rsidRPr="00771C73">
        <w:t xml:space="preserve">, </w:t>
      </w:r>
      <w:r w:rsidRPr="00771C73">
        <w:t>not least in a dry continent like Australia. Avoiding th</w:t>
      </w:r>
      <w:r w:rsidR="00BD65AD">
        <w:t>ose</w:t>
      </w:r>
      <w:r w:rsidRPr="00771C73">
        <w:t xml:space="preserve"> impacts will require concerted global actions with all countries—Australia included—shouldering a fair share of the emissions reduction burden: unilateral </w:t>
      </w:r>
      <w:r w:rsidR="000C7641">
        <w:t xml:space="preserve">insouciance is no protection against </w:t>
      </w:r>
      <w:r w:rsidRPr="00771C73">
        <w:t>the encroachment of climate change</w:t>
      </w:r>
      <w:r w:rsidR="006A0499" w:rsidRPr="00771C73">
        <w:t>.</w:t>
      </w:r>
    </w:p>
    <w:p w:rsidR="00D52357" w:rsidRDefault="00417A30" w:rsidP="00FC3A53">
      <w:pPr>
        <w:pStyle w:val="Heading4"/>
        <w:spacing w:line="240" w:lineRule="auto"/>
      </w:pPr>
      <w:r>
        <w:t>S</w:t>
      </w:r>
      <w:r w:rsidR="00D52357">
        <w:t>takeholder</w:t>
      </w:r>
      <w:r>
        <w:t xml:space="preserve"> feedback</w:t>
      </w:r>
    </w:p>
    <w:p w:rsidR="001C4F76" w:rsidRPr="00771C73" w:rsidRDefault="001C4F76" w:rsidP="00771C73">
      <w:pPr>
        <w:pStyle w:val="BodyText"/>
      </w:pPr>
      <w:r w:rsidRPr="00771C73">
        <w:t>Stakeholder</w:t>
      </w:r>
      <w:r w:rsidR="00417A30" w:rsidRPr="00771C73">
        <w:t>s</w:t>
      </w:r>
      <w:r w:rsidRPr="00771C73">
        <w:t xml:space="preserve"> </w:t>
      </w:r>
      <w:r w:rsidR="00417A30" w:rsidRPr="00771C73">
        <w:t xml:space="preserve">were generally supportive of </w:t>
      </w:r>
      <w:r w:rsidRPr="00771C73">
        <w:t>the 2</w:t>
      </w:r>
      <w:r w:rsidR="00E87EF6" w:rsidRPr="00771C73">
        <w:t> </w:t>
      </w:r>
      <w:r w:rsidRPr="00771C73">
        <w:t xml:space="preserve">degree goal. </w:t>
      </w:r>
      <w:r w:rsidR="00417A30" w:rsidRPr="00771C73">
        <w:t>In their s</w:t>
      </w:r>
      <w:r w:rsidR="0021368B" w:rsidRPr="00771C73">
        <w:t>ubmissions</w:t>
      </w:r>
      <w:r w:rsidR="00417A30" w:rsidRPr="00771C73">
        <w:t>,</w:t>
      </w:r>
      <w:r w:rsidR="0021368B" w:rsidRPr="00771C73">
        <w:t xml:space="preserve"> AGL Energy, the </w:t>
      </w:r>
      <w:r w:rsidR="001E1677" w:rsidRPr="00771C73">
        <w:t xml:space="preserve">Grattan Institute, the Australian Academy of Sciences, the </w:t>
      </w:r>
      <w:r w:rsidR="0021368B" w:rsidRPr="00771C73">
        <w:t>Australian Industry Group</w:t>
      </w:r>
      <w:r w:rsidR="00E87EF6" w:rsidRPr="00771C73">
        <w:t xml:space="preserve"> and</w:t>
      </w:r>
      <w:r w:rsidR="0021368B" w:rsidRPr="00771C73">
        <w:t xml:space="preserve"> the Investor Group on Climate Change</w:t>
      </w:r>
      <w:r w:rsidR="00E87EF6" w:rsidRPr="00771C73">
        <w:t xml:space="preserve"> all </w:t>
      </w:r>
      <w:r w:rsidR="00417A30" w:rsidRPr="00771C73">
        <w:t>indicated broad support for determining post-2020 targets in the light of this agreed goal; some (such as</w:t>
      </w:r>
      <w:r w:rsidR="00CC7711">
        <w:t xml:space="preserve"> </w:t>
      </w:r>
      <w:r w:rsidR="00011B02" w:rsidRPr="00771C73">
        <w:t>WWF and T</w:t>
      </w:r>
      <w:r w:rsidR="005469EC" w:rsidRPr="00771C73">
        <w:t xml:space="preserve">he </w:t>
      </w:r>
      <w:r w:rsidR="00011B02" w:rsidRPr="00771C73">
        <w:t>C</w:t>
      </w:r>
      <w:r w:rsidR="005469EC" w:rsidRPr="00771C73">
        <w:t xml:space="preserve">limate </w:t>
      </w:r>
      <w:r w:rsidR="00011B02" w:rsidRPr="00771C73">
        <w:t>I</w:t>
      </w:r>
      <w:r w:rsidR="005469EC" w:rsidRPr="00771C73">
        <w:t>nstitute</w:t>
      </w:r>
      <w:r w:rsidR="00417A30" w:rsidRPr="00771C73">
        <w:t>)</w:t>
      </w:r>
      <w:r w:rsidR="00011B02" w:rsidRPr="00771C73">
        <w:t xml:space="preserve"> </w:t>
      </w:r>
      <w:r w:rsidR="00417A30" w:rsidRPr="00771C73">
        <w:t>favoured</w:t>
      </w:r>
      <w:r w:rsidR="001E1677" w:rsidRPr="00771C73">
        <w:t xml:space="preserve"> </w:t>
      </w:r>
      <w:r w:rsidR="00011B02" w:rsidRPr="00771C73">
        <w:t>stronger target</w:t>
      </w:r>
      <w:r w:rsidR="00417A30" w:rsidRPr="00771C73">
        <w:t>s</w:t>
      </w:r>
      <w:r w:rsidR="00011B02" w:rsidRPr="00771C73">
        <w:t xml:space="preserve"> than th</w:t>
      </w:r>
      <w:r w:rsidR="00417A30" w:rsidRPr="00771C73">
        <w:t>os</w:t>
      </w:r>
      <w:r w:rsidR="00011B02" w:rsidRPr="00771C73">
        <w:t xml:space="preserve">e recommended </w:t>
      </w:r>
      <w:r w:rsidR="00417A30" w:rsidRPr="00771C73">
        <w:t xml:space="preserve">by the Authority, </w:t>
      </w:r>
      <w:r w:rsidR="005447E8">
        <w:t xml:space="preserve">arguing </w:t>
      </w:r>
      <w:r w:rsidR="00011B02" w:rsidRPr="00771C73">
        <w:t>that</w:t>
      </w:r>
      <w:r w:rsidR="001E1677" w:rsidRPr="00771C73">
        <w:t xml:space="preserve"> Australia’s emissions reduction</w:t>
      </w:r>
      <w:r w:rsidR="00011B02" w:rsidRPr="00771C73">
        <w:t xml:space="preserve"> target</w:t>
      </w:r>
      <w:r w:rsidR="00417A30" w:rsidRPr="00771C73">
        <w:t>s</w:t>
      </w:r>
      <w:r w:rsidR="00011B02" w:rsidRPr="00771C73">
        <w:t xml:space="preserve"> should </w:t>
      </w:r>
      <w:r w:rsidR="00417A30" w:rsidRPr="00771C73">
        <w:t xml:space="preserve">be </w:t>
      </w:r>
      <w:r w:rsidR="00011B02" w:rsidRPr="00771C73">
        <w:t>align</w:t>
      </w:r>
      <w:r w:rsidR="00417A30" w:rsidRPr="00771C73">
        <w:t>ed</w:t>
      </w:r>
      <w:r w:rsidR="00011B02" w:rsidRPr="00771C73">
        <w:t xml:space="preserve"> with a higher probability of limiting global warming to 2 degrees, </w:t>
      </w:r>
      <w:r w:rsidR="00417A30" w:rsidRPr="00771C73">
        <w:t>and/</w:t>
      </w:r>
      <w:r w:rsidR="00011B02" w:rsidRPr="00771C73">
        <w:t xml:space="preserve">or of </w:t>
      </w:r>
      <w:r w:rsidR="00417A30" w:rsidRPr="00771C73">
        <w:t xml:space="preserve">keeping open the possibility of </w:t>
      </w:r>
      <w:r w:rsidR="00011B02" w:rsidRPr="00771C73">
        <w:t>limiting warming to 1.5 degrees</w:t>
      </w:r>
      <w:r w:rsidR="00417A30" w:rsidRPr="00771C73">
        <w:t>.</w:t>
      </w:r>
      <w:r w:rsidR="00011B02" w:rsidRPr="00771C73">
        <w:t xml:space="preserve"> </w:t>
      </w:r>
      <w:r w:rsidR="00417A30" w:rsidRPr="00771C73">
        <w:t xml:space="preserve">Stakeholders generally agreed </w:t>
      </w:r>
      <w:r w:rsidR="00011B02" w:rsidRPr="00771C73">
        <w:t xml:space="preserve">with the Authority’s </w:t>
      </w:r>
      <w:r w:rsidR="00417A30" w:rsidRPr="00771C73">
        <w:t>proposal that</w:t>
      </w:r>
      <w:r w:rsidR="002D713A" w:rsidRPr="00771C73">
        <w:t xml:space="preserve"> Australia’s </w:t>
      </w:r>
      <w:r w:rsidR="000B3810" w:rsidRPr="00771C73">
        <w:t xml:space="preserve">targets and policies should be reviewed periodically against </w:t>
      </w:r>
      <w:r w:rsidR="002D713A" w:rsidRPr="00771C73">
        <w:t>global goals and action.</w:t>
      </w:r>
    </w:p>
    <w:p w:rsidR="00FE22E6" w:rsidRDefault="00DB1725" w:rsidP="000D1B91">
      <w:pPr>
        <w:pStyle w:val="Headingreferences"/>
      </w:pPr>
      <w:r>
        <w:t>Comparability</w:t>
      </w:r>
      <w:r w:rsidR="00092A23">
        <w:t xml:space="preserve"> of action</w:t>
      </w:r>
    </w:p>
    <w:p w:rsidR="00FC3A53" w:rsidRPr="00771C73" w:rsidRDefault="00092A23" w:rsidP="00771C73">
      <w:pPr>
        <w:pStyle w:val="BodyText"/>
      </w:pPr>
      <w:r w:rsidRPr="00771C73">
        <w:t xml:space="preserve">In addition to their underpinning </w:t>
      </w:r>
      <w:r w:rsidR="000C7641">
        <w:t>by</w:t>
      </w:r>
      <w:r w:rsidR="00355CD2">
        <w:t xml:space="preserve"> </w:t>
      </w:r>
      <w:r w:rsidRPr="00771C73">
        <w:t xml:space="preserve">climate science, the Authority’s preliminary recommendations reflected a judgment that, as a proxy for its fair share of the overall emissions reduction task, Australia should broadly match the </w:t>
      </w:r>
      <w:r w:rsidR="00F26BA3">
        <w:t xml:space="preserve">targets </w:t>
      </w:r>
      <w:r w:rsidRPr="00771C73">
        <w:t>of other wealthy developed countries, including the United States and the European Union. It is the Authority’s judgment that its recommended targets for 2025 and 2030 continue to satisfy this comparability test</w:t>
      </w:r>
      <w:r w:rsidR="00FC3A53" w:rsidRPr="00771C73">
        <w:t>.</w:t>
      </w:r>
    </w:p>
    <w:p w:rsidR="00704F28" w:rsidRPr="000257E1" w:rsidRDefault="000257E1" w:rsidP="00FC3A53">
      <w:pPr>
        <w:pStyle w:val="Heading4"/>
      </w:pPr>
      <w:r>
        <w:t>Recent developments</w:t>
      </w:r>
    </w:p>
    <w:p w:rsidR="00092A23" w:rsidRPr="00771C73" w:rsidRDefault="00FC3A53" w:rsidP="00771C73">
      <w:pPr>
        <w:pStyle w:val="BodyText"/>
      </w:pPr>
      <w:r w:rsidRPr="00771C73">
        <w:t xml:space="preserve">Since the </w:t>
      </w:r>
      <w:r w:rsidR="00092A23" w:rsidRPr="00771C73">
        <w:t xml:space="preserve">Authority’s </w:t>
      </w:r>
      <w:r w:rsidR="00046049">
        <w:t>D</w:t>
      </w:r>
      <w:r w:rsidR="00092A23" w:rsidRPr="00771C73">
        <w:t xml:space="preserve">raft </w:t>
      </w:r>
      <w:r w:rsidR="00046049">
        <w:t>R</w:t>
      </w:r>
      <w:r w:rsidRPr="00771C73">
        <w:t xml:space="preserve">eport was </w:t>
      </w:r>
      <w:r w:rsidR="00092A23" w:rsidRPr="00771C73">
        <w:t>released, some additional countries—including Canada and Japan—</w:t>
      </w:r>
      <w:r w:rsidRPr="00771C73">
        <w:t xml:space="preserve">have announced post-2020 emissions reduction targets. </w:t>
      </w:r>
      <w:r w:rsidR="00092A23" w:rsidRPr="00771C73">
        <w:t>Over the same period there has been a notable build-up—at many levels—both in concerns about the risks of dangerous climate change and in expectations for effective, ongoing policy</w:t>
      </w:r>
      <w:r w:rsidR="00EA3012" w:rsidRPr="00771C73">
        <w:t xml:space="preserve"> ac</w:t>
      </w:r>
      <w:r w:rsidR="00F26BA3">
        <w:t>tions to emerge from the Paris C</w:t>
      </w:r>
      <w:r w:rsidR="00EA3012" w:rsidRPr="00771C73">
        <w:t>onference in December.</w:t>
      </w:r>
    </w:p>
    <w:p w:rsidR="00A72A3A" w:rsidRPr="00771C73" w:rsidRDefault="00A72A3A" w:rsidP="00771C73">
      <w:pPr>
        <w:pStyle w:val="BodyText"/>
      </w:pPr>
      <w:r w:rsidRPr="00771C73">
        <w:t>Table 1 shows how the recently announced targets of Canada and Japan compare with those announced previously by several other developed countries. Canada’s target is to reduce its emissions by 30 per cent from 2005 levels by 2030, with Japan proposing a 2030 target of 26</w:t>
      </w:r>
      <w:r w:rsidR="00355CD2">
        <w:t> </w:t>
      </w:r>
      <w:r w:rsidRPr="00771C73">
        <w:t>per</w:t>
      </w:r>
      <w:r w:rsidR="00355CD2">
        <w:t> </w:t>
      </w:r>
      <w:r w:rsidRPr="00771C73">
        <w:t>cent below 2013</w:t>
      </w:r>
      <w:r w:rsidR="005447E8">
        <w:t xml:space="preserve"> levels</w:t>
      </w:r>
      <w:r w:rsidRPr="00771C73">
        <w:t xml:space="preserve">. While representing an improvement on their existing 2020 targets, these post-2020 targets for Canada and Japan are rather less ambitious than those announced by the United States and some other developed countries. In the case of Japan that country’s emissions reduction efforts were dealt a serious blow by </w:t>
      </w:r>
      <w:r w:rsidR="005447E8">
        <w:t xml:space="preserve">Japan’s response to </w:t>
      </w:r>
      <w:r w:rsidRPr="00771C73">
        <w:t xml:space="preserve">the Fukushima nuclear disaster, and the consequent increased reliance on coal for its electricity generation. Canada’s national target </w:t>
      </w:r>
      <w:r w:rsidR="00F26BA3">
        <w:t>is a good deal weaker than</w:t>
      </w:r>
      <w:r w:rsidR="00250CA1">
        <w:t xml:space="preserve"> that which the Authority is recommending for Australia; the Canadian target </w:t>
      </w:r>
      <w:r w:rsidRPr="00771C73">
        <w:t>suggests that much of the running on climate change in that country will remain with the provincial governments, some of which have adopted their own emissions reduction targets and policies.</w:t>
      </w:r>
    </w:p>
    <w:p w:rsidR="00A72A3A" w:rsidRPr="00771C73" w:rsidRDefault="00A72A3A" w:rsidP="00771C73">
      <w:pPr>
        <w:pStyle w:val="BodyText"/>
      </w:pPr>
      <w:r w:rsidRPr="00771C73">
        <w:lastRenderedPageBreak/>
        <w:t xml:space="preserve">Outside national governments, interest in reducing greenhouse gas emissions and </w:t>
      </w:r>
      <w:r w:rsidR="00037A0E">
        <w:t xml:space="preserve">bolstering </w:t>
      </w:r>
      <w:r w:rsidR="003D3099">
        <w:t>the 2 </w:t>
      </w:r>
      <w:r w:rsidRPr="00771C73">
        <w:t xml:space="preserve">degree goal continues to build. The G7 </w:t>
      </w:r>
      <w:r w:rsidR="00FB07C4" w:rsidRPr="00771C73">
        <w:t xml:space="preserve">group </w:t>
      </w:r>
      <w:r w:rsidRPr="00771C73">
        <w:t xml:space="preserve">resolved recently to phase out carbon emissions from fossil fuels by the close of the century. </w:t>
      </w:r>
      <w:r w:rsidR="00250CA1">
        <w:t>S</w:t>
      </w:r>
      <w:r w:rsidRPr="00771C73">
        <w:t>tate and provincial government</w:t>
      </w:r>
      <w:r w:rsidR="00250CA1">
        <w:t>s</w:t>
      </w:r>
      <w:r w:rsidRPr="00771C73">
        <w:t>—and major cities—in se</w:t>
      </w:r>
      <w:r w:rsidR="00F26BA3">
        <w:t>veral countries are increasing their collaboration</w:t>
      </w:r>
      <w:r w:rsidRPr="00771C73">
        <w:t xml:space="preserve"> on</w:t>
      </w:r>
      <w:r w:rsidR="00F26BA3">
        <w:t xml:space="preserve"> ways to reduce their emissions; this includes</w:t>
      </w:r>
      <w:r w:rsidRPr="00771C73">
        <w:t xml:space="preserve"> Australian state and territory governments</w:t>
      </w:r>
      <w:r w:rsidR="00250CA1">
        <w:t>,</w:t>
      </w:r>
      <w:r w:rsidRPr="00771C73">
        <w:t xml:space="preserve"> as well as the cities of Sydney and Melbourne.</w:t>
      </w:r>
    </w:p>
    <w:p w:rsidR="00A72A3A" w:rsidRPr="00771C73" w:rsidRDefault="00A72A3A" w:rsidP="00771C73">
      <w:pPr>
        <w:pStyle w:val="BodyText"/>
      </w:pPr>
      <w:r w:rsidRPr="00771C73">
        <w:t>Business and community groups too have been sharpening their focus on the implications of ongoing climate change for their particular constituencies. Major fund managers, ban</w:t>
      </w:r>
      <w:r w:rsidR="00B56CF4" w:rsidRPr="00771C73">
        <w:t>k</w:t>
      </w:r>
      <w:r w:rsidRPr="00771C73">
        <w:t xml:space="preserve">s and other project financiers are now paying </w:t>
      </w:r>
      <w:r w:rsidR="00FB07C4" w:rsidRPr="00771C73">
        <w:t xml:space="preserve">more </w:t>
      </w:r>
      <w:r w:rsidRPr="00771C73">
        <w:t>attention to the financial risks surrounding long-life carbon-intensive assets, as well as to emerging opportunities to develop and market new low</w:t>
      </w:r>
      <w:r w:rsidR="002E56C2">
        <w:noBreakHyphen/>
      </w:r>
      <w:r w:rsidRPr="00771C73">
        <w:t>emissions products and processes (</w:t>
      </w:r>
      <w:r w:rsidR="00250CA1">
        <w:t>such as</w:t>
      </w:r>
      <w:r w:rsidRPr="00771C73">
        <w:t xml:space="preserve"> improved battery storage technologies). In early June the Norwegian Parliament </w:t>
      </w:r>
      <w:r w:rsidR="00250CA1">
        <w:t>resolv</w:t>
      </w:r>
      <w:r w:rsidRPr="00771C73">
        <w:t>ed to divest its $US880 billion sovereign wealth fund of shares in companies that generate more than 30 per cent of their turnover from coal.</w:t>
      </w:r>
    </w:p>
    <w:p w:rsidR="00C45086" w:rsidRPr="003D3099" w:rsidRDefault="00C45086" w:rsidP="00771C73">
      <w:pPr>
        <w:pStyle w:val="BodyText"/>
      </w:pPr>
      <w:r w:rsidRPr="003D3099">
        <w:t>Religious leaders of all faiths have also joined with other groups in calling for strong emissions reduction targets (including in Australia) to help reduce the risks of dangerous climate change, with the Pope (among others) reminding us that poor people and poor countries w</w:t>
      </w:r>
      <w:r w:rsidR="00250CA1" w:rsidRPr="003D3099">
        <w:t>ould</w:t>
      </w:r>
      <w:r w:rsidRPr="003D3099">
        <w:t xml:space="preserve"> suffer most if those risks </w:t>
      </w:r>
      <w:r w:rsidR="00250CA1" w:rsidRPr="003D3099">
        <w:t>we</w:t>
      </w:r>
      <w:r w:rsidRPr="003D3099">
        <w:t>re not contained.</w:t>
      </w:r>
    </w:p>
    <w:p w:rsidR="000C7641" w:rsidRPr="00771C73" w:rsidRDefault="00F26BA3" w:rsidP="00771C73">
      <w:pPr>
        <w:pStyle w:val="BodyText"/>
      </w:pPr>
      <w:r>
        <w:t>A not</w:t>
      </w:r>
      <w:r w:rsidR="000C7641">
        <w:t>able and potentially very encouraging development in Australia in the past week was the call by a broad coalition of business, social</w:t>
      </w:r>
      <w:r w:rsidR="00355CD2">
        <w:t>,</w:t>
      </w:r>
      <w:r w:rsidR="000C7641">
        <w:t xml:space="preserve"> environmental and other groups—under the umbrella of the Australian Clima</w:t>
      </w:r>
      <w:r w:rsidR="00355CD2">
        <w:t>t</w:t>
      </w:r>
      <w:r w:rsidR="000C7641">
        <w:t xml:space="preserve">e Roundtable—for Australia to play its fair part in international efforts to achieve </w:t>
      </w:r>
      <w:r w:rsidR="003D3099">
        <w:t>the 2 </w:t>
      </w:r>
      <w:r w:rsidR="00355CD2">
        <w:t>degree</w:t>
      </w:r>
      <w:r w:rsidR="000C7641">
        <w:t xml:space="preserve"> goal. It is, hopefull</w:t>
      </w:r>
      <w:r w:rsidR="00355CD2">
        <w:t>y</w:t>
      </w:r>
      <w:r w:rsidR="000C7641">
        <w:t>, a decisive ste</w:t>
      </w:r>
      <w:r w:rsidR="00355CD2">
        <w:t>p towards building the wide cons</w:t>
      </w:r>
      <w:r w:rsidR="000C7641">
        <w:t>ensus and genuine commitment necessary to delivering this outcome.</w:t>
      </w:r>
    </w:p>
    <w:p w:rsidR="000257E1" w:rsidRDefault="00A72A3A" w:rsidP="00C45086">
      <w:pPr>
        <w:pStyle w:val="Heading4"/>
      </w:pPr>
      <w:r>
        <w:t>S</w:t>
      </w:r>
      <w:r w:rsidR="000257E1">
        <w:t>takeholder</w:t>
      </w:r>
      <w:r>
        <w:t xml:space="preserve"> feedback</w:t>
      </w:r>
    </w:p>
    <w:p w:rsidR="00A72A3A" w:rsidRPr="00771C73" w:rsidRDefault="00A72A3A" w:rsidP="00771C73">
      <w:pPr>
        <w:pStyle w:val="BodyText"/>
      </w:pPr>
      <w:r w:rsidRPr="00771C73">
        <w:t xml:space="preserve">Stakeholders generally acknowledged that many countries—including the United States and China, the world’s two biggest emitters—were committing to strong actions to contain and reduce their emissions, even if the motivation in some cases stemmed </w:t>
      </w:r>
      <w:r w:rsidR="00250CA1">
        <w:t>as much</w:t>
      </w:r>
      <w:r w:rsidRPr="00771C73">
        <w:t xml:space="preserve"> from concerns about air pollution and energy security </w:t>
      </w:r>
      <w:r w:rsidR="00250CA1">
        <w:t>as from</w:t>
      </w:r>
      <w:r w:rsidRPr="00771C73">
        <w:t xml:space="preserve"> climate change per se.</w:t>
      </w:r>
    </w:p>
    <w:p w:rsidR="00901B31" w:rsidRDefault="00901B31" w:rsidP="00771C73">
      <w:pPr>
        <w:pStyle w:val="BodyText"/>
      </w:pPr>
      <w:r w:rsidRPr="00901B31">
        <w:t xml:space="preserve">As to the comparability of the Authority’s recommended target reduction of 30 per cent by 2025 with the </w:t>
      </w:r>
      <w:r w:rsidR="00CC7711" w:rsidRPr="00901B31">
        <w:t>broad</w:t>
      </w:r>
      <w:r w:rsidRPr="00901B31">
        <w:t xml:space="preserve"> thrust of other developed countries’ targets, </w:t>
      </w:r>
      <w:r w:rsidR="00B47A3C">
        <w:t xml:space="preserve">a couple of stakeholders </w:t>
      </w:r>
      <w:r w:rsidRPr="00901B31">
        <w:t xml:space="preserve">argued that this recommendation would require sharp reductions in the emissions intensity of the Australian economy, and impose severe burdens on certain industries. </w:t>
      </w:r>
      <w:r w:rsidR="00F26BA3">
        <w:t>It has also been</w:t>
      </w:r>
      <w:r w:rsidRPr="00901B31">
        <w:t xml:space="preserve"> argued that the Authority’s recommendation would require much greater reductions in the emissions intensity of the Australian economy than those required by other developed countries to meet their targets.</w:t>
      </w:r>
    </w:p>
    <w:p w:rsidR="00A72A3A" w:rsidRPr="00771C73" w:rsidRDefault="00A72A3A" w:rsidP="003D3099">
      <w:pPr>
        <w:pStyle w:val="BodyText"/>
        <w:keepNext/>
      </w:pPr>
      <w:r w:rsidRPr="00771C73">
        <w:lastRenderedPageBreak/>
        <w:t xml:space="preserve">The Authority is not persuaded by such arguments. It is true (as shown in Figure 1) that Australia has a much higher emissions intensity than </w:t>
      </w:r>
      <w:r w:rsidR="00771C73" w:rsidRPr="00771C73">
        <w:t>most</w:t>
      </w:r>
      <w:r w:rsidRPr="00771C73">
        <w:t xml:space="preserve"> other developed countries: to some extent</w:t>
      </w:r>
      <w:r w:rsidR="00250CA1">
        <w:t>, however,</w:t>
      </w:r>
      <w:r w:rsidRPr="00771C73">
        <w:t xml:space="preserve"> this measure (and Australia’s </w:t>
      </w:r>
      <w:r w:rsidR="00250CA1">
        <w:t>highest</w:t>
      </w:r>
      <w:r w:rsidRPr="00771C73">
        <w:t xml:space="preserve"> ranking on the measure of per person emissions, also shown in Figure</w:t>
      </w:r>
      <w:r w:rsidR="001C4816">
        <w:t> </w:t>
      </w:r>
      <w:r w:rsidRPr="00771C73">
        <w:t>1) illustrates the extent to which Australia is starting behind other</w:t>
      </w:r>
      <w:r w:rsidR="00771C73" w:rsidRPr="00771C73">
        <w:t xml:space="preserve"> developed</w:t>
      </w:r>
      <w:r w:rsidRPr="00771C73">
        <w:t xml:space="preserve"> countries and the extent of the ‘catch</w:t>
      </w:r>
      <w:r w:rsidR="00355CD2">
        <w:noBreakHyphen/>
      </w:r>
      <w:r w:rsidRPr="00771C73">
        <w:t xml:space="preserve">up’ </w:t>
      </w:r>
      <w:r w:rsidR="00C841DD">
        <w:t>required</w:t>
      </w:r>
      <w:r w:rsidRPr="00771C73">
        <w:t>. The relevant question is whether the ‘catch</w:t>
      </w:r>
      <w:r w:rsidR="00355CD2">
        <w:noBreakHyphen/>
      </w:r>
      <w:r w:rsidRPr="00771C73">
        <w:t xml:space="preserve">up’ implicit in meeting the recommended target for 2025 is realistic. It is challenging, but not, in the judgment of the </w:t>
      </w:r>
      <w:r w:rsidR="00B56CF4" w:rsidRPr="00771C73">
        <w:t>A</w:t>
      </w:r>
      <w:r w:rsidRPr="00771C73">
        <w:t>uthority, unrealistic, for the following reasons:</w:t>
      </w:r>
    </w:p>
    <w:p w:rsidR="00A72A3A" w:rsidRDefault="00A72A3A" w:rsidP="003B29EA">
      <w:pPr>
        <w:pStyle w:val="ListBullet"/>
      </w:pPr>
      <w:r>
        <w:t>Between 1990 and 2012 the emissions intensity of the Australian economy has approximately halved, in response to structural changes, new technologies, fuel switching and improvements in energy efficiency.</w:t>
      </w:r>
    </w:p>
    <w:p w:rsidR="00A72A3A" w:rsidRDefault="00A72A3A" w:rsidP="003B29EA">
      <w:pPr>
        <w:pStyle w:val="ListBullet"/>
      </w:pPr>
      <w:r>
        <w:t>These drivers of change can be expected to continue over the decade ahead</w:t>
      </w:r>
      <w:r w:rsidR="009A158D">
        <w:t>,</w:t>
      </w:r>
      <w:r>
        <w:t xml:space="preserve"> and to accommodate both larger absolute reductions in Australia’s greenhouse gas emissions</w:t>
      </w:r>
      <w:r w:rsidR="009A158D">
        <w:t>,</w:t>
      </w:r>
      <w:r>
        <w:t xml:space="preserve"> and further substantial reductions in the emissions intensity of the Australian economy.</w:t>
      </w:r>
    </w:p>
    <w:p w:rsidR="00A72A3A" w:rsidRDefault="00A72A3A" w:rsidP="003B29EA">
      <w:pPr>
        <w:pStyle w:val="ListBullet"/>
      </w:pPr>
      <w:r>
        <w:t xml:space="preserve">On the Authority’s </w:t>
      </w:r>
      <w:r w:rsidRPr="003F225B">
        <w:t>figuring</w:t>
      </w:r>
      <w:r>
        <w:t xml:space="preserve">, achievement of the recommended target of a 30 per cent reduction in emissions by 2025 would still have Australia with a </w:t>
      </w:r>
      <w:r w:rsidR="00037A0E">
        <w:t xml:space="preserve">more </w:t>
      </w:r>
      <w:r>
        <w:t>emissions intensi</w:t>
      </w:r>
      <w:r w:rsidR="00037A0E">
        <w:t>ve</w:t>
      </w:r>
      <w:r>
        <w:t xml:space="preserve"> economy (and higher per person emissions) than any major developed country other than Canada.</w:t>
      </w:r>
    </w:p>
    <w:p w:rsidR="00A72A3A" w:rsidRPr="00771C73" w:rsidRDefault="00771C73" w:rsidP="00C841DD">
      <w:pPr>
        <w:pStyle w:val="BodyText"/>
      </w:pPr>
      <w:r w:rsidRPr="00771C73">
        <w:t>In any event</w:t>
      </w:r>
      <w:r w:rsidR="00F26BA3">
        <w:t>,</w:t>
      </w:r>
      <w:r w:rsidRPr="00771C73">
        <w:t xml:space="preserve"> it is</w:t>
      </w:r>
      <w:r w:rsidR="00A72A3A" w:rsidRPr="00771C73">
        <w:t xml:space="preserve"> the reduction in a country’s total emissions</w:t>
      </w:r>
      <w:r w:rsidR="00C841DD">
        <w:t>—not its emissions intensity—</w:t>
      </w:r>
      <w:r w:rsidR="00A72A3A" w:rsidRPr="00771C73">
        <w:t>which is the most relevant measure in assessing that country’s contribution to attaining the 2 degree goal.</w:t>
      </w:r>
      <w:r w:rsidR="00C841DD">
        <w:t xml:space="preserve"> On this measure, </w:t>
      </w:r>
      <w:r w:rsidR="00A72A3A" w:rsidRPr="00771C73">
        <w:t>the Authority reaffirms its recommended target of a 30 per cent reduction in Australia’s greenhouse gas emissions in 2025, compared with the 2000 level. Such a commitment by Australia, together with those foreshadowed by other major countries, would help to move the world closer to a sustainable path towards the 2 degree goal.</w:t>
      </w:r>
    </w:p>
    <w:p w:rsidR="001D497E" w:rsidRPr="00771C73" w:rsidRDefault="00A72A3A" w:rsidP="00771C73">
      <w:pPr>
        <w:pStyle w:val="BodyText"/>
      </w:pPr>
      <w:r w:rsidRPr="00771C73">
        <w:t>Stakeholder feedback on two other matters raise</w:t>
      </w:r>
      <w:r w:rsidR="00B56CF4" w:rsidRPr="00771C73">
        <w:t>d</w:t>
      </w:r>
      <w:r w:rsidRPr="00771C73">
        <w:t xml:space="preserve"> in the Authority’s draft report might be noted here. First, the Authority’s recommended package of a specific target for 2025 and a target range out to 203</w:t>
      </w:r>
      <w:r w:rsidR="00F26BA3">
        <w:t xml:space="preserve">0 received general support, </w:t>
      </w:r>
      <w:r w:rsidRPr="00771C73">
        <w:t xml:space="preserve">combining </w:t>
      </w:r>
      <w:r w:rsidR="00F26BA3">
        <w:t xml:space="preserve">as it would </w:t>
      </w:r>
      <w:r w:rsidRPr="00771C73">
        <w:t xml:space="preserve">clear signals as to the Government’s intentions in the earlier years with flexibility to adjust Australia’s efforts in the latter years in the light of relevant developments. Secondly, stakeholders did not express </w:t>
      </w:r>
      <w:r w:rsidR="001D497E" w:rsidRPr="00771C73">
        <w:t>strong</w:t>
      </w:r>
      <w:r w:rsidRPr="00771C73">
        <w:t xml:space="preserve"> views on any preferred base (or reference) year for Australia’s targets. Several note</w:t>
      </w:r>
      <w:r w:rsidR="00C841DD">
        <w:t>d</w:t>
      </w:r>
      <w:r w:rsidRPr="00771C73">
        <w:t xml:space="preserve">, however, that choosing particular base years could make targets appear stronger without </w:t>
      </w:r>
      <w:r w:rsidR="00C841DD">
        <w:t xml:space="preserve">necessarily </w:t>
      </w:r>
      <w:r w:rsidRPr="00771C73">
        <w:t>entailing any stronger effort on the part of policy</w:t>
      </w:r>
      <w:r w:rsidR="00C841DD">
        <w:t>makers</w:t>
      </w:r>
      <w:r w:rsidRPr="00771C73">
        <w:t xml:space="preserve"> to reduce emissions (see Figure 2). The Authority has based its recommendations on the year 2000 to maintain consistency with Australia’s previous commitments.</w:t>
      </w:r>
    </w:p>
    <w:p w:rsidR="00DB1725" w:rsidRDefault="00DB1725" w:rsidP="000D1B91">
      <w:pPr>
        <w:pStyle w:val="Headingreferences"/>
      </w:pPr>
      <w:r>
        <w:t>Benefits and Costs</w:t>
      </w:r>
    </w:p>
    <w:p w:rsidR="009D6DBD" w:rsidRPr="00771C73" w:rsidRDefault="009D6DBD" w:rsidP="00771C73">
      <w:pPr>
        <w:pStyle w:val="BodyText"/>
      </w:pPr>
      <w:r w:rsidRPr="00771C73">
        <w:t xml:space="preserve">In its Draft Report the Authority identified the major benefits to Australia of effective action to reduce global emissions as the avoidance of the adverse social, economic and environmental impacts of dangerous climate change. </w:t>
      </w:r>
      <w:r w:rsidR="00C841DD">
        <w:t xml:space="preserve">It is clearly in </w:t>
      </w:r>
      <w:r w:rsidRPr="00771C73">
        <w:t>Australia’s</w:t>
      </w:r>
      <w:r w:rsidR="00C841DD">
        <w:t xml:space="preserve"> interests to strive towards this outcome: in doing so Australia would be playing a responsible </w:t>
      </w:r>
      <w:r w:rsidR="00F26BA3">
        <w:t xml:space="preserve">international </w:t>
      </w:r>
      <w:r w:rsidR="00C841DD">
        <w:t>role in helping to reduce global emissions and, simultaneously, acting to protect vital interests of current and future generations of Australians.</w:t>
      </w:r>
      <w:r w:rsidRPr="00771C73">
        <w:t xml:space="preserve"> In addition, the transition to a low carbon world now underway carrie</w:t>
      </w:r>
      <w:r w:rsidR="00EF109B">
        <w:t>s</w:t>
      </w:r>
      <w:r w:rsidRPr="00771C73">
        <w:t xml:space="preserve"> with it the prospect of benefits of the more conventional kind—new technologies, skills, investments, industries and jobs—for Australia and other countries with the foresight and wit to seize these opportunities.</w:t>
      </w:r>
    </w:p>
    <w:p w:rsidR="001D497E" w:rsidRPr="00771C73" w:rsidRDefault="009D6DBD" w:rsidP="00771C73">
      <w:pPr>
        <w:pStyle w:val="BodyText"/>
      </w:pPr>
      <w:r w:rsidRPr="00771C73">
        <w:lastRenderedPageBreak/>
        <w:t>The Authority also acknowledge</w:t>
      </w:r>
      <w:r w:rsidR="00976E40" w:rsidRPr="00771C73">
        <w:t>d</w:t>
      </w:r>
      <w:r w:rsidRPr="00771C73">
        <w:t xml:space="preserve"> in its Draft Report that achieving the requisite reductions in Australia’s greenhouse gas emissions would entail some costs, and these could impact more heavily on some industries and communities than others. The Authority argued that these costs would depend largely on the particular measures adopted to pursue the targets and</w:t>
      </w:r>
      <w:r w:rsidR="00B71545">
        <w:t>,</w:t>
      </w:r>
      <w:r w:rsidRPr="00771C73">
        <w:t xml:space="preserve"> </w:t>
      </w:r>
      <w:r w:rsidR="00B71545">
        <w:t xml:space="preserve">at least </w:t>
      </w:r>
      <w:r w:rsidRPr="00771C73">
        <w:t>in the first instance,</w:t>
      </w:r>
      <w:r w:rsidR="00771C73" w:rsidRPr="00771C73">
        <w:t xml:space="preserve"> are best addressed</w:t>
      </w:r>
      <w:r w:rsidRPr="00771C73">
        <w:t xml:space="preserve"> through the design of those measures</w:t>
      </w:r>
      <w:r w:rsidR="00B9708D">
        <w:t>,</w:t>
      </w:r>
      <w:r w:rsidRPr="00771C73">
        <w:t xml:space="preserve"> </w:t>
      </w:r>
      <w:r w:rsidR="00B71545">
        <w:t>not</w:t>
      </w:r>
      <w:r w:rsidR="00355CD2">
        <w:t xml:space="preserve"> </w:t>
      </w:r>
      <w:r w:rsidRPr="00771C73">
        <w:t>through scaling back the targets themselves.</w:t>
      </w:r>
    </w:p>
    <w:p w:rsidR="000257E1" w:rsidRDefault="009D6DBD" w:rsidP="00FC3A53">
      <w:pPr>
        <w:pStyle w:val="Heading4"/>
        <w:spacing w:line="240" w:lineRule="auto"/>
      </w:pPr>
      <w:r>
        <w:t>S</w:t>
      </w:r>
      <w:r w:rsidR="000257E1">
        <w:t>takeholder</w:t>
      </w:r>
      <w:r>
        <w:t xml:space="preserve"> feedback</w:t>
      </w:r>
    </w:p>
    <w:p w:rsidR="009D6DBD" w:rsidRPr="00771C73" w:rsidRDefault="009D6DBD" w:rsidP="00771C73">
      <w:pPr>
        <w:pStyle w:val="BodyText"/>
      </w:pPr>
      <w:r w:rsidRPr="00771C73">
        <w:t xml:space="preserve">Feedback from the discussions </w:t>
      </w:r>
      <w:r w:rsidR="00B71545">
        <w:t>on the</w:t>
      </w:r>
      <w:r w:rsidRPr="00771C73">
        <w:t xml:space="preserve"> benefits and costs of the Authority’s recommended targets tended to reflect the perceived implications </w:t>
      </w:r>
      <w:r w:rsidR="00B71545">
        <w:t xml:space="preserve">of the targets </w:t>
      </w:r>
      <w:r w:rsidRPr="00771C73">
        <w:t xml:space="preserve">for the </w:t>
      </w:r>
      <w:r w:rsidR="00B71545" w:rsidRPr="00771C73">
        <w:t xml:space="preserve">balance sheets </w:t>
      </w:r>
      <w:r w:rsidR="00B71545">
        <w:t xml:space="preserve">of </w:t>
      </w:r>
      <w:r w:rsidRPr="00771C73">
        <w:t>particular stakeholder</w:t>
      </w:r>
      <w:r w:rsidR="00C01DB5">
        <w:t>s</w:t>
      </w:r>
      <w:r w:rsidRPr="00771C73">
        <w:t>. Industry groups were obviously concerned that Australia’s target</w:t>
      </w:r>
      <w:r w:rsidRPr="00901B31">
        <w:t>s should not create heavy cost burdens for Australian businesses</w:t>
      </w:r>
      <w:r w:rsidR="00F26BA3">
        <w:t>,</w:t>
      </w:r>
      <w:r w:rsidRPr="00901B31">
        <w:t xml:space="preserve"> or undermine their international competitiveness. </w:t>
      </w:r>
      <w:r w:rsidR="00B47A3C">
        <w:t xml:space="preserve">A couple of stakeholders </w:t>
      </w:r>
      <w:r w:rsidR="00901B31" w:rsidRPr="00901B31">
        <w:t>made the point that, given its high</w:t>
      </w:r>
      <w:r w:rsidR="00B9708D">
        <w:t>ly</w:t>
      </w:r>
      <w:r w:rsidR="00901B31" w:rsidRPr="00901B31">
        <w:t xml:space="preserve"> emissions intensive economy, Australia would have to make greater efforts than many other countries to meet any nominated target, a point which was discussed earlier in this </w:t>
      </w:r>
      <w:r w:rsidR="00355CD2">
        <w:t>r</w:t>
      </w:r>
      <w:r w:rsidR="00901B31" w:rsidRPr="00901B31">
        <w:t>eport.</w:t>
      </w:r>
    </w:p>
    <w:p w:rsidR="009D6DBD" w:rsidRPr="00771C73" w:rsidRDefault="009D6DBD" w:rsidP="00771C73">
      <w:pPr>
        <w:pStyle w:val="BodyText"/>
      </w:pPr>
      <w:r w:rsidRPr="00771C73">
        <w:t>Other stakeholders observed that Australia’s future, including its economy, was about much more than mining, with some</w:t>
      </w:r>
      <w:r w:rsidR="00B71545">
        <w:t xml:space="preserve"> </w:t>
      </w:r>
      <w:r w:rsidR="00F26BA3">
        <w:t>emphasizing avoidance of</w:t>
      </w:r>
      <w:r w:rsidRPr="00771C73">
        <w:t xml:space="preserve"> the harmful consequences of dangerous climate change, and </w:t>
      </w:r>
      <w:r w:rsidR="00C01DB5">
        <w:t>others</w:t>
      </w:r>
      <w:r w:rsidRPr="00771C73">
        <w:t xml:space="preserve"> emphasising </w:t>
      </w:r>
      <w:r w:rsidR="00B71545">
        <w:t xml:space="preserve">the opportunities for </w:t>
      </w:r>
      <w:r w:rsidRPr="00771C73">
        <w:t xml:space="preserve">Australia to </w:t>
      </w:r>
      <w:r w:rsidR="00B71545">
        <w:t>develop new industries</w:t>
      </w:r>
      <w:r w:rsidR="00F26BA3">
        <w:t xml:space="preserve"> </w:t>
      </w:r>
      <w:r w:rsidR="00B71545">
        <w:t xml:space="preserve">through greater utilisation of the </w:t>
      </w:r>
      <w:r w:rsidRPr="00771C73">
        <w:t xml:space="preserve">country’s abundant renewable energy resources. </w:t>
      </w:r>
      <w:r w:rsidR="00B71545">
        <w:t>E</w:t>
      </w:r>
      <w:r w:rsidRPr="00771C73">
        <w:t>missions intensive and trade expose</w:t>
      </w:r>
      <w:r w:rsidR="00976E40" w:rsidRPr="00771C73">
        <w:t>d</w:t>
      </w:r>
      <w:r w:rsidRPr="00771C73">
        <w:t xml:space="preserve"> sectors </w:t>
      </w:r>
      <w:r w:rsidR="00B71545">
        <w:t xml:space="preserve">currently </w:t>
      </w:r>
      <w:r w:rsidRPr="00771C73">
        <w:t xml:space="preserve">generate a large share of </w:t>
      </w:r>
      <w:r w:rsidR="00B71545">
        <w:t>Australia’s</w:t>
      </w:r>
      <w:r w:rsidRPr="00771C73">
        <w:t xml:space="preserve"> exports</w:t>
      </w:r>
      <w:r w:rsidR="00B71545">
        <w:t xml:space="preserve"> but</w:t>
      </w:r>
      <w:r w:rsidRPr="00771C73">
        <w:t xml:space="preserve"> they </w:t>
      </w:r>
      <w:r w:rsidR="00B71545">
        <w:t xml:space="preserve">make up </w:t>
      </w:r>
      <w:r w:rsidRPr="00771C73">
        <w:t>rather less than 10 per cent of the whole economy.</w:t>
      </w:r>
    </w:p>
    <w:p w:rsidR="009D6DBD" w:rsidRPr="00771C73" w:rsidRDefault="009D6DBD" w:rsidP="00771C73">
      <w:pPr>
        <w:pStyle w:val="BodyText"/>
      </w:pPr>
      <w:r w:rsidRPr="00771C73">
        <w:t>The Author</w:t>
      </w:r>
      <w:r w:rsidR="00943278">
        <w:t>ity had not looked for—or found</w:t>
      </w:r>
      <w:r w:rsidR="00943278" w:rsidRPr="00771C73">
        <w:t>—</w:t>
      </w:r>
      <w:r w:rsidR="00F26BA3">
        <w:t>unanimity in</w:t>
      </w:r>
      <w:r w:rsidRPr="00771C73">
        <w:t xml:space="preserve"> stakeholder views on the benefits and costs of the Authority’s recommended targets. This outcome was expected, not least because the costs of achieving any given emissions reduction target cannot be meaningfully </w:t>
      </w:r>
      <w:r w:rsidR="00933748">
        <w:t>assessed</w:t>
      </w:r>
      <w:r w:rsidRPr="00771C73">
        <w:t xml:space="preserve"> until the suite of measures to be adopted has been identified. The feedback was nonetheless helpful in a number of respects, including its co</w:t>
      </w:r>
      <w:r w:rsidR="00F26BA3">
        <w:t xml:space="preserve">nsiderable focus on the </w:t>
      </w:r>
      <w:r w:rsidRPr="00771C73">
        <w:t xml:space="preserve">potential benefits and opportunities to be stacked up against the costs (when these can be </w:t>
      </w:r>
      <w:r w:rsidR="00F26BA3">
        <w:t>sensibly estima</w:t>
      </w:r>
      <w:r w:rsidRPr="00771C73">
        <w:t>ted). It has also lent broad support for many of the propositions underlying the Authority’s thinking in its Draft Report. In particular</w:t>
      </w:r>
      <w:r w:rsidR="00933748">
        <w:t>,</w:t>
      </w:r>
      <w:r w:rsidRPr="00771C73">
        <w:t xml:space="preserve"> that:</w:t>
      </w:r>
    </w:p>
    <w:p w:rsidR="009D6DBD" w:rsidRPr="00332346" w:rsidRDefault="009D6DBD" w:rsidP="00EF109B">
      <w:pPr>
        <w:pStyle w:val="ListBullet"/>
      </w:pPr>
      <w:r w:rsidRPr="00332346">
        <w:t>the targets to be recommended by the Authority should be based primarily on the science of climate change and broad comparability with the efforts of other wealthy, developed countries</w:t>
      </w:r>
      <w:r w:rsidR="00933748">
        <w:t>;</w:t>
      </w:r>
    </w:p>
    <w:p w:rsidR="009D6DBD" w:rsidRPr="003B29EA" w:rsidRDefault="009D6DBD" w:rsidP="00EF109B">
      <w:pPr>
        <w:pStyle w:val="ListBullet"/>
      </w:pPr>
      <w:r w:rsidRPr="003B29EA">
        <w:t>targets which are judged to be in the nation’s best interest</w:t>
      </w:r>
      <w:r w:rsidR="00933748">
        <w:t>s</w:t>
      </w:r>
      <w:r w:rsidRPr="003B29EA">
        <w:t xml:space="preserve"> should not be scaled back to try to protect sectoral interests—possible threats to the cost base or competitiveness of particular activities should be addressed, in the first instance, through the design of the policies chosen to meet those targets</w:t>
      </w:r>
      <w:r w:rsidR="00933748">
        <w:t>;</w:t>
      </w:r>
      <w:r w:rsidR="00E06BB7">
        <w:t xml:space="preserve"> and</w:t>
      </w:r>
    </w:p>
    <w:p w:rsidR="009D6DBD" w:rsidRPr="003B29EA" w:rsidRDefault="009D6DBD" w:rsidP="00EF109B">
      <w:pPr>
        <w:pStyle w:val="ListBullet"/>
      </w:pPr>
      <w:r w:rsidRPr="003B29EA">
        <w:t xml:space="preserve">the provision of </w:t>
      </w:r>
      <w:r w:rsidR="00933748">
        <w:t xml:space="preserve">any additional </w:t>
      </w:r>
      <w:r w:rsidRPr="003B29EA">
        <w:t xml:space="preserve">support </w:t>
      </w:r>
      <w:r w:rsidR="00933748">
        <w:t xml:space="preserve">that might be considered necessary </w:t>
      </w:r>
      <w:r w:rsidRPr="003B29EA">
        <w:t xml:space="preserve">to assist </w:t>
      </w:r>
      <w:r w:rsidR="00F26BA3">
        <w:t xml:space="preserve">certain </w:t>
      </w:r>
      <w:r w:rsidRPr="003B29EA">
        <w:t>emissions</w:t>
      </w:r>
      <w:r w:rsidR="00C01DB5">
        <w:noBreakHyphen/>
      </w:r>
      <w:r w:rsidRPr="003B29EA">
        <w:t>intensive activities to adjust to the ongoing transition to a low carbon world should not</w:t>
      </w:r>
      <w:r w:rsidR="00976E40" w:rsidRPr="003B29EA">
        <w:t xml:space="preserve"> be</w:t>
      </w:r>
      <w:r w:rsidRPr="003B29EA">
        <w:t xml:space="preserve"> at the discouragement of new</w:t>
      </w:r>
      <w:r w:rsidR="00EA2603">
        <w:t xml:space="preserve"> investment in renewable energy</w:t>
      </w:r>
      <w:r w:rsidR="00933748">
        <w:t xml:space="preserve">—which could </w:t>
      </w:r>
      <w:r w:rsidR="00EA2603">
        <w:t xml:space="preserve">not </w:t>
      </w:r>
      <w:r w:rsidR="00933748">
        <w:t>be said to be the situation currently</w:t>
      </w:r>
      <w:r w:rsidRPr="003B29EA">
        <w:t>.</w:t>
      </w:r>
    </w:p>
    <w:p w:rsidR="00D569EE" w:rsidRDefault="00DE5161" w:rsidP="003D3099">
      <w:pPr>
        <w:pStyle w:val="Headingreferences"/>
      </w:pPr>
      <w:r>
        <w:lastRenderedPageBreak/>
        <w:t>Endpiece</w:t>
      </w:r>
    </w:p>
    <w:p w:rsidR="00E01152" w:rsidRPr="003B29EA" w:rsidRDefault="00E01152" w:rsidP="003D3099">
      <w:pPr>
        <w:pStyle w:val="BodyText"/>
        <w:keepNext/>
      </w:pPr>
      <w:r w:rsidRPr="003B29EA">
        <w:t xml:space="preserve">For the reasons discussed </w:t>
      </w:r>
      <w:r w:rsidR="00FD55BD" w:rsidRPr="003B29EA">
        <w:t xml:space="preserve">in </w:t>
      </w:r>
      <w:r w:rsidRPr="003B29EA">
        <w:t xml:space="preserve">its </w:t>
      </w:r>
      <w:r w:rsidR="00976E40" w:rsidRPr="003B29EA">
        <w:t>D</w:t>
      </w:r>
      <w:r w:rsidRPr="003B29EA">
        <w:t xml:space="preserve">raft </w:t>
      </w:r>
      <w:r w:rsidR="00976E40" w:rsidRPr="003B29EA">
        <w:t>R</w:t>
      </w:r>
      <w:r w:rsidRPr="003B29EA">
        <w:t>eport</w:t>
      </w:r>
      <w:r w:rsidR="00EA3012" w:rsidRPr="003B29EA">
        <w:t xml:space="preserve"> and reiterated briefly here</w:t>
      </w:r>
      <w:r w:rsidR="004E194C" w:rsidRPr="003B29EA">
        <w:t xml:space="preserve">, </w:t>
      </w:r>
      <w:r w:rsidRPr="003B29EA">
        <w:t xml:space="preserve">the Authority </w:t>
      </w:r>
      <w:r w:rsidR="004E194C" w:rsidRPr="003B29EA">
        <w:t xml:space="preserve">confirms its </w:t>
      </w:r>
      <w:r w:rsidR="0072448B">
        <w:t xml:space="preserve">preliminary </w:t>
      </w:r>
      <w:r w:rsidR="004E194C" w:rsidRPr="003B29EA">
        <w:t xml:space="preserve">recommendations </w:t>
      </w:r>
      <w:r w:rsidRPr="003B29EA">
        <w:t>that Australia commit to the following pa</w:t>
      </w:r>
      <w:r w:rsidR="00332346">
        <w:t>ckage at the forthcoming Paris C</w:t>
      </w:r>
      <w:r w:rsidRPr="003B29EA">
        <w:t>onference:</w:t>
      </w:r>
    </w:p>
    <w:p w:rsidR="00E01152" w:rsidRPr="003B29EA" w:rsidRDefault="00E01152" w:rsidP="003B29EA">
      <w:pPr>
        <w:pStyle w:val="ListBullet"/>
        <w:rPr>
          <w:rFonts w:eastAsiaTheme="minorHAnsi"/>
        </w:rPr>
      </w:pPr>
      <w:r w:rsidRPr="003B29EA">
        <w:rPr>
          <w:rFonts w:eastAsiaTheme="minorHAnsi"/>
        </w:rPr>
        <w:t xml:space="preserve">a 2025 target of a 30 per cent reduction in its emissions below 2000 levels (or a </w:t>
      </w:r>
      <w:r w:rsidR="0068008C" w:rsidRPr="003B29EA">
        <w:rPr>
          <w:rFonts w:eastAsiaTheme="minorHAnsi"/>
        </w:rPr>
        <w:t xml:space="preserve">36 </w:t>
      </w:r>
      <w:r w:rsidRPr="003B29EA">
        <w:rPr>
          <w:rFonts w:eastAsiaTheme="minorHAnsi"/>
        </w:rPr>
        <w:t>per cent reduction if the Government should choose 2005 as its preferred base year)</w:t>
      </w:r>
      <w:r w:rsidR="00EF109B">
        <w:rPr>
          <w:rFonts w:eastAsiaTheme="minorHAnsi"/>
        </w:rPr>
        <w:t>; and</w:t>
      </w:r>
    </w:p>
    <w:p w:rsidR="00976E40" w:rsidRPr="003B29EA" w:rsidRDefault="00E01152" w:rsidP="003B29EA">
      <w:pPr>
        <w:pStyle w:val="ListBullet"/>
        <w:rPr>
          <w:rFonts w:eastAsiaTheme="minorHAnsi"/>
        </w:rPr>
      </w:pPr>
      <w:r w:rsidRPr="003B29EA">
        <w:rPr>
          <w:rFonts w:eastAsiaTheme="minorHAnsi"/>
        </w:rPr>
        <w:t>further reductions within a range of 40</w:t>
      </w:r>
      <w:r w:rsidR="005C4576" w:rsidRPr="003B29EA">
        <w:rPr>
          <w:rFonts w:eastAsiaTheme="minorHAnsi"/>
        </w:rPr>
        <w:t xml:space="preserve"> to </w:t>
      </w:r>
      <w:r w:rsidRPr="003B29EA">
        <w:rPr>
          <w:rFonts w:eastAsiaTheme="minorHAnsi"/>
        </w:rPr>
        <w:t xml:space="preserve">60 per cent below 2000 levels by 2030 (or a range of </w:t>
      </w:r>
      <w:r w:rsidR="00EB1AED" w:rsidRPr="003B29EA">
        <w:rPr>
          <w:rFonts w:eastAsiaTheme="minorHAnsi"/>
        </w:rPr>
        <w:t xml:space="preserve">approximately 45 to 65 </w:t>
      </w:r>
      <w:r w:rsidRPr="003B29EA">
        <w:rPr>
          <w:rFonts w:eastAsiaTheme="minorHAnsi"/>
        </w:rPr>
        <w:t>per cent below 2005 levels).</w:t>
      </w:r>
      <w:r w:rsidR="00EB1AED" w:rsidRPr="003B29EA">
        <w:rPr>
          <w:rFonts w:eastAsiaTheme="minorHAnsi"/>
        </w:rPr>
        <w:t xml:space="preserve"> </w:t>
      </w:r>
    </w:p>
    <w:p w:rsidR="00E01152" w:rsidRPr="003B29EA" w:rsidRDefault="00E01152" w:rsidP="003B29EA">
      <w:pPr>
        <w:pStyle w:val="BodyText"/>
      </w:pPr>
      <w:r w:rsidRPr="003B29EA">
        <w:t xml:space="preserve">The second and third parts of the Special Review commissioned by the Minister </w:t>
      </w:r>
      <w:r w:rsidR="007B7057" w:rsidRPr="003B29EA">
        <w:t xml:space="preserve">for the Environment </w:t>
      </w:r>
      <w:r w:rsidRPr="003B29EA">
        <w:t xml:space="preserve">require the Authority to report on possible policy actions </w:t>
      </w:r>
      <w:r w:rsidR="0072448B">
        <w:t xml:space="preserve">to achieve </w:t>
      </w:r>
      <w:r w:rsidRPr="003B29EA">
        <w:t>Australia</w:t>
      </w:r>
      <w:r w:rsidR="00B9708D">
        <w:t>’</w:t>
      </w:r>
      <w:r w:rsidRPr="003B29EA">
        <w:t>s post-2020 targets. A</w:t>
      </w:r>
      <w:r w:rsidR="00EA3012" w:rsidRPr="003B29EA">
        <w:t>s part of this exercise, a</w:t>
      </w:r>
      <w:r w:rsidRPr="003B29EA">
        <w:t xml:space="preserve"> d</w:t>
      </w:r>
      <w:r w:rsidR="00F71A1D" w:rsidRPr="003B29EA">
        <w:t>raft report on the case for an e</w:t>
      </w:r>
      <w:r w:rsidRPr="003B29EA">
        <w:t>missions</w:t>
      </w:r>
      <w:r w:rsidR="00F71A1D" w:rsidRPr="003B29EA">
        <w:t xml:space="preserve"> trading s</w:t>
      </w:r>
      <w:r w:rsidRPr="003B29EA">
        <w:t xml:space="preserve">cheme for Australia is to be </w:t>
      </w:r>
      <w:r w:rsidR="00933748">
        <w:t>completed</w:t>
      </w:r>
      <w:r w:rsidRPr="003B29EA">
        <w:t xml:space="preserve"> by 30 November 2015</w:t>
      </w:r>
      <w:r w:rsidR="00D17C42" w:rsidRPr="003B29EA">
        <w:t>. T</w:t>
      </w:r>
      <w:r w:rsidRPr="003B29EA">
        <w:t>he third and final part of the Special Review specifically requires the Authority to report by 30</w:t>
      </w:r>
      <w:r w:rsidR="00B9708D">
        <w:t> </w:t>
      </w:r>
      <w:r w:rsidRPr="003B29EA">
        <w:t>June</w:t>
      </w:r>
      <w:r w:rsidR="00B9708D">
        <w:t> </w:t>
      </w:r>
      <w:r w:rsidRPr="003B29EA">
        <w:t xml:space="preserve">2016 on the </w:t>
      </w:r>
      <w:r w:rsidR="0072448B">
        <w:t xml:space="preserve">full suite of </w:t>
      </w:r>
      <w:r w:rsidRPr="003B29EA">
        <w:t xml:space="preserve">actions Australia should take to </w:t>
      </w:r>
      <w:r w:rsidR="0072448B">
        <w:t xml:space="preserve">meet its </w:t>
      </w:r>
      <w:r w:rsidR="00933748">
        <w:t xml:space="preserve">commitments arising out of </w:t>
      </w:r>
      <w:r w:rsidR="00F71A1D" w:rsidRPr="003B29EA">
        <w:t xml:space="preserve">the Paris </w:t>
      </w:r>
      <w:r w:rsidR="00355CD2">
        <w:t>C</w:t>
      </w:r>
      <w:r w:rsidRPr="003B29EA">
        <w:t>onference</w:t>
      </w:r>
      <w:r w:rsidR="00D17C42" w:rsidRPr="003B29EA">
        <w:t>. T</w:t>
      </w:r>
      <w:r w:rsidRPr="003B29EA">
        <w:t xml:space="preserve">hat final report will </w:t>
      </w:r>
      <w:r w:rsidR="00EA3012" w:rsidRPr="003B29EA">
        <w:t>be the vehicle for the Authority</w:t>
      </w:r>
      <w:r w:rsidRPr="003B29EA">
        <w:t xml:space="preserve"> to present </w:t>
      </w:r>
      <w:r w:rsidR="00EA3012" w:rsidRPr="003B29EA">
        <w:t xml:space="preserve">its analysis and </w:t>
      </w:r>
      <w:r w:rsidRPr="003B29EA">
        <w:t xml:space="preserve">recommendations on how </w:t>
      </w:r>
      <w:r w:rsidR="00EA3012" w:rsidRPr="003B29EA">
        <w:t xml:space="preserve">Australia’s actual </w:t>
      </w:r>
      <w:r w:rsidRPr="003B29EA">
        <w:t>post-2020 targets might be most appropriately and cost-effectively implemented.</w:t>
      </w:r>
    </w:p>
    <w:p w:rsidR="00D569EE" w:rsidRPr="003B29EA" w:rsidRDefault="00520F4F" w:rsidP="003B29EA">
      <w:pPr>
        <w:pStyle w:val="BodyText"/>
      </w:pPr>
      <w:r w:rsidRPr="003B29EA">
        <w:t>At this time, however, attention is properly focussed on the targets themselves. The Authority believes its recommendations constitute a credible package for the Australian Government to take to the Paris Conference. It is credible in terms of what the science requires</w:t>
      </w:r>
      <w:r w:rsidR="00EA3012" w:rsidRPr="003B29EA">
        <w:t>—</w:t>
      </w:r>
      <w:r w:rsidRPr="003B29EA">
        <w:t>and what many comparable countries are doing</w:t>
      </w:r>
      <w:r w:rsidR="00EA3012" w:rsidRPr="003B29EA">
        <w:t>—</w:t>
      </w:r>
      <w:r w:rsidRPr="003B29EA">
        <w:t xml:space="preserve">to move the world back towards a global emissions reduction path consistent with a reasonable chance of limiting the increase in global warming to 2 degrees. It would also send a credible signal to domestic and international stakeholders alike that the Government </w:t>
      </w:r>
      <w:r w:rsidR="009A158D">
        <w:t>is</w:t>
      </w:r>
      <w:r w:rsidRPr="003B29EA">
        <w:t xml:space="preserve"> intent on playing a leadership role in guiding Australia's long-term transition to a </w:t>
      </w:r>
      <w:r w:rsidR="00EA3012" w:rsidRPr="003B29EA">
        <w:t xml:space="preserve">sustainable, </w:t>
      </w:r>
      <w:r w:rsidRPr="003B29EA">
        <w:t xml:space="preserve">low carbon world. </w:t>
      </w:r>
    </w:p>
    <w:p w:rsidR="006E2DA4" w:rsidRPr="00D52357" w:rsidRDefault="006E2DA4" w:rsidP="00FC3A53">
      <w:pPr>
        <w:pStyle w:val="BodyText"/>
        <w:numPr>
          <w:ilvl w:val="0"/>
          <w:numId w:val="24"/>
        </w:numPr>
        <w:spacing w:line="240" w:lineRule="auto"/>
      </w:pPr>
      <w:r w:rsidRPr="00D52357">
        <w:br w:type="page"/>
      </w:r>
    </w:p>
    <w:p w:rsidR="00006DD2" w:rsidRDefault="00006DD2" w:rsidP="000D1B91">
      <w:pPr>
        <w:pStyle w:val="Headingreferences"/>
      </w:pPr>
      <w:r>
        <w:lastRenderedPageBreak/>
        <w:t xml:space="preserve">Tables and </w:t>
      </w:r>
      <w:r w:rsidR="00C01DB5">
        <w:t>F</w:t>
      </w:r>
      <w:r>
        <w:t>igures</w:t>
      </w:r>
    </w:p>
    <w:p w:rsidR="00A250C3" w:rsidRDefault="006E2DA4" w:rsidP="00976E40">
      <w:pPr>
        <w:pStyle w:val="Caption"/>
      </w:pPr>
      <w:r w:rsidRPr="00926CA4">
        <w:t xml:space="preserve">Table 1: </w:t>
      </w:r>
      <w:r w:rsidR="00853400">
        <w:t xml:space="preserve">Announced post-2020 </w:t>
      </w:r>
      <w:r w:rsidRPr="00926CA4">
        <w:t>targets</w:t>
      </w:r>
      <w:r w:rsidR="00EA3012">
        <w:t xml:space="preserve"> for emissions reductions</w:t>
      </w:r>
      <w:r w:rsidR="00173A45" w:rsidRPr="00173A45">
        <w:t xml:space="preserve"> </w:t>
      </w:r>
    </w:p>
    <w:p w:rsidR="00C01DB5" w:rsidRPr="00A14DCC" w:rsidRDefault="00C01DB5" w:rsidP="00C01DB5">
      <w:pPr>
        <w:pStyle w:val="BodyText"/>
        <w:rPr>
          <w:sz w:val="20"/>
          <w:szCs w:val="20"/>
        </w:rPr>
      </w:pPr>
      <w:r w:rsidRPr="00A14DCC">
        <w:rPr>
          <w:sz w:val="20"/>
          <w:szCs w:val="20"/>
        </w:rPr>
        <w:t>This table summarises announced and foreshadowed targets for emissions reductions post-2020</w:t>
      </w:r>
      <w:r w:rsidR="00DE63BF" w:rsidRPr="00A14DCC">
        <w:rPr>
          <w:sz w:val="20"/>
          <w:szCs w:val="20"/>
        </w:rPr>
        <w:t>; i</w:t>
      </w:r>
      <w:r w:rsidRPr="00A14DCC">
        <w:rPr>
          <w:sz w:val="20"/>
          <w:szCs w:val="20"/>
        </w:rPr>
        <w:t>t reports the targets in the terms announ</w:t>
      </w:r>
      <w:r w:rsidR="00DE63BF" w:rsidRPr="00A14DCC">
        <w:rPr>
          <w:sz w:val="20"/>
          <w:szCs w:val="20"/>
        </w:rPr>
        <w:t>ced by the countries concerned. (T</w:t>
      </w:r>
      <w:r w:rsidRPr="00A14DCC">
        <w:rPr>
          <w:sz w:val="20"/>
          <w:szCs w:val="20"/>
        </w:rPr>
        <w:t xml:space="preserve">argets for developed countries </w:t>
      </w:r>
      <w:r w:rsidR="00DE63BF" w:rsidRPr="00A14DCC">
        <w:rPr>
          <w:sz w:val="20"/>
          <w:szCs w:val="20"/>
        </w:rPr>
        <w:t xml:space="preserve">alone </w:t>
      </w:r>
      <w:r w:rsidRPr="00A14DCC">
        <w:rPr>
          <w:sz w:val="20"/>
          <w:szCs w:val="20"/>
        </w:rPr>
        <w:t>are compared on a common base year in Figure 1.</w:t>
      </w:r>
      <w:r w:rsidR="00DE63BF" w:rsidRPr="00A14DCC">
        <w:rPr>
          <w:sz w:val="20"/>
          <w:szCs w:val="20"/>
        </w:rPr>
        <w:t>)</w:t>
      </w:r>
    </w:p>
    <w:tbl>
      <w:tblPr>
        <w:tblStyle w:val="CCATable"/>
        <w:tblW w:w="0" w:type="auto"/>
        <w:tblInd w:w="198" w:type="dxa"/>
        <w:tblLayout w:type="fixed"/>
        <w:tblLook w:val="04A0" w:firstRow="1" w:lastRow="0" w:firstColumn="1" w:lastColumn="0" w:noHBand="0" w:noVBand="1"/>
      </w:tblPr>
      <w:tblGrid>
        <w:gridCol w:w="1895"/>
        <w:gridCol w:w="4961"/>
      </w:tblGrid>
      <w:tr w:rsidR="008401A3" w:rsidTr="0053060D">
        <w:trPr>
          <w:cnfStyle w:val="100000000000" w:firstRow="1" w:lastRow="0" w:firstColumn="0" w:lastColumn="0" w:oddVBand="0" w:evenVBand="0" w:oddHBand="0" w:evenHBand="0" w:firstRowFirstColumn="0" w:firstRowLastColumn="0" w:lastRowFirstColumn="0" w:lastRowLastColumn="0"/>
          <w:trHeight w:val="300"/>
        </w:trPr>
        <w:tc>
          <w:tcPr>
            <w:tcW w:w="1895" w:type="dxa"/>
            <w:tcBorders>
              <w:top w:val="single" w:sz="4" w:space="0" w:color="0C9FCD"/>
              <w:left w:val="single" w:sz="4" w:space="0" w:color="0C9FCD"/>
              <w:bottom w:val="single" w:sz="4" w:space="0" w:color="0C9FCD"/>
              <w:right w:val="single" w:sz="4" w:space="0" w:color="0C9FCD"/>
            </w:tcBorders>
            <w:noWrap/>
            <w:hideMark/>
          </w:tcPr>
          <w:p w:rsidR="008401A3" w:rsidRDefault="008401A3" w:rsidP="000D1B91">
            <w:pPr>
              <w:pStyle w:val="TableHeading"/>
            </w:pPr>
            <w:r>
              <w:t> Country</w:t>
            </w:r>
          </w:p>
        </w:tc>
        <w:tc>
          <w:tcPr>
            <w:tcW w:w="4961" w:type="dxa"/>
            <w:tcBorders>
              <w:top w:val="single" w:sz="4" w:space="0" w:color="0C9FCD"/>
              <w:left w:val="single" w:sz="4" w:space="0" w:color="0C9FCD"/>
              <w:bottom w:val="single" w:sz="4" w:space="0" w:color="0C9FCD"/>
              <w:right w:val="single" w:sz="4" w:space="0" w:color="0C9FCD"/>
            </w:tcBorders>
            <w:noWrap/>
            <w:hideMark/>
          </w:tcPr>
          <w:p w:rsidR="008401A3" w:rsidRDefault="008401A3" w:rsidP="00254790">
            <w:pPr>
              <w:pStyle w:val="TableHeading"/>
            </w:pPr>
            <w:r>
              <w:t>Target</w:t>
            </w:r>
          </w:p>
        </w:tc>
      </w:tr>
      <w:tr w:rsidR="008401A3" w:rsidTr="0053060D">
        <w:trPr>
          <w:cnfStyle w:val="000000100000" w:firstRow="0" w:lastRow="0" w:firstColumn="0" w:lastColumn="0" w:oddVBand="0" w:evenVBand="0" w:oddHBand="1" w:evenHBand="0" w:firstRowFirstColumn="0" w:firstRowLastColumn="0" w:lastRowFirstColumn="0" w:lastRowLastColumn="0"/>
          <w:trHeight w:val="251"/>
        </w:trPr>
        <w:tc>
          <w:tcPr>
            <w:tcW w:w="1895" w:type="dxa"/>
            <w:tcBorders>
              <w:top w:val="single" w:sz="4" w:space="0" w:color="0C9FCD"/>
              <w:left w:val="single" w:sz="4" w:space="0" w:color="0C9FCD"/>
              <w:bottom w:val="single" w:sz="4" w:space="0" w:color="0C9FCD"/>
              <w:right w:val="single" w:sz="4" w:space="0" w:color="0C9FCD"/>
            </w:tcBorders>
            <w:noWrap/>
          </w:tcPr>
          <w:p w:rsidR="008401A3" w:rsidRDefault="008401A3" w:rsidP="000D1B91">
            <w:pPr>
              <w:pStyle w:val="TableText"/>
            </w:pPr>
            <w:r>
              <w:t>Canada</w:t>
            </w:r>
          </w:p>
        </w:tc>
        <w:tc>
          <w:tcPr>
            <w:tcW w:w="4961" w:type="dxa"/>
            <w:tcBorders>
              <w:top w:val="single" w:sz="4" w:space="0" w:color="0C9FCD"/>
              <w:left w:val="single" w:sz="4" w:space="0" w:color="0C9FCD"/>
              <w:bottom w:val="single" w:sz="4" w:space="0" w:color="0C9FCD"/>
              <w:right w:val="single" w:sz="4" w:space="0" w:color="0C9FCD"/>
            </w:tcBorders>
            <w:noWrap/>
          </w:tcPr>
          <w:p w:rsidR="008401A3" w:rsidRDefault="008401A3" w:rsidP="00976E40">
            <w:pPr>
              <w:pStyle w:val="TableText"/>
            </w:pPr>
            <w:r w:rsidRPr="008B2271">
              <w:t>30</w:t>
            </w:r>
            <w:r w:rsidR="00976E40">
              <w:t> per cent</w:t>
            </w:r>
            <w:r w:rsidRPr="008B2271">
              <w:t xml:space="preserve"> below 2005 levels by 2030</w:t>
            </w:r>
          </w:p>
        </w:tc>
      </w:tr>
      <w:tr w:rsidR="008401A3" w:rsidTr="0053060D">
        <w:trPr>
          <w:trHeight w:val="251"/>
        </w:trPr>
        <w:tc>
          <w:tcPr>
            <w:tcW w:w="1895" w:type="dxa"/>
            <w:tcBorders>
              <w:top w:val="single" w:sz="4" w:space="0" w:color="0C9FCD"/>
              <w:left w:val="single" w:sz="4" w:space="0" w:color="0C9FCD"/>
              <w:bottom w:val="single" w:sz="4" w:space="0" w:color="0C9FCD"/>
              <w:right w:val="single" w:sz="4" w:space="0" w:color="0C9FCD"/>
            </w:tcBorders>
            <w:noWrap/>
            <w:hideMark/>
          </w:tcPr>
          <w:p w:rsidR="008401A3" w:rsidRDefault="008401A3" w:rsidP="000D1B91">
            <w:pPr>
              <w:pStyle w:val="TableText"/>
            </w:pPr>
            <w:r>
              <w:t>China</w:t>
            </w:r>
          </w:p>
        </w:tc>
        <w:tc>
          <w:tcPr>
            <w:tcW w:w="4961" w:type="dxa"/>
            <w:tcBorders>
              <w:top w:val="single" w:sz="4" w:space="0" w:color="0C9FCD"/>
              <w:left w:val="single" w:sz="4" w:space="0" w:color="0C9FCD"/>
              <w:bottom w:val="single" w:sz="4" w:space="0" w:color="0C9FCD"/>
              <w:right w:val="single" w:sz="4" w:space="0" w:color="0C9FCD"/>
            </w:tcBorders>
            <w:noWrap/>
            <w:hideMark/>
          </w:tcPr>
          <w:p w:rsidR="008401A3" w:rsidRDefault="008401A3" w:rsidP="0053060D">
            <w:pPr>
              <w:pStyle w:val="TableText"/>
            </w:pPr>
            <w:r>
              <w:t>peak CO</w:t>
            </w:r>
            <w:r>
              <w:rPr>
                <w:vertAlign w:val="subscript"/>
              </w:rPr>
              <w:t xml:space="preserve">2 </w:t>
            </w:r>
            <w:r>
              <w:t xml:space="preserve">emissions </w:t>
            </w:r>
            <w:r w:rsidR="001D497E">
              <w:t xml:space="preserve">by </w:t>
            </w:r>
            <w:r>
              <w:t>2030</w:t>
            </w:r>
            <w:r w:rsidR="00EA3012">
              <w:t xml:space="preserve"> and </w:t>
            </w:r>
            <w:r w:rsidR="00EA3012" w:rsidRPr="00EA3012">
              <w:t>to make best efforts to peak early</w:t>
            </w:r>
            <w:r w:rsidR="0070406A">
              <w:t>; r</w:t>
            </w:r>
            <w:r w:rsidR="0053060D">
              <w:t xml:space="preserve">educe </w:t>
            </w:r>
            <w:r w:rsidR="0053060D" w:rsidRPr="0053060D">
              <w:t xml:space="preserve">emissions </w:t>
            </w:r>
            <w:r w:rsidR="0053060D">
              <w:t xml:space="preserve">intensity </w:t>
            </w:r>
            <w:r w:rsidR="0053060D" w:rsidRPr="0053060D">
              <w:t>per unit of GDP by 60</w:t>
            </w:r>
            <w:r w:rsidR="0053060D">
              <w:t xml:space="preserve"> to 65 per cent from </w:t>
            </w:r>
            <w:r w:rsidR="0053060D" w:rsidRPr="0053060D">
              <w:t>2005 level</w:t>
            </w:r>
            <w:r w:rsidR="0053060D">
              <w:t>s</w:t>
            </w:r>
            <w:r w:rsidR="0070406A">
              <w:t xml:space="preserve"> by 2030</w:t>
            </w:r>
          </w:p>
        </w:tc>
      </w:tr>
      <w:tr w:rsidR="008401A3" w:rsidTr="0053060D">
        <w:trPr>
          <w:cnfStyle w:val="000000100000" w:firstRow="0" w:lastRow="0" w:firstColumn="0" w:lastColumn="0" w:oddVBand="0" w:evenVBand="0" w:oddHBand="1" w:evenHBand="0" w:firstRowFirstColumn="0" w:firstRowLastColumn="0" w:lastRowFirstColumn="0" w:lastRowLastColumn="0"/>
          <w:trHeight w:val="330"/>
        </w:trPr>
        <w:tc>
          <w:tcPr>
            <w:tcW w:w="1895" w:type="dxa"/>
            <w:tcBorders>
              <w:top w:val="single" w:sz="4" w:space="0" w:color="0C9FCD"/>
              <w:left w:val="single" w:sz="4" w:space="0" w:color="0C9FCD"/>
              <w:bottom w:val="single" w:sz="4" w:space="0" w:color="0C9FCD"/>
              <w:right w:val="single" w:sz="4" w:space="0" w:color="0C9FCD"/>
            </w:tcBorders>
            <w:noWrap/>
            <w:hideMark/>
          </w:tcPr>
          <w:p w:rsidR="008401A3" w:rsidRDefault="008401A3" w:rsidP="000D1B91">
            <w:pPr>
              <w:pStyle w:val="TableText"/>
            </w:pPr>
            <w:r>
              <w:t>E</w:t>
            </w:r>
            <w:r w:rsidR="002E56C2">
              <w:t xml:space="preserve">uropean </w:t>
            </w:r>
            <w:r>
              <w:t>U</w:t>
            </w:r>
            <w:r w:rsidR="002E56C2">
              <w:t>nion</w:t>
            </w:r>
          </w:p>
        </w:tc>
        <w:tc>
          <w:tcPr>
            <w:tcW w:w="4961" w:type="dxa"/>
            <w:tcBorders>
              <w:top w:val="single" w:sz="4" w:space="0" w:color="0C9FCD"/>
              <w:left w:val="single" w:sz="4" w:space="0" w:color="0C9FCD"/>
              <w:bottom w:val="single" w:sz="4" w:space="0" w:color="0C9FCD"/>
              <w:right w:val="single" w:sz="4" w:space="0" w:color="0C9FCD"/>
            </w:tcBorders>
            <w:noWrap/>
            <w:hideMark/>
          </w:tcPr>
          <w:p w:rsidR="008401A3" w:rsidRDefault="008401A3" w:rsidP="00254790">
            <w:pPr>
              <w:pStyle w:val="TableText"/>
              <w:rPr>
                <w:noProof/>
              </w:rPr>
            </w:pPr>
            <w:r>
              <w:t>at least 40 per cent below 1990 levels by 2030</w:t>
            </w:r>
          </w:p>
        </w:tc>
      </w:tr>
      <w:tr w:rsidR="008401A3" w:rsidTr="0053060D">
        <w:trPr>
          <w:trHeight w:val="300"/>
        </w:trPr>
        <w:tc>
          <w:tcPr>
            <w:tcW w:w="1895" w:type="dxa"/>
            <w:tcBorders>
              <w:top w:val="single" w:sz="4" w:space="0" w:color="0C9FCD"/>
              <w:left w:val="single" w:sz="4" w:space="0" w:color="0C9FCD"/>
              <w:bottom w:val="single" w:sz="4" w:space="0" w:color="0C9FCD"/>
              <w:right w:val="single" w:sz="4" w:space="0" w:color="0C9FCD"/>
            </w:tcBorders>
            <w:noWrap/>
          </w:tcPr>
          <w:p w:rsidR="008401A3" w:rsidRPr="00A15D4E" w:rsidRDefault="008401A3" w:rsidP="000D1B91">
            <w:pPr>
              <w:pStyle w:val="TableText"/>
            </w:pPr>
            <w:r w:rsidRPr="00C24605">
              <w:t>Japan</w:t>
            </w:r>
            <w:r w:rsidR="0070406A">
              <w:t xml:space="preserve"> </w:t>
            </w:r>
            <w:r w:rsidRPr="00C24605">
              <w:t xml:space="preserve"> </w:t>
            </w:r>
            <w:r w:rsidR="00265740">
              <w:t>*proposed</w:t>
            </w:r>
          </w:p>
        </w:tc>
        <w:tc>
          <w:tcPr>
            <w:tcW w:w="4961" w:type="dxa"/>
            <w:tcBorders>
              <w:top w:val="single" w:sz="4" w:space="0" w:color="0C9FCD"/>
              <w:left w:val="single" w:sz="4" w:space="0" w:color="0C9FCD"/>
              <w:bottom w:val="single" w:sz="4" w:space="0" w:color="0C9FCD"/>
              <w:right w:val="single" w:sz="4" w:space="0" w:color="0C9FCD"/>
            </w:tcBorders>
            <w:noWrap/>
          </w:tcPr>
          <w:p w:rsidR="008401A3" w:rsidRPr="00A15D4E" w:rsidRDefault="00265740" w:rsidP="0070406A">
            <w:pPr>
              <w:pStyle w:val="TableText"/>
            </w:pPr>
            <w:r>
              <w:t>26 per cent below 2013 levels by 2030</w:t>
            </w:r>
          </w:p>
        </w:tc>
      </w:tr>
      <w:tr w:rsidR="008401A3" w:rsidTr="0053060D">
        <w:trPr>
          <w:cnfStyle w:val="000000100000" w:firstRow="0" w:lastRow="0" w:firstColumn="0" w:lastColumn="0" w:oddVBand="0" w:evenVBand="0" w:oddHBand="1" w:evenHBand="0" w:firstRowFirstColumn="0" w:firstRowLastColumn="0" w:lastRowFirstColumn="0" w:lastRowLastColumn="0"/>
          <w:trHeight w:val="81"/>
        </w:trPr>
        <w:tc>
          <w:tcPr>
            <w:tcW w:w="1895" w:type="dxa"/>
            <w:tcBorders>
              <w:top w:val="single" w:sz="4" w:space="0" w:color="0C9FCD"/>
              <w:left w:val="single" w:sz="4" w:space="0" w:color="0C9FCD"/>
              <w:bottom w:val="single" w:sz="4" w:space="0" w:color="0C9FCD"/>
              <w:right w:val="single" w:sz="4" w:space="0" w:color="0C9FCD"/>
            </w:tcBorders>
            <w:noWrap/>
            <w:hideMark/>
          </w:tcPr>
          <w:p w:rsidR="008401A3" w:rsidRDefault="008401A3" w:rsidP="000D1B91">
            <w:pPr>
              <w:pStyle w:val="TableText"/>
            </w:pPr>
            <w:r>
              <w:t>United States</w:t>
            </w:r>
          </w:p>
        </w:tc>
        <w:tc>
          <w:tcPr>
            <w:tcW w:w="4961" w:type="dxa"/>
            <w:tcBorders>
              <w:top w:val="single" w:sz="4" w:space="0" w:color="0C9FCD"/>
              <w:left w:val="single" w:sz="4" w:space="0" w:color="0C9FCD"/>
              <w:bottom w:val="single" w:sz="4" w:space="0" w:color="0C9FCD"/>
              <w:right w:val="single" w:sz="4" w:space="0" w:color="0C9FCD"/>
            </w:tcBorders>
            <w:noWrap/>
            <w:hideMark/>
          </w:tcPr>
          <w:p w:rsidR="008401A3" w:rsidRDefault="008401A3" w:rsidP="00254790">
            <w:pPr>
              <w:pStyle w:val="TableText"/>
              <w:rPr>
                <w:noProof/>
              </w:rPr>
            </w:pPr>
            <w:r>
              <w:t>26 to 28 per cent below 2005 levels by 2025</w:t>
            </w:r>
          </w:p>
        </w:tc>
      </w:tr>
      <w:tr w:rsidR="008401A3" w:rsidTr="0053060D">
        <w:trPr>
          <w:trHeight w:val="300"/>
        </w:trPr>
        <w:tc>
          <w:tcPr>
            <w:tcW w:w="1895" w:type="dxa"/>
            <w:tcBorders>
              <w:top w:val="single" w:sz="4" w:space="0" w:color="0C9FCD"/>
              <w:left w:val="single" w:sz="4" w:space="0" w:color="0C9FCD"/>
              <w:bottom w:val="single" w:sz="4" w:space="0" w:color="0C9FCD"/>
              <w:right w:val="single" w:sz="4" w:space="0" w:color="0C9FCD"/>
            </w:tcBorders>
            <w:noWrap/>
          </w:tcPr>
          <w:p w:rsidR="008401A3" w:rsidRDefault="008401A3" w:rsidP="000D1B91">
            <w:pPr>
              <w:pStyle w:val="TableText"/>
            </w:pPr>
            <w:r>
              <w:t>Andorra</w:t>
            </w:r>
          </w:p>
        </w:tc>
        <w:tc>
          <w:tcPr>
            <w:tcW w:w="4961" w:type="dxa"/>
            <w:tcBorders>
              <w:top w:val="single" w:sz="4" w:space="0" w:color="0C9FCD"/>
              <w:left w:val="single" w:sz="4" w:space="0" w:color="0C9FCD"/>
              <w:bottom w:val="single" w:sz="4" w:space="0" w:color="0C9FCD"/>
              <w:right w:val="single" w:sz="4" w:space="0" w:color="0C9FCD"/>
            </w:tcBorders>
            <w:noWrap/>
          </w:tcPr>
          <w:p w:rsidR="008401A3" w:rsidRDefault="008401A3" w:rsidP="00254790">
            <w:pPr>
              <w:pStyle w:val="TableText"/>
            </w:pPr>
            <w:r>
              <w:t>37 per cent below BAU by 2030</w:t>
            </w:r>
          </w:p>
        </w:tc>
      </w:tr>
      <w:tr w:rsidR="001057DF" w:rsidTr="0053060D">
        <w:trPr>
          <w:cnfStyle w:val="000000100000" w:firstRow="0" w:lastRow="0" w:firstColumn="0" w:lastColumn="0" w:oddVBand="0" w:evenVBand="0" w:oddHBand="1" w:evenHBand="0" w:firstRowFirstColumn="0" w:firstRowLastColumn="0" w:lastRowFirstColumn="0" w:lastRowLastColumn="0"/>
          <w:trHeight w:val="71"/>
        </w:trPr>
        <w:tc>
          <w:tcPr>
            <w:tcW w:w="1895" w:type="dxa"/>
            <w:tcBorders>
              <w:top w:val="single" w:sz="4" w:space="0" w:color="0C9FCD"/>
              <w:left w:val="single" w:sz="4" w:space="0" w:color="0C9FCD"/>
              <w:bottom w:val="single" w:sz="4" w:space="0" w:color="0C9FCD"/>
              <w:right w:val="single" w:sz="4" w:space="0" w:color="0C9FCD"/>
            </w:tcBorders>
            <w:noWrap/>
          </w:tcPr>
          <w:p w:rsidR="001057DF" w:rsidRDefault="001057DF" w:rsidP="000D1B91">
            <w:pPr>
              <w:pStyle w:val="TableText"/>
            </w:pPr>
            <w:r>
              <w:t>Ethiopia</w:t>
            </w:r>
          </w:p>
        </w:tc>
        <w:tc>
          <w:tcPr>
            <w:tcW w:w="4961" w:type="dxa"/>
            <w:tcBorders>
              <w:top w:val="single" w:sz="4" w:space="0" w:color="0C9FCD"/>
              <w:left w:val="single" w:sz="4" w:space="0" w:color="0C9FCD"/>
              <w:bottom w:val="single" w:sz="4" w:space="0" w:color="0C9FCD"/>
              <w:right w:val="single" w:sz="4" w:space="0" w:color="0C9FCD"/>
            </w:tcBorders>
            <w:noWrap/>
          </w:tcPr>
          <w:p w:rsidR="001057DF" w:rsidRDefault="001057DF" w:rsidP="00254790">
            <w:pPr>
              <w:pStyle w:val="TableText"/>
            </w:pPr>
            <w:r w:rsidRPr="001057DF">
              <w:t>64</w:t>
            </w:r>
            <w:r>
              <w:t xml:space="preserve"> per cent below BAU by </w:t>
            </w:r>
            <w:r w:rsidRPr="001057DF">
              <w:t>2030</w:t>
            </w:r>
          </w:p>
        </w:tc>
      </w:tr>
      <w:tr w:rsidR="008401A3" w:rsidTr="0053060D">
        <w:trPr>
          <w:trHeight w:val="71"/>
        </w:trPr>
        <w:tc>
          <w:tcPr>
            <w:tcW w:w="1895" w:type="dxa"/>
            <w:tcBorders>
              <w:top w:val="single" w:sz="4" w:space="0" w:color="0C9FCD"/>
              <w:left w:val="single" w:sz="4" w:space="0" w:color="0C9FCD"/>
              <w:bottom w:val="single" w:sz="4" w:space="0" w:color="0C9FCD"/>
              <w:right w:val="single" w:sz="4" w:space="0" w:color="0C9FCD"/>
            </w:tcBorders>
            <w:noWrap/>
            <w:hideMark/>
          </w:tcPr>
          <w:p w:rsidR="008401A3" w:rsidRDefault="008401A3" w:rsidP="000D1B91">
            <w:pPr>
              <w:pStyle w:val="TableText"/>
            </w:pPr>
            <w:r>
              <w:t>Gabon</w:t>
            </w:r>
          </w:p>
        </w:tc>
        <w:tc>
          <w:tcPr>
            <w:tcW w:w="4961" w:type="dxa"/>
            <w:tcBorders>
              <w:top w:val="single" w:sz="4" w:space="0" w:color="0C9FCD"/>
              <w:left w:val="single" w:sz="4" w:space="0" w:color="0C9FCD"/>
              <w:bottom w:val="single" w:sz="4" w:space="0" w:color="0C9FCD"/>
              <w:right w:val="single" w:sz="4" w:space="0" w:color="0C9FCD"/>
            </w:tcBorders>
            <w:noWrap/>
            <w:hideMark/>
          </w:tcPr>
          <w:p w:rsidR="008401A3" w:rsidRDefault="008401A3" w:rsidP="00254790">
            <w:pPr>
              <w:pStyle w:val="TableText"/>
            </w:pPr>
            <w:r>
              <w:t>50 per cent below BAU in 2025</w:t>
            </w:r>
          </w:p>
        </w:tc>
      </w:tr>
      <w:tr w:rsidR="008401A3" w:rsidTr="0053060D">
        <w:trPr>
          <w:cnfStyle w:val="000000100000" w:firstRow="0" w:lastRow="0" w:firstColumn="0" w:lastColumn="0" w:oddVBand="0" w:evenVBand="0" w:oddHBand="1" w:evenHBand="0" w:firstRowFirstColumn="0" w:firstRowLastColumn="0" w:lastRowFirstColumn="0" w:lastRowLastColumn="0"/>
          <w:trHeight w:val="300"/>
        </w:trPr>
        <w:tc>
          <w:tcPr>
            <w:tcW w:w="1895" w:type="dxa"/>
            <w:tcBorders>
              <w:top w:val="single" w:sz="4" w:space="0" w:color="0C9FCD"/>
              <w:left w:val="single" w:sz="4" w:space="0" w:color="0C9FCD"/>
              <w:bottom w:val="single" w:sz="4" w:space="0" w:color="0C9FCD"/>
              <w:right w:val="single" w:sz="4" w:space="0" w:color="0C9FCD"/>
            </w:tcBorders>
            <w:noWrap/>
            <w:hideMark/>
          </w:tcPr>
          <w:p w:rsidR="008401A3" w:rsidRDefault="008401A3" w:rsidP="000D1B91">
            <w:pPr>
              <w:pStyle w:val="TableText"/>
            </w:pPr>
            <w:r>
              <w:t>Germany</w:t>
            </w:r>
          </w:p>
        </w:tc>
        <w:tc>
          <w:tcPr>
            <w:tcW w:w="4961" w:type="dxa"/>
            <w:tcBorders>
              <w:top w:val="single" w:sz="4" w:space="0" w:color="0C9FCD"/>
              <w:left w:val="single" w:sz="4" w:space="0" w:color="0C9FCD"/>
              <w:bottom w:val="single" w:sz="4" w:space="0" w:color="0C9FCD"/>
              <w:right w:val="single" w:sz="4" w:space="0" w:color="0C9FCD"/>
            </w:tcBorders>
            <w:noWrap/>
            <w:hideMark/>
          </w:tcPr>
          <w:p w:rsidR="008401A3" w:rsidRDefault="008401A3" w:rsidP="00254790">
            <w:pPr>
              <w:pStyle w:val="TableText"/>
              <w:rPr>
                <w:noProof/>
              </w:rPr>
            </w:pPr>
            <w:r>
              <w:t>55 per cent below 1990 levels by 2030</w:t>
            </w:r>
          </w:p>
        </w:tc>
      </w:tr>
      <w:tr w:rsidR="008401A3" w:rsidTr="0053060D">
        <w:trPr>
          <w:trHeight w:val="300"/>
        </w:trPr>
        <w:tc>
          <w:tcPr>
            <w:tcW w:w="1895" w:type="dxa"/>
            <w:tcBorders>
              <w:top w:val="single" w:sz="4" w:space="0" w:color="0C9FCD"/>
              <w:left w:val="single" w:sz="4" w:space="0" w:color="0C9FCD"/>
              <w:bottom w:val="single" w:sz="4" w:space="0" w:color="0C9FCD"/>
              <w:right w:val="single" w:sz="4" w:space="0" w:color="0C9FCD"/>
            </w:tcBorders>
            <w:noWrap/>
          </w:tcPr>
          <w:p w:rsidR="008401A3" w:rsidRDefault="008401A3" w:rsidP="000D1B91">
            <w:pPr>
              <w:pStyle w:val="TableText"/>
            </w:pPr>
            <w:r w:rsidRPr="002F1965">
              <w:t>Liechtenstein</w:t>
            </w:r>
          </w:p>
        </w:tc>
        <w:tc>
          <w:tcPr>
            <w:tcW w:w="4961" w:type="dxa"/>
            <w:tcBorders>
              <w:top w:val="single" w:sz="4" w:space="0" w:color="0C9FCD"/>
              <w:left w:val="single" w:sz="4" w:space="0" w:color="0C9FCD"/>
              <w:bottom w:val="single" w:sz="4" w:space="0" w:color="0C9FCD"/>
              <w:right w:val="single" w:sz="4" w:space="0" w:color="0C9FCD"/>
            </w:tcBorders>
            <w:noWrap/>
          </w:tcPr>
          <w:p w:rsidR="008401A3" w:rsidRDefault="008401A3" w:rsidP="00254790">
            <w:pPr>
              <w:pStyle w:val="TableText"/>
            </w:pPr>
            <w:r>
              <w:t>40 per cent below 1990 levels by 2030</w:t>
            </w:r>
          </w:p>
        </w:tc>
      </w:tr>
      <w:tr w:rsidR="008401A3" w:rsidTr="0053060D">
        <w:trPr>
          <w:cnfStyle w:val="000000100000" w:firstRow="0" w:lastRow="0" w:firstColumn="0" w:lastColumn="0" w:oddVBand="0" w:evenVBand="0" w:oddHBand="1" w:evenHBand="0" w:firstRowFirstColumn="0" w:firstRowLastColumn="0" w:lastRowFirstColumn="0" w:lastRowLastColumn="0"/>
          <w:trHeight w:val="395"/>
        </w:trPr>
        <w:tc>
          <w:tcPr>
            <w:tcW w:w="1895" w:type="dxa"/>
            <w:tcBorders>
              <w:top w:val="single" w:sz="4" w:space="0" w:color="0C9FCD"/>
              <w:left w:val="single" w:sz="4" w:space="0" w:color="0C9FCD"/>
              <w:bottom w:val="single" w:sz="4" w:space="0" w:color="0C9FCD"/>
              <w:right w:val="single" w:sz="4" w:space="0" w:color="0C9FCD"/>
            </w:tcBorders>
            <w:noWrap/>
            <w:hideMark/>
          </w:tcPr>
          <w:p w:rsidR="008401A3" w:rsidRDefault="008401A3" w:rsidP="000D1B91">
            <w:pPr>
              <w:pStyle w:val="TableText"/>
            </w:pPr>
            <w:r>
              <w:t>Mexico</w:t>
            </w:r>
          </w:p>
        </w:tc>
        <w:tc>
          <w:tcPr>
            <w:tcW w:w="4961" w:type="dxa"/>
            <w:tcBorders>
              <w:top w:val="single" w:sz="4" w:space="0" w:color="0C9FCD"/>
              <w:left w:val="single" w:sz="4" w:space="0" w:color="0C9FCD"/>
              <w:bottom w:val="single" w:sz="4" w:space="0" w:color="0C9FCD"/>
              <w:right w:val="single" w:sz="4" w:space="0" w:color="0C9FCD"/>
            </w:tcBorders>
            <w:noWrap/>
            <w:hideMark/>
          </w:tcPr>
          <w:p w:rsidR="008401A3" w:rsidRDefault="008401A3" w:rsidP="00254790">
            <w:pPr>
              <w:pStyle w:val="TableText"/>
              <w:rPr>
                <w:noProof/>
              </w:rPr>
            </w:pPr>
            <w:r>
              <w:t>25 per cent reduction in greenhouse gases and short lived climate pollutants from BAU in 2030</w:t>
            </w:r>
          </w:p>
        </w:tc>
      </w:tr>
      <w:tr w:rsidR="001057DF" w:rsidTr="0053060D">
        <w:trPr>
          <w:trHeight w:val="300"/>
        </w:trPr>
        <w:tc>
          <w:tcPr>
            <w:tcW w:w="1895" w:type="dxa"/>
            <w:tcBorders>
              <w:top w:val="single" w:sz="4" w:space="0" w:color="0C9FCD"/>
              <w:left w:val="single" w:sz="4" w:space="0" w:color="0C9FCD"/>
              <w:bottom w:val="single" w:sz="4" w:space="0" w:color="0C9FCD"/>
              <w:right w:val="single" w:sz="4" w:space="0" w:color="0C9FCD"/>
            </w:tcBorders>
            <w:noWrap/>
          </w:tcPr>
          <w:p w:rsidR="001057DF" w:rsidRDefault="001057DF" w:rsidP="000D1B91">
            <w:pPr>
              <w:pStyle w:val="TableText"/>
            </w:pPr>
            <w:r>
              <w:t>Morocco</w:t>
            </w:r>
          </w:p>
        </w:tc>
        <w:tc>
          <w:tcPr>
            <w:tcW w:w="4961" w:type="dxa"/>
            <w:tcBorders>
              <w:top w:val="single" w:sz="4" w:space="0" w:color="0C9FCD"/>
              <w:left w:val="single" w:sz="4" w:space="0" w:color="0C9FCD"/>
              <w:bottom w:val="single" w:sz="4" w:space="0" w:color="0C9FCD"/>
              <w:right w:val="single" w:sz="4" w:space="0" w:color="0C9FCD"/>
            </w:tcBorders>
            <w:noWrap/>
          </w:tcPr>
          <w:p w:rsidR="001057DF" w:rsidRDefault="001057DF" w:rsidP="00254790">
            <w:pPr>
              <w:pStyle w:val="TableText"/>
            </w:pPr>
            <w:r>
              <w:t xml:space="preserve">32 per cent below BAU by </w:t>
            </w:r>
            <w:r w:rsidRPr="001057DF">
              <w:t>2030</w:t>
            </w:r>
          </w:p>
        </w:tc>
      </w:tr>
      <w:tr w:rsidR="008401A3" w:rsidTr="0053060D">
        <w:trPr>
          <w:cnfStyle w:val="000000100000" w:firstRow="0" w:lastRow="0" w:firstColumn="0" w:lastColumn="0" w:oddVBand="0" w:evenVBand="0" w:oddHBand="1" w:evenHBand="0" w:firstRowFirstColumn="0" w:firstRowLastColumn="0" w:lastRowFirstColumn="0" w:lastRowLastColumn="0"/>
          <w:trHeight w:val="300"/>
        </w:trPr>
        <w:tc>
          <w:tcPr>
            <w:tcW w:w="1895" w:type="dxa"/>
            <w:tcBorders>
              <w:top w:val="single" w:sz="4" w:space="0" w:color="0C9FCD"/>
              <w:left w:val="single" w:sz="4" w:space="0" w:color="0C9FCD"/>
              <w:bottom w:val="single" w:sz="4" w:space="0" w:color="0C9FCD"/>
              <w:right w:val="single" w:sz="4" w:space="0" w:color="0C9FCD"/>
            </w:tcBorders>
            <w:noWrap/>
            <w:hideMark/>
          </w:tcPr>
          <w:p w:rsidR="008401A3" w:rsidRDefault="008401A3" w:rsidP="000D1B91">
            <w:pPr>
              <w:pStyle w:val="TableText"/>
            </w:pPr>
            <w:r>
              <w:t>Norway</w:t>
            </w:r>
          </w:p>
        </w:tc>
        <w:tc>
          <w:tcPr>
            <w:tcW w:w="4961" w:type="dxa"/>
            <w:tcBorders>
              <w:top w:val="single" w:sz="4" w:space="0" w:color="0C9FCD"/>
              <w:left w:val="single" w:sz="4" w:space="0" w:color="0C9FCD"/>
              <w:bottom w:val="single" w:sz="4" w:space="0" w:color="0C9FCD"/>
              <w:right w:val="single" w:sz="4" w:space="0" w:color="0C9FCD"/>
            </w:tcBorders>
            <w:noWrap/>
            <w:hideMark/>
          </w:tcPr>
          <w:p w:rsidR="008401A3" w:rsidRDefault="008401A3" w:rsidP="00254790">
            <w:pPr>
              <w:pStyle w:val="TableText"/>
            </w:pPr>
            <w:r>
              <w:t>at least 40 per cent below 1990 levels by 2030</w:t>
            </w:r>
          </w:p>
        </w:tc>
      </w:tr>
      <w:tr w:rsidR="0053060D" w:rsidTr="0053060D">
        <w:trPr>
          <w:trHeight w:val="300"/>
        </w:trPr>
        <w:tc>
          <w:tcPr>
            <w:tcW w:w="1895" w:type="dxa"/>
            <w:tcBorders>
              <w:top w:val="single" w:sz="4" w:space="0" w:color="0C9FCD"/>
              <w:left w:val="single" w:sz="4" w:space="0" w:color="0C9FCD"/>
              <w:bottom w:val="single" w:sz="4" w:space="0" w:color="0C9FCD"/>
              <w:right w:val="single" w:sz="4" w:space="0" w:color="0C9FCD"/>
            </w:tcBorders>
            <w:noWrap/>
          </w:tcPr>
          <w:p w:rsidR="0053060D" w:rsidRDefault="0053060D" w:rsidP="000D1B91">
            <w:pPr>
              <w:pStyle w:val="TableText"/>
            </w:pPr>
            <w:r>
              <w:t>Republic of Korea</w:t>
            </w:r>
          </w:p>
        </w:tc>
        <w:tc>
          <w:tcPr>
            <w:tcW w:w="4961" w:type="dxa"/>
            <w:tcBorders>
              <w:top w:val="single" w:sz="4" w:space="0" w:color="0C9FCD"/>
              <w:left w:val="single" w:sz="4" w:space="0" w:color="0C9FCD"/>
              <w:bottom w:val="single" w:sz="4" w:space="0" w:color="0C9FCD"/>
              <w:right w:val="single" w:sz="4" w:space="0" w:color="0C9FCD"/>
            </w:tcBorders>
            <w:noWrap/>
          </w:tcPr>
          <w:p w:rsidR="0053060D" w:rsidRDefault="0053060D" w:rsidP="00254790">
            <w:pPr>
              <w:pStyle w:val="TableText"/>
            </w:pPr>
            <w:r w:rsidRPr="0053060D">
              <w:t>37 per cent below BAU in 2030</w:t>
            </w:r>
          </w:p>
        </w:tc>
      </w:tr>
      <w:tr w:rsidR="008401A3" w:rsidTr="0053060D">
        <w:trPr>
          <w:cnfStyle w:val="000000100000" w:firstRow="0" w:lastRow="0" w:firstColumn="0" w:lastColumn="0" w:oddVBand="0" w:evenVBand="0" w:oddHBand="1" w:evenHBand="0" w:firstRowFirstColumn="0" w:firstRowLastColumn="0" w:lastRowFirstColumn="0" w:lastRowLastColumn="0"/>
          <w:trHeight w:val="300"/>
        </w:trPr>
        <w:tc>
          <w:tcPr>
            <w:tcW w:w="1895" w:type="dxa"/>
            <w:tcBorders>
              <w:top w:val="single" w:sz="4" w:space="0" w:color="0C9FCD"/>
              <w:left w:val="single" w:sz="4" w:space="0" w:color="0C9FCD"/>
              <w:bottom w:val="single" w:sz="4" w:space="0" w:color="0C9FCD"/>
              <w:right w:val="single" w:sz="4" w:space="0" w:color="0C9FCD"/>
            </w:tcBorders>
            <w:noWrap/>
            <w:hideMark/>
          </w:tcPr>
          <w:p w:rsidR="008401A3" w:rsidRDefault="008401A3" w:rsidP="000D1B91">
            <w:pPr>
              <w:pStyle w:val="TableText"/>
            </w:pPr>
            <w:r>
              <w:t>Russia</w:t>
            </w:r>
          </w:p>
        </w:tc>
        <w:tc>
          <w:tcPr>
            <w:tcW w:w="4961" w:type="dxa"/>
            <w:tcBorders>
              <w:top w:val="single" w:sz="4" w:space="0" w:color="0C9FCD"/>
              <w:left w:val="single" w:sz="4" w:space="0" w:color="0C9FCD"/>
              <w:bottom w:val="single" w:sz="4" w:space="0" w:color="0C9FCD"/>
              <w:right w:val="single" w:sz="4" w:space="0" w:color="0C9FCD"/>
            </w:tcBorders>
            <w:noWrap/>
            <w:hideMark/>
          </w:tcPr>
          <w:p w:rsidR="008401A3" w:rsidRDefault="008401A3" w:rsidP="00254790">
            <w:pPr>
              <w:pStyle w:val="TableText"/>
            </w:pPr>
            <w:r>
              <w:t>25 to 30 per cent below 1990 levels by 2030</w:t>
            </w:r>
          </w:p>
        </w:tc>
      </w:tr>
      <w:tr w:rsidR="008401A3" w:rsidTr="0053060D">
        <w:trPr>
          <w:trHeight w:val="300"/>
        </w:trPr>
        <w:tc>
          <w:tcPr>
            <w:tcW w:w="1895" w:type="dxa"/>
            <w:tcBorders>
              <w:top w:val="single" w:sz="4" w:space="0" w:color="0C9FCD"/>
              <w:left w:val="single" w:sz="4" w:space="0" w:color="0C9FCD"/>
              <w:bottom w:val="single" w:sz="4" w:space="0" w:color="0C9FCD"/>
              <w:right w:val="single" w:sz="4" w:space="0" w:color="0C9FCD"/>
            </w:tcBorders>
            <w:noWrap/>
          </w:tcPr>
          <w:p w:rsidR="008401A3" w:rsidRDefault="008401A3" w:rsidP="000D1B91">
            <w:pPr>
              <w:pStyle w:val="TableText"/>
            </w:pPr>
            <w:r>
              <w:t>South Africa</w:t>
            </w:r>
          </w:p>
        </w:tc>
        <w:tc>
          <w:tcPr>
            <w:tcW w:w="4961" w:type="dxa"/>
            <w:tcBorders>
              <w:top w:val="single" w:sz="4" w:space="0" w:color="0C9FCD"/>
              <w:left w:val="single" w:sz="4" w:space="0" w:color="0C9FCD"/>
              <w:bottom w:val="single" w:sz="4" w:space="0" w:color="0C9FCD"/>
              <w:right w:val="single" w:sz="4" w:space="0" w:color="0C9FCD"/>
            </w:tcBorders>
            <w:noWrap/>
          </w:tcPr>
          <w:p w:rsidR="008401A3" w:rsidRDefault="008401A3" w:rsidP="00254790">
            <w:pPr>
              <w:pStyle w:val="TableText"/>
              <w:rPr>
                <w:noProof/>
              </w:rPr>
            </w:pPr>
            <w:r>
              <w:t>42 per cent below BAU by 2025</w:t>
            </w:r>
          </w:p>
        </w:tc>
      </w:tr>
      <w:tr w:rsidR="008401A3" w:rsidTr="0053060D">
        <w:trPr>
          <w:cnfStyle w:val="000000100000" w:firstRow="0" w:lastRow="0" w:firstColumn="0" w:lastColumn="0" w:oddVBand="0" w:evenVBand="0" w:oddHBand="1" w:evenHBand="0" w:firstRowFirstColumn="0" w:firstRowLastColumn="0" w:lastRowFirstColumn="0" w:lastRowLastColumn="0"/>
          <w:trHeight w:val="300"/>
        </w:trPr>
        <w:tc>
          <w:tcPr>
            <w:tcW w:w="1895" w:type="dxa"/>
            <w:tcBorders>
              <w:top w:val="single" w:sz="4" w:space="0" w:color="0C9FCD"/>
              <w:left w:val="single" w:sz="4" w:space="0" w:color="0C9FCD"/>
              <w:bottom w:val="single" w:sz="4" w:space="0" w:color="0C9FCD"/>
              <w:right w:val="single" w:sz="4" w:space="0" w:color="0C9FCD"/>
            </w:tcBorders>
            <w:noWrap/>
            <w:hideMark/>
          </w:tcPr>
          <w:p w:rsidR="008401A3" w:rsidRDefault="008401A3" w:rsidP="000D1B91">
            <w:pPr>
              <w:pStyle w:val="TableText"/>
            </w:pPr>
            <w:r>
              <w:t>Switzerland</w:t>
            </w:r>
          </w:p>
        </w:tc>
        <w:tc>
          <w:tcPr>
            <w:tcW w:w="4961" w:type="dxa"/>
            <w:tcBorders>
              <w:top w:val="single" w:sz="4" w:space="0" w:color="0C9FCD"/>
              <w:left w:val="single" w:sz="4" w:space="0" w:color="0C9FCD"/>
              <w:bottom w:val="single" w:sz="4" w:space="0" w:color="0C9FCD"/>
              <w:right w:val="single" w:sz="4" w:space="0" w:color="0C9FCD"/>
            </w:tcBorders>
            <w:noWrap/>
            <w:hideMark/>
          </w:tcPr>
          <w:p w:rsidR="008401A3" w:rsidRDefault="008401A3" w:rsidP="00254790">
            <w:pPr>
              <w:pStyle w:val="TableText"/>
              <w:rPr>
                <w:noProof/>
              </w:rPr>
            </w:pPr>
            <w:r>
              <w:t>50 per cent below 1990 levels by 2030</w:t>
            </w:r>
          </w:p>
        </w:tc>
      </w:tr>
      <w:tr w:rsidR="008401A3" w:rsidTr="0053060D">
        <w:trPr>
          <w:trHeight w:val="300"/>
        </w:trPr>
        <w:tc>
          <w:tcPr>
            <w:tcW w:w="1895" w:type="dxa"/>
            <w:tcBorders>
              <w:top w:val="single" w:sz="4" w:space="0" w:color="0C9FCD"/>
              <w:left w:val="single" w:sz="4" w:space="0" w:color="0C9FCD"/>
              <w:bottom w:val="single" w:sz="4" w:space="0" w:color="0C9FCD"/>
              <w:right w:val="single" w:sz="4" w:space="0" w:color="0C9FCD"/>
            </w:tcBorders>
            <w:noWrap/>
            <w:hideMark/>
          </w:tcPr>
          <w:p w:rsidR="008401A3" w:rsidRDefault="008401A3" w:rsidP="000D1B91">
            <w:pPr>
              <w:pStyle w:val="TableText"/>
            </w:pPr>
            <w:r>
              <w:t>U</w:t>
            </w:r>
            <w:r w:rsidR="002E56C2">
              <w:t xml:space="preserve">nited </w:t>
            </w:r>
            <w:r>
              <w:t>K</w:t>
            </w:r>
            <w:r w:rsidR="002E56C2">
              <w:t>ingdom</w:t>
            </w:r>
          </w:p>
        </w:tc>
        <w:tc>
          <w:tcPr>
            <w:tcW w:w="4961" w:type="dxa"/>
            <w:tcBorders>
              <w:top w:val="single" w:sz="4" w:space="0" w:color="0C9FCD"/>
              <w:left w:val="single" w:sz="4" w:space="0" w:color="0C9FCD"/>
              <w:bottom w:val="single" w:sz="4" w:space="0" w:color="0C9FCD"/>
              <w:right w:val="single" w:sz="4" w:space="0" w:color="0C9FCD"/>
            </w:tcBorders>
            <w:noWrap/>
            <w:hideMark/>
          </w:tcPr>
          <w:p w:rsidR="008401A3" w:rsidRDefault="008401A3" w:rsidP="00254790">
            <w:pPr>
              <w:pStyle w:val="TableText"/>
            </w:pPr>
            <w:r>
              <w:t>50 per cent below 1990 levels over the period 2023-27</w:t>
            </w:r>
          </w:p>
        </w:tc>
      </w:tr>
    </w:tbl>
    <w:p w:rsidR="00853400" w:rsidRPr="00926CA4" w:rsidRDefault="00853400" w:rsidP="00B77950">
      <w:pPr>
        <w:pStyle w:val="TableNote"/>
      </w:pPr>
      <w:r>
        <w:rPr>
          <w:b/>
        </w:rPr>
        <w:t xml:space="preserve">Note: </w:t>
      </w:r>
      <w:r>
        <w:t>BAU: business-as-usual.</w:t>
      </w:r>
      <w:r w:rsidRPr="008849C3">
        <w:rPr>
          <w:b/>
        </w:rPr>
        <w:t xml:space="preserve"> </w:t>
      </w:r>
      <w:r>
        <w:rPr>
          <w:b/>
        </w:rPr>
        <w:br/>
      </w:r>
      <w:r w:rsidRPr="008849C3">
        <w:rPr>
          <w:b/>
        </w:rPr>
        <w:t>Source:</w:t>
      </w:r>
      <w:r>
        <w:t xml:space="preserve"> </w:t>
      </w:r>
      <w:r w:rsidR="00297643">
        <w:t>CCA (2015) Table 4</w:t>
      </w:r>
      <w:r w:rsidR="00EF109B">
        <w:t>.</w:t>
      </w:r>
      <w:r w:rsidR="00297643">
        <w:t xml:space="preserve"> </w:t>
      </w:r>
      <w:r w:rsidR="008401A3">
        <w:t>Canada</w:t>
      </w:r>
      <w:r w:rsidR="0053060D">
        <w:t>, China, Republic of Korea</w:t>
      </w:r>
      <w:r>
        <w:t xml:space="preserve">: UNFCCC INDC submissions (2015). </w:t>
      </w:r>
      <w:r w:rsidR="00265740" w:rsidRPr="00E55934">
        <w:t xml:space="preserve">Japan: </w:t>
      </w:r>
      <w:r w:rsidR="00653C9B" w:rsidRPr="00E55934">
        <w:t xml:space="preserve">Japanese government </w:t>
      </w:r>
      <w:r w:rsidR="00C25F54" w:rsidRPr="00E55934">
        <w:t xml:space="preserve">proposed </w:t>
      </w:r>
      <w:r w:rsidR="00653C9B" w:rsidRPr="00E55934">
        <w:t>INDC outline (draft) 2015</w:t>
      </w:r>
      <w:r w:rsidR="00DB5A64" w:rsidRPr="00E55934">
        <w:t>.</w:t>
      </w:r>
    </w:p>
    <w:p w:rsidR="008D0D0C" w:rsidRDefault="008D0D0C">
      <w:pPr>
        <w:spacing w:line="276" w:lineRule="auto"/>
        <w:rPr>
          <w:rFonts w:ascii="Arial" w:hAnsi="Arial"/>
          <w:b/>
          <w:bCs/>
          <w:color w:val="414141"/>
          <w:sz w:val="24"/>
          <w:szCs w:val="18"/>
        </w:rPr>
      </w:pPr>
      <w:r>
        <w:br w:type="page"/>
      </w:r>
    </w:p>
    <w:p w:rsidR="00A250C3" w:rsidRDefault="006E2DA4" w:rsidP="00976E40">
      <w:pPr>
        <w:pStyle w:val="Caption"/>
      </w:pPr>
      <w:r w:rsidRPr="00926CA4">
        <w:lastRenderedPageBreak/>
        <w:t xml:space="preserve">Figure 1: </w:t>
      </w:r>
      <w:r w:rsidR="009413BB">
        <w:t>How Australia C</w:t>
      </w:r>
      <w:r w:rsidR="00853400">
        <w:t>ompar</w:t>
      </w:r>
      <w:r w:rsidR="00173A45">
        <w:t>e</w:t>
      </w:r>
      <w:r w:rsidR="00C01DB5">
        <w:t>s</w:t>
      </w:r>
    </w:p>
    <w:p w:rsidR="00C01DB5" w:rsidRPr="00A14DCC" w:rsidRDefault="00C01DB5" w:rsidP="008D0D0C">
      <w:pPr>
        <w:pStyle w:val="BodyText"/>
        <w:rPr>
          <w:sz w:val="20"/>
          <w:szCs w:val="20"/>
        </w:rPr>
      </w:pPr>
      <w:r w:rsidRPr="00A14DCC">
        <w:rPr>
          <w:sz w:val="20"/>
          <w:szCs w:val="20"/>
        </w:rPr>
        <w:t xml:space="preserve">The first chart in this figure compares </w:t>
      </w:r>
      <w:r w:rsidR="00DE63BF" w:rsidRPr="00A14DCC">
        <w:rPr>
          <w:sz w:val="20"/>
          <w:szCs w:val="20"/>
        </w:rPr>
        <w:t xml:space="preserve">the Authority’s recommended 2025 target with the </w:t>
      </w:r>
      <w:r w:rsidRPr="00A14DCC">
        <w:rPr>
          <w:sz w:val="20"/>
          <w:szCs w:val="20"/>
        </w:rPr>
        <w:t>post</w:t>
      </w:r>
      <w:r w:rsidRPr="00A14DCC">
        <w:rPr>
          <w:sz w:val="20"/>
          <w:szCs w:val="20"/>
        </w:rPr>
        <w:noBreakHyphen/>
        <w:t xml:space="preserve">2020 targets </w:t>
      </w:r>
      <w:r w:rsidR="00DE63BF" w:rsidRPr="00A14DCC">
        <w:rPr>
          <w:sz w:val="20"/>
          <w:szCs w:val="20"/>
        </w:rPr>
        <w:t xml:space="preserve">of </w:t>
      </w:r>
      <w:r w:rsidRPr="00A14DCC">
        <w:rPr>
          <w:sz w:val="20"/>
          <w:szCs w:val="20"/>
        </w:rPr>
        <w:t xml:space="preserve">other wealthy, developed countries. The second and third charts compare </w:t>
      </w:r>
      <w:r w:rsidR="00DE63BF" w:rsidRPr="00A14DCC">
        <w:rPr>
          <w:sz w:val="20"/>
          <w:szCs w:val="20"/>
        </w:rPr>
        <w:t xml:space="preserve">the level of per person emissions and </w:t>
      </w:r>
      <w:r w:rsidRPr="00A14DCC">
        <w:rPr>
          <w:sz w:val="20"/>
          <w:szCs w:val="20"/>
        </w:rPr>
        <w:t>emissions intensity of</w:t>
      </w:r>
      <w:r w:rsidR="00DE63BF" w:rsidRPr="00A14DCC">
        <w:rPr>
          <w:sz w:val="20"/>
          <w:szCs w:val="20"/>
        </w:rPr>
        <w:t xml:space="preserve"> each economy</w:t>
      </w:r>
      <w:r w:rsidRPr="00A14DCC">
        <w:rPr>
          <w:sz w:val="20"/>
          <w:szCs w:val="20"/>
        </w:rPr>
        <w:t xml:space="preserve"> in 2005, and the level</w:t>
      </w:r>
      <w:r w:rsidR="008D0D0C" w:rsidRPr="00A14DCC">
        <w:rPr>
          <w:sz w:val="20"/>
          <w:szCs w:val="20"/>
        </w:rPr>
        <w:t>s</w:t>
      </w:r>
      <w:r w:rsidRPr="00A14DCC">
        <w:rPr>
          <w:sz w:val="20"/>
          <w:szCs w:val="20"/>
        </w:rPr>
        <w:t xml:space="preserve"> implied by </w:t>
      </w:r>
      <w:r w:rsidR="008D0D0C" w:rsidRPr="00A14DCC">
        <w:rPr>
          <w:sz w:val="20"/>
          <w:szCs w:val="20"/>
        </w:rPr>
        <w:t xml:space="preserve">the </w:t>
      </w:r>
      <w:r w:rsidRPr="00A14DCC">
        <w:rPr>
          <w:sz w:val="20"/>
          <w:szCs w:val="20"/>
        </w:rPr>
        <w:t>announced post</w:t>
      </w:r>
      <w:r w:rsidRPr="00A14DCC">
        <w:rPr>
          <w:sz w:val="20"/>
          <w:szCs w:val="20"/>
        </w:rPr>
        <w:noBreakHyphen/>
        <w:t>2020 targets, based on projected population and economic growth. The</w:t>
      </w:r>
      <w:r w:rsidR="008D0D0C" w:rsidRPr="00A14DCC">
        <w:rPr>
          <w:sz w:val="20"/>
          <w:szCs w:val="20"/>
        </w:rPr>
        <w:t>y also</w:t>
      </w:r>
      <w:r w:rsidRPr="00A14DCC">
        <w:rPr>
          <w:sz w:val="20"/>
          <w:szCs w:val="20"/>
        </w:rPr>
        <w:t xml:space="preserve"> indicate the percentage change in level between 2005 and 2025. Th</w:t>
      </w:r>
      <w:r w:rsidR="00A14DCC" w:rsidRPr="00A14DCC">
        <w:rPr>
          <w:sz w:val="20"/>
          <w:szCs w:val="20"/>
        </w:rPr>
        <w:t>ese years were selected to enable</w:t>
      </w:r>
      <w:r w:rsidRPr="00A14DCC">
        <w:rPr>
          <w:sz w:val="20"/>
          <w:szCs w:val="20"/>
        </w:rPr>
        <w:t xml:space="preserve"> comparison: some countries have earlier base years and others have later target years, but all countries have announced reductions across this 20 year period.</w:t>
      </w:r>
    </w:p>
    <w:p w:rsidR="00A250C3" w:rsidRDefault="004D6F73" w:rsidP="00976E40">
      <w:pPr>
        <w:pStyle w:val="Heading4"/>
      </w:pPr>
      <w:r>
        <w:t>Percentage change in t</w:t>
      </w:r>
      <w:r w:rsidR="00522CCE">
        <w:t>otal emissions</w:t>
      </w:r>
      <w:r>
        <w:t>, 2005-2025</w:t>
      </w:r>
      <w:r w:rsidR="0021539A">
        <w:rPr>
          <w:noProof/>
          <w:lang w:val="en-AU"/>
        </w:rPr>
        <w:drawing>
          <wp:inline distT="0" distB="0" distL="0" distR="0" wp14:anchorId="51EB6602">
            <wp:extent cx="5661660" cy="1813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1660" cy="1813560"/>
                    </a:xfrm>
                    <a:prstGeom prst="rect">
                      <a:avLst/>
                    </a:prstGeom>
                    <a:noFill/>
                  </pic:spPr>
                </pic:pic>
              </a:graphicData>
            </a:graphic>
          </wp:inline>
        </w:drawing>
      </w:r>
    </w:p>
    <w:p w:rsidR="00A250C3" w:rsidRDefault="004D6F73" w:rsidP="00976E40">
      <w:pPr>
        <w:pStyle w:val="Heading4"/>
      </w:pPr>
      <w:r>
        <w:t>Level of e</w:t>
      </w:r>
      <w:r w:rsidR="00522CCE" w:rsidRPr="00522CCE">
        <w:t>missions per person</w:t>
      </w:r>
      <w:r w:rsidR="006E5796">
        <w:t>,</w:t>
      </w:r>
      <w:r>
        <w:t xml:space="preserve"> 2005 and 2025 </w:t>
      </w:r>
      <w:r w:rsidR="0021539A">
        <w:rPr>
          <w:noProof/>
          <w:lang w:val="en-AU"/>
        </w:rPr>
        <w:drawing>
          <wp:inline distT="0" distB="0" distL="0" distR="0" wp14:anchorId="7AE26C4D">
            <wp:extent cx="5661660" cy="17678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1660" cy="1767840"/>
                    </a:xfrm>
                    <a:prstGeom prst="rect">
                      <a:avLst/>
                    </a:prstGeom>
                    <a:noFill/>
                  </pic:spPr>
                </pic:pic>
              </a:graphicData>
            </a:graphic>
          </wp:inline>
        </w:drawing>
      </w:r>
    </w:p>
    <w:p w:rsidR="00A250C3" w:rsidRDefault="00D90997" w:rsidP="00976E40">
      <w:pPr>
        <w:pStyle w:val="Heading4"/>
      </w:pPr>
      <w:r>
        <w:rPr>
          <w:noProof/>
          <w:lang w:val="en-AU"/>
        </w:rPr>
        <mc:AlternateContent>
          <mc:Choice Requires="wps">
            <w:drawing>
              <wp:anchor distT="0" distB="0" distL="114300" distR="114300" simplePos="0" relativeHeight="251661312" behindDoc="0" locked="0" layoutInCell="1" allowOverlap="1" wp14:anchorId="327D5651" wp14:editId="0D651EDF">
                <wp:simplePos x="0" y="0"/>
                <wp:positionH relativeFrom="column">
                  <wp:posOffset>1579880</wp:posOffset>
                </wp:positionH>
                <wp:positionV relativeFrom="paragraph">
                  <wp:posOffset>2322195</wp:posOffset>
                </wp:positionV>
                <wp:extent cx="188595" cy="178435"/>
                <wp:effectExtent l="0" t="0" r="190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 cy="178435"/>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9" o:spid="_x0000_s1026" style="position:absolute;margin-left:124.4pt;margin-top:182.85pt;width:14.85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" fillcolor="#d6e3bc [1302]" stroked="f" strokeweight="2pt">
                <v:path arrowok="t"/>
              </v:rect>
            </w:pict>
          </mc:Fallback>
        </mc:AlternateContent>
      </w:r>
      <w:r>
        <w:rPr>
          <w:noProof/>
          <w:lang w:val="en-AU"/>
        </w:rPr>
        <mc:AlternateContent>
          <mc:Choice Requires="wps">
            <w:drawing>
              <wp:anchor distT="0" distB="0" distL="114300" distR="114300" simplePos="0" relativeHeight="251659264" behindDoc="0" locked="0" layoutInCell="1" allowOverlap="1" wp14:anchorId="7B5E0263" wp14:editId="608E84B4">
                <wp:simplePos x="0" y="0"/>
                <wp:positionH relativeFrom="column">
                  <wp:posOffset>2430780</wp:posOffset>
                </wp:positionH>
                <wp:positionV relativeFrom="paragraph">
                  <wp:posOffset>2317115</wp:posOffset>
                </wp:positionV>
                <wp:extent cx="188595" cy="178435"/>
                <wp:effectExtent l="0" t="0" r="190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 cy="17843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8" o:spid="_x0000_s1026" style="position:absolute;margin-left:191.4pt;margin-top:182.45pt;width:14.85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" fillcolor="#92d050" stroked="f" strokeweight="2pt">
                <v:path arrowok="t"/>
              </v:rect>
            </w:pict>
          </mc:Fallback>
        </mc:AlternateContent>
      </w:r>
      <w:r w:rsidR="006E5796">
        <w:t>Level of e</w:t>
      </w:r>
      <w:r w:rsidR="00522CCE" w:rsidRPr="00522CCE">
        <w:t xml:space="preserve">missions </w:t>
      </w:r>
      <w:r w:rsidR="00522CCE">
        <w:t>intensity</w:t>
      </w:r>
      <w:r w:rsidR="006E5796">
        <w:t xml:space="preserve"> of GDP, 2005 and 2025</w:t>
      </w:r>
      <w:r w:rsidR="0021539A">
        <w:rPr>
          <w:noProof/>
          <w:lang w:val="en-AU"/>
        </w:rPr>
        <w:drawing>
          <wp:inline distT="0" distB="0" distL="0" distR="0" wp14:anchorId="666210D6">
            <wp:extent cx="5730240" cy="195072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950720"/>
                    </a:xfrm>
                    <a:prstGeom prst="rect">
                      <a:avLst/>
                    </a:prstGeom>
                    <a:noFill/>
                  </pic:spPr>
                </pic:pic>
              </a:graphicData>
            </a:graphic>
          </wp:inline>
        </w:drawing>
      </w:r>
    </w:p>
    <w:p w:rsidR="00F40B8B" w:rsidRPr="00F40B8B" w:rsidRDefault="00F40B8B" w:rsidP="00976E40">
      <w:pPr>
        <w:pStyle w:val="TableNote"/>
        <w:keepNext/>
        <w:ind w:left="2160" w:firstLine="720"/>
      </w:pPr>
      <w:r w:rsidRPr="00F40B8B">
        <w:t>2005 level          2025 target projection</w:t>
      </w:r>
    </w:p>
    <w:p w:rsidR="008D0D0C" w:rsidRDefault="00853400" w:rsidP="00E27D22">
      <w:pPr>
        <w:pStyle w:val="TableNote"/>
        <w:rPr>
          <w:color w:val="414141"/>
          <w:sz w:val="21"/>
        </w:rPr>
      </w:pPr>
      <w:r w:rsidRPr="00D94785">
        <w:rPr>
          <w:b/>
        </w:rPr>
        <w:t>Note</w:t>
      </w:r>
      <w:r w:rsidR="00F22B2F">
        <w:rPr>
          <w:b/>
        </w:rPr>
        <w:t>s</w:t>
      </w:r>
      <w:r w:rsidRPr="00D94785">
        <w:t xml:space="preserve">: </w:t>
      </w:r>
      <w:r w:rsidR="00576B86">
        <w:t xml:space="preserve">The </w:t>
      </w:r>
      <w:r>
        <w:t xml:space="preserve">US </w:t>
      </w:r>
      <w:r w:rsidR="00F22B2F">
        <w:t xml:space="preserve">target </w:t>
      </w:r>
      <w:r>
        <w:t xml:space="preserve">is </w:t>
      </w:r>
      <w:r w:rsidR="00F22B2F">
        <w:t xml:space="preserve">the </w:t>
      </w:r>
      <w:r>
        <w:t xml:space="preserve">midpoint of its 2025 target range. </w:t>
      </w:r>
      <w:r w:rsidR="00576B86">
        <w:t xml:space="preserve">The </w:t>
      </w:r>
      <w:r>
        <w:t>EU, Norway,</w:t>
      </w:r>
      <w:r w:rsidR="009413BB">
        <w:t xml:space="preserve"> Switzerland</w:t>
      </w:r>
      <w:r w:rsidR="00A642B5">
        <w:t>,</w:t>
      </w:r>
      <w:r w:rsidR="009413BB">
        <w:t xml:space="preserve"> Germany</w:t>
      </w:r>
      <w:r w:rsidR="00A642B5">
        <w:t>, Japan and Canada</w:t>
      </w:r>
      <w:r w:rsidR="009413BB">
        <w:t xml:space="preserve"> targets </w:t>
      </w:r>
      <w:r>
        <w:t xml:space="preserve">are midpoints between their 2020 and 2030 targets. </w:t>
      </w:r>
      <w:r w:rsidRPr="00C87666">
        <w:t>This figure uses UNFCCC emissions data (including land sect</w:t>
      </w:r>
      <w:r>
        <w:t>or). This may not match</w:t>
      </w:r>
      <w:r w:rsidRPr="00C87666">
        <w:t xml:space="preserve"> countries’ Kyoto Protocol emissions accounts (particularly for Norway).</w:t>
      </w:r>
      <w:r w:rsidR="00FD55BD" w:rsidRPr="00D63250" w:rsidDel="00FD55BD">
        <w:t xml:space="preserve"> </w:t>
      </w:r>
      <w:r>
        <w:br/>
      </w:r>
      <w:r>
        <w:rPr>
          <w:b/>
        </w:rPr>
        <w:t>Source</w:t>
      </w:r>
      <w:r w:rsidR="00F22B2F">
        <w:rPr>
          <w:b/>
        </w:rPr>
        <w:t>s</w:t>
      </w:r>
      <w:r w:rsidRPr="00865F6F">
        <w:rPr>
          <w:b/>
        </w:rPr>
        <w:t>:</w:t>
      </w:r>
      <w:r>
        <w:t xml:space="preserve"> </w:t>
      </w:r>
      <w:r w:rsidR="00185303">
        <w:t>CCA (2015) Figure</w:t>
      </w:r>
      <w:r w:rsidR="005210D5">
        <w:t>s</w:t>
      </w:r>
      <w:r w:rsidR="00185303">
        <w:t xml:space="preserve"> 2 and 3</w:t>
      </w:r>
      <w:r w:rsidR="005210D5">
        <w:t>.</w:t>
      </w:r>
      <w:r w:rsidR="00185303">
        <w:t xml:space="preserve"> </w:t>
      </w:r>
      <w:r w:rsidR="005210D5">
        <w:t>A</w:t>
      </w:r>
      <w:r w:rsidR="00185303">
        <w:t>dditional e</w:t>
      </w:r>
      <w:r w:rsidRPr="003A25E7">
        <w:t>missions targets</w:t>
      </w:r>
      <w:r>
        <w:t>—</w:t>
      </w:r>
      <w:r w:rsidR="00185303">
        <w:t xml:space="preserve">as for </w:t>
      </w:r>
      <w:r>
        <w:t>Table 1.</w:t>
      </w:r>
      <w:r w:rsidR="008D0D0C">
        <w:br w:type="page"/>
      </w:r>
    </w:p>
    <w:p w:rsidR="00A250C3" w:rsidRDefault="00E52F46" w:rsidP="003B29EA">
      <w:pPr>
        <w:pStyle w:val="Caption"/>
      </w:pPr>
      <w:r w:rsidRPr="00926CA4">
        <w:lastRenderedPageBreak/>
        <w:t xml:space="preserve">Figure 2: </w:t>
      </w:r>
      <w:r w:rsidR="009413BB">
        <w:t>Implications of Different B</w:t>
      </w:r>
      <w:r w:rsidR="00F22B2F">
        <w:t xml:space="preserve">ase </w:t>
      </w:r>
      <w:r w:rsidR="009413BB">
        <w:t>Y</w:t>
      </w:r>
      <w:r w:rsidRPr="00926CA4">
        <w:t>ears</w:t>
      </w:r>
    </w:p>
    <w:p w:rsidR="008D0D0C" w:rsidRPr="00A14DCC" w:rsidRDefault="008D0D0C" w:rsidP="00E27D22">
      <w:pPr>
        <w:pStyle w:val="BodyText"/>
        <w:rPr>
          <w:sz w:val="20"/>
          <w:szCs w:val="20"/>
        </w:rPr>
      </w:pPr>
      <w:r w:rsidRPr="00A14DCC">
        <w:rPr>
          <w:sz w:val="20"/>
          <w:szCs w:val="20"/>
        </w:rPr>
        <w:t xml:space="preserve">This figure shows that the Authority’s recommended 2025 target of 30 per cent below 2000 levels (dotted green line) translates to 36 per cent below 2005 levels and 32 per cent below 2010. </w:t>
      </w:r>
    </w:p>
    <w:p w:rsidR="00E52F46" w:rsidRDefault="0021539A" w:rsidP="00E52F46">
      <w:pPr>
        <w:pStyle w:val="BodyText"/>
        <w:spacing w:line="240" w:lineRule="auto"/>
      </w:pPr>
      <w:bookmarkStart w:id="0" w:name="_GoBack"/>
      <w:r>
        <w:rPr>
          <w:noProof/>
          <w:lang w:eastAsia="en-AU"/>
        </w:rPr>
        <w:drawing>
          <wp:inline distT="0" distB="0" distL="0" distR="0" wp14:anchorId="6D19E7CC">
            <wp:extent cx="4747260" cy="26060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7260" cy="2606040"/>
                    </a:xfrm>
                    <a:prstGeom prst="rect">
                      <a:avLst/>
                    </a:prstGeom>
                    <a:noFill/>
                  </pic:spPr>
                </pic:pic>
              </a:graphicData>
            </a:graphic>
          </wp:inline>
        </w:drawing>
      </w:r>
      <w:bookmarkEnd w:id="0"/>
    </w:p>
    <w:p w:rsidR="00E52F46" w:rsidRPr="003B29EA" w:rsidRDefault="00E52F46" w:rsidP="003B29EA">
      <w:pPr>
        <w:pStyle w:val="TableNote"/>
        <w:contextualSpacing/>
        <w:rPr>
          <w:szCs w:val="18"/>
        </w:rPr>
      </w:pPr>
      <w:r w:rsidRPr="003B29EA">
        <w:rPr>
          <w:b/>
          <w:szCs w:val="18"/>
        </w:rPr>
        <w:t>Source</w:t>
      </w:r>
      <w:r w:rsidRPr="003B29EA">
        <w:rPr>
          <w:szCs w:val="18"/>
        </w:rPr>
        <w:t>: Historical greenhouse gas emissions (DoE 2015)</w:t>
      </w:r>
    </w:p>
    <w:p w:rsidR="00976E40" w:rsidRPr="003B29EA" w:rsidRDefault="00976E40" w:rsidP="003B29EA">
      <w:pPr>
        <w:pStyle w:val="TableNote"/>
        <w:contextualSpacing/>
        <w:rPr>
          <w:szCs w:val="18"/>
        </w:rPr>
      </w:pPr>
      <w:r w:rsidRPr="003B29EA">
        <w:rPr>
          <w:b/>
          <w:szCs w:val="18"/>
        </w:rPr>
        <w:t>Note</w:t>
      </w:r>
      <w:r w:rsidR="005210D5">
        <w:rPr>
          <w:b/>
          <w:szCs w:val="18"/>
        </w:rPr>
        <w:t>s</w:t>
      </w:r>
      <w:r w:rsidRPr="003B29EA">
        <w:rPr>
          <w:szCs w:val="18"/>
        </w:rPr>
        <w:t xml:space="preserve">: This Figure uses historical data for Australia’s emissions to 2013 and then straight line trajectories to the unconditional 2020 target and the Authority’s recommended 2025 target. </w:t>
      </w:r>
    </w:p>
    <w:p w:rsidR="00CF0A18" w:rsidRPr="003B29EA" w:rsidRDefault="00E52F46" w:rsidP="003B29EA">
      <w:pPr>
        <w:pStyle w:val="TableNote"/>
        <w:contextualSpacing/>
        <w:rPr>
          <w:szCs w:val="18"/>
        </w:rPr>
      </w:pPr>
      <w:r w:rsidRPr="003B29EA">
        <w:rPr>
          <w:b/>
          <w:szCs w:val="18"/>
        </w:rPr>
        <w:t>*</w:t>
      </w:r>
      <w:r w:rsidRPr="003B29EA">
        <w:rPr>
          <w:szCs w:val="18"/>
        </w:rPr>
        <w:t xml:space="preserve"> </w:t>
      </w:r>
      <w:r w:rsidR="00CF0A18" w:rsidRPr="003B29EA">
        <w:rPr>
          <w:szCs w:val="18"/>
        </w:rPr>
        <w:t>The 2020 target shown here is Australia's "unconditional" 5 per cent reduction in emissions below 2000 levels provided for in the Copenhagen Accord; it is the figure which the Government consistently refers to as its emissions reduction target for 2020.</w:t>
      </w:r>
    </w:p>
    <w:p w:rsidR="00CF0A18" w:rsidRPr="003B29EA" w:rsidRDefault="00CF0A18" w:rsidP="003B29EA">
      <w:pPr>
        <w:pStyle w:val="TableNote"/>
        <w:contextualSpacing/>
        <w:rPr>
          <w:szCs w:val="18"/>
        </w:rPr>
      </w:pPr>
      <w:r w:rsidRPr="003B29EA">
        <w:rPr>
          <w:szCs w:val="18"/>
        </w:rPr>
        <w:t xml:space="preserve">Under the Kyoto Protocol Australia agreed  to undertakings in respect of the "first commitment period" (the </w:t>
      </w:r>
      <w:r w:rsidR="00993FA1">
        <w:rPr>
          <w:szCs w:val="18"/>
        </w:rPr>
        <w:t>five</w:t>
      </w:r>
      <w:r w:rsidR="0020225A">
        <w:rPr>
          <w:szCs w:val="18"/>
        </w:rPr>
        <w:t> </w:t>
      </w:r>
      <w:r w:rsidRPr="003B29EA">
        <w:rPr>
          <w:szCs w:val="18"/>
        </w:rPr>
        <w:t xml:space="preserve">years 2008 to 2012) and the "second commitment period" (the </w:t>
      </w:r>
      <w:r w:rsidR="00993FA1">
        <w:rPr>
          <w:szCs w:val="18"/>
        </w:rPr>
        <w:t>eight</w:t>
      </w:r>
      <w:r w:rsidR="00EF109B">
        <w:rPr>
          <w:szCs w:val="18"/>
        </w:rPr>
        <w:t xml:space="preserve"> </w:t>
      </w:r>
      <w:r w:rsidRPr="003B29EA">
        <w:rPr>
          <w:szCs w:val="18"/>
        </w:rPr>
        <w:t>years 2013 to 2020); the undertaking for the latter period is broadly consistent with the unconditional 5 per cent reduction target for 2020. Under the Kyoto Protocol countries which bettered their emission</w:t>
      </w:r>
      <w:r w:rsidR="005210D5">
        <w:rPr>
          <w:szCs w:val="18"/>
        </w:rPr>
        <w:t>s</w:t>
      </w:r>
      <w:r w:rsidRPr="003B29EA">
        <w:rPr>
          <w:szCs w:val="18"/>
        </w:rPr>
        <w:t xml:space="preserve"> reduction targets for the first commitment period can carryover their surplus emission units to the second period to help meet or strengthen their targets, or they c</w:t>
      </w:r>
      <w:r w:rsidR="005210D5">
        <w:rPr>
          <w:szCs w:val="18"/>
        </w:rPr>
        <w:t xml:space="preserve">an </w:t>
      </w:r>
      <w:r w:rsidRPr="003B29EA">
        <w:rPr>
          <w:szCs w:val="18"/>
        </w:rPr>
        <w:t>decide to cancel those units altogether. It is understood that the United Kingdom has chosen to cancel its carryover units, and that the EU as a whole is still considering its position.</w:t>
      </w:r>
    </w:p>
    <w:p w:rsidR="00E52F46" w:rsidRPr="003B29EA" w:rsidRDefault="00CF0A18" w:rsidP="003B29EA">
      <w:pPr>
        <w:pStyle w:val="TableNote"/>
        <w:contextualSpacing/>
        <w:rPr>
          <w:szCs w:val="18"/>
        </w:rPr>
      </w:pPr>
      <w:r w:rsidRPr="003B29EA">
        <w:rPr>
          <w:szCs w:val="18"/>
        </w:rPr>
        <w:t>Australia</w:t>
      </w:r>
      <w:r w:rsidR="005210D5">
        <w:rPr>
          <w:szCs w:val="18"/>
        </w:rPr>
        <w:t>’</w:t>
      </w:r>
      <w:r w:rsidRPr="003B29EA">
        <w:rPr>
          <w:szCs w:val="18"/>
        </w:rPr>
        <w:t>s carryover from the first Kyoto commitment period is currently estimated to be equivalent to about 4</w:t>
      </w:r>
      <w:r w:rsidR="0020225A">
        <w:rPr>
          <w:szCs w:val="18"/>
        </w:rPr>
        <w:t> </w:t>
      </w:r>
      <w:r w:rsidRPr="003B29EA">
        <w:rPr>
          <w:szCs w:val="18"/>
        </w:rPr>
        <w:t>percentage points of emission</w:t>
      </w:r>
      <w:r w:rsidR="005210D5">
        <w:rPr>
          <w:szCs w:val="18"/>
        </w:rPr>
        <w:t>s</w:t>
      </w:r>
      <w:r w:rsidRPr="003B29EA">
        <w:rPr>
          <w:szCs w:val="18"/>
        </w:rPr>
        <w:t xml:space="preserve"> reductions below 2000 levels in 2020. In its 2014 Targets and Progress Review the Authority recommended a minimum 2020 target o</w:t>
      </w:r>
      <w:r w:rsidR="000E143F">
        <w:rPr>
          <w:szCs w:val="18"/>
        </w:rPr>
        <w:t>f 15 per cent below 2000 levels</w:t>
      </w:r>
      <w:r w:rsidRPr="003B29EA">
        <w:rPr>
          <w:szCs w:val="18"/>
        </w:rPr>
        <w:t>, and utilizing Australia's carryover under the Kyoto Protocol to lift that figure to an effective target of 19 per cent. It is not</w:t>
      </w:r>
      <w:r w:rsidR="000E143F">
        <w:rPr>
          <w:szCs w:val="18"/>
        </w:rPr>
        <w:t xml:space="preserve"> clear at this time what part (if any</w:t>
      </w:r>
      <w:r w:rsidRPr="003B29EA">
        <w:rPr>
          <w:szCs w:val="18"/>
        </w:rPr>
        <w:t xml:space="preserve">) this carryover might play in meeting or strengthening the </w:t>
      </w:r>
      <w:r w:rsidR="00FB4EF5" w:rsidRPr="003B29EA">
        <w:rPr>
          <w:szCs w:val="18"/>
        </w:rPr>
        <w:t>Government’s</w:t>
      </w:r>
      <w:r w:rsidRPr="003B29EA">
        <w:rPr>
          <w:szCs w:val="18"/>
        </w:rPr>
        <w:t xml:space="preserve"> unconditional 5 per cent reduction target</w:t>
      </w:r>
      <w:r w:rsidR="0000322B" w:rsidRPr="003B29EA">
        <w:rPr>
          <w:szCs w:val="18"/>
        </w:rPr>
        <w:t>.</w:t>
      </w:r>
    </w:p>
    <w:p w:rsidR="00A250C3" w:rsidRPr="003B29EA" w:rsidRDefault="00E52F46" w:rsidP="003B29EA">
      <w:pPr>
        <w:pStyle w:val="TableNote"/>
        <w:contextualSpacing/>
        <w:rPr>
          <w:szCs w:val="18"/>
        </w:rPr>
      </w:pPr>
      <w:r w:rsidRPr="003B29EA">
        <w:rPr>
          <w:szCs w:val="18"/>
        </w:rPr>
        <w:t>For more information see</w:t>
      </w:r>
      <w:r w:rsidR="00185303">
        <w:rPr>
          <w:szCs w:val="18"/>
        </w:rPr>
        <w:t xml:space="preserve"> CCA (2014)</w:t>
      </w:r>
      <w:r w:rsidRPr="003B29EA">
        <w:rPr>
          <w:szCs w:val="18"/>
        </w:rPr>
        <w:t xml:space="preserve">, </w:t>
      </w:r>
      <w:r w:rsidR="0037662A" w:rsidRPr="003B29EA">
        <w:rPr>
          <w:szCs w:val="18"/>
        </w:rPr>
        <w:t xml:space="preserve">pp </w:t>
      </w:r>
      <w:r w:rsidRPr="003B29EA">
        <w:rPr>
          <w:szCs w:val="18"/>
        </w:rPr>
        <w:t>110-11 and 209.</w:t>
      </w:r>
      <w:r w:rsidR="002E30AA" w:rsidRPr="003B29EA">
        <w:rPr>
          <w:szCs w:val="18"/>
        </w:rPr>
        <w:br w:type="page"/>
      </w:r>
    </w:p>
    <w:p w:rsidR="00185303" w:rsidRDefault="00185303" w:rsidP="00185303">
      <w:pPr>
        <w:pStyle w:val="CitaviBibliographyHeading"/>
      </w:pPr>
      <w:bookmarkStart w:id="1" w:name="_CTVBIBLIOGRAPHY1"/>
      <w:bookmarkEnd w:id="1"/>
      <w:r w:rsidRPr="009D2434">
        <w:rPr>
          <w:color w:val="0C9FCD"/>
        </w:rPr>
        <w:lastRenderedPageBreak/>
        <w:t>References</w:t>
      </w:r>
    </w:p>
    <w:p w:rsidR="00185303" w:rsidRPr="00377776" w:rsidRDefault="00185303" w:rsidP="00185303">
      <w:pPr>
        <w:pStyle w:val="CitaviBibliographyEntry"/>
        <w:spacing w:after="60" w:line="240" w:lineRule="auto"/>
        <w:rPr>
          <w:rFonts w:ascii="Arial" w:hAnsi="Arial" w:cs="Arial"/>
          <w:color w:val="414141"/>
          <w:sz w:val="21"/>
          <w:szCs w:val="21"/>
        </w:rPr>
      </w:pPr>
      <w:r w:rsidRPr="00377776">
        <w:rPr>
          <w:rFonts w:ascii="Arial" w:hAnsi="Arial" w:cs="Arial"/>
          <w:b/>
          <w:color w:val="414141"/>
          <w:sz w:val="21"/>
          <w:szCs w:val="21"/>
        </w:rPr>
        <w:t>Climate Change Authority (CCA) 2014</w:t>
      </w:r>
      <w:r w:rsidRPr="00377776">
        <w:rPr>
          <w:rFonts w:ascii="Arial" w:hAnsi="Arial" w:cs="Arial"/>
          <w:color w:val="414141"/>
          <w:sz w:val="21"/>
          <w:szCs w:val="21"/>
        </w:rPr>
        <w:t xml:space="preserve">, </w:t>
      </w:r>
      <w:r w:rsidRPr="00377776">
        <w:rPr>
          <w:rFonts w:ascii="Arial" w:hAnsi="Arial" w:cs="Arial"/>
          <w:i/>
          <w:color w:val="414141"/>
          <w:sz w:val="21"/>
          <w:szCs w:val="21"/>
        </w:rPr>
        <w:t>Reducing Australia's Greenhouse Gas Emissions: Targets and Progress Review</w:t>
      </w:r>
      <w:r w:rsidRPr="00377776">
        <w:rPr>
          <w:rFonts w:ascii="Arial" w:hAnsi="Arial" w:cs="Arial"/>
          <w:color w:val="414141"/>
          <w:sz w:val="21"/>
          <w:szCs w:val="21"/>
        </w:rPr>
        <w:t xml:space="preserve">, Melbourne, </w:t>
      </w:r>
      <w:hyperlink r:id="rId13" w:history="1">
        <w:r w:rsidR="00C87B69" w:rsidRPr="00C87B69">
          <w:rPr>
            <w:rStyle w:val="Hyperlink"/>
            <w:rFonts w:ascii="Arial" w:hAnsi="Arial" w:cs="Arial"/>
            <w:sz w:val="21"/>
            <w:szCs w:val="21"/>
          </w:rPr>
          <w:t>http://www.climatechangeauthority.gov.au/reviews/targets-and-progress-review-3</w:t>
        </w:r>
      </w:hyperlink>
      <w:r w:rsidRPr="00377776">
        <w:rPr>
          <w:rFonts w:ascii="Arial" w:hAnsi="Arial" w:cs="Arial"/>
          <w:color w:val="414141"/>
          <w:sz w:val="21"/>
          <w:szCs w:val="21"/>
        </w:rPr>
        <w:t>.</w:t>
      </w:r>
    </w:p>
    <w:p w:rsidR="00185303" w:rsidRPr="00377776" w:rsidRDefault="00185303" w:rsidP="00185303">
      <w:pPr>
        <w:pStyle w:val="CitaviBibliographyEntry"/>
        <w:spacing w:after="60" w:line="240" w:lineRule="auto"/>
        <w:ind w:left="0" w:firstLine="0"/>
        <w:rPr>
          <w:rFonts w:ascii="Arial" w:hAnsi="Arial" w:cs="Arial"/>
          <w:b/>
          <w:color w:val="414141"/>
          <w:sz w:val="21"/>
          <w:szCs w:val="21"/>
        </w:rPr>
      </w:pPr>
      <w:r w:rsidRPr="00377776">
        <w:rPr>
          <w:rFonts w:ascii="Arial" w:hAnsi="Arial" w:cs="Arial"/>
          <w:b/>
          <w:color w:val="414141"/>
          <w:sz w:val="21"/>
          <w:szCs w:val="21"/>
        </w:rPr>
        <w:t>CCA</w:t>
      </w:r>
      <w:r w:rsidRPr="00377776">
        <w:rPr>
          <w:rFonts w:ascii="Arial" w:hAnsi="Arial" w:cs="Arial"/>
          <w:color w:val="414141"/>
          <w:sz w:val="21"/>
          <w:szCs w:val="21"/>
        </w:rPr>
        <w:t xml:space="preserve"> </w:t>
      </w:r>
      <w:r w:rsidRPr="00377776">
        <w:rPr>
          <w:rFonts w:ascii="Arial" w:hAnsi="Arial" w:cs="Arial"/>
          <w:b/>
          <w:color w:val="414141"/>
          <w:sz w:val="21"/>
          <w:szCs w:val="21"/>
        </w:rPr>
        <w:t>2015</w:t>
      </w:r>
      <w:r w:rsidRPr="00377776">
        <w:rPr>
          <w:rFonts w:ascii="Arial" w:hAnsi="Arial" w:cs="Arial"/>
          <w:color w:val="414141"/>
          <w:sz w:val="21"/>
          <w:szCs w:val="21"/>
        </w:rPr>
        <w:t xml:space="preserve">, </w:t>
      </w:r>
      <w:r w:rsidRPr="00377776">
        <w:rPr>
          <w:rFonts w:ascii="Arial" w:hAnsi="Arial" w:cs="Arial"/>
          <w:i/>
          <w:color w:val="414141"/>
          <w:sz w:val="21"/>
          <w:szCs w:val="21"/>
        </w:rPr>
        <w:t>Special Review Draft Report: Australia's future emissions reduction targets</w:t>
      </w:r>
      <w:r w:rsidRPr="00377776">
        <w:rPr>
          <w:rFonts w:ascii="Arial" w:hAnsi="Arial" w:cs="Arial"/>
          <w:color w:val="414141"/>
          <w:sz w:val="21"/>
          <w:szCs w:val="21"/>
        </w:rPr>
        <w:t>.</w:t>
      </w:r>
    </w:p>
    <w:p w:rsidR="003F0BCB" w:rsidRPr="00377776" w:rsidRDefault="003F0BCB" w:rsidP="0020225A">
      <w:pPr>
        <w:pStyle w:val="CitaviBibliographyEntry"/>
        <w:spacing w:after="60" w:line="240" w:lineRule="auto"/>
        <w:rPr>
          <w:rFonts w:ascii="Arial" w:hAnsi="Arial" w:cs="Arial"/>
          <w:color w:val="414141"/>
          <w:sz w:val="21"/>
          <w:szCs w:val="21"/>
        </w:rPr>
      </w:pPr>
      <w:r w:rsidRPr="00377776">
        <w:rPr>
          <w:rFonts w:ascii="Arial" w:hAnsi="Arial" w:cs="Arial"/>
          <w:b/>
          <w:color w:val="414141"/>
          <w:sz w:val="21"/>
          <w:szCs w:val="21"/>
        </w:rPr>
        <w:t xml:space="preserve">Department of the Environment (DoE) 2015, </w:t>
      </w:r>
      <w:r w:rsidRPr="00377776">
        <w:rPr>
          <w:rFonts w:ascii="Arial" w:hAnsi="Arial" w:cs="Arial"/>
          <w:i/>
          <w:color w:val="414141"/>
          <w:sz w:val="21"/>
          <w:szCs w:val="21"/>
        </w:rPr>
        <w:t>Australia’s emissions projections</w:t>
      </w:r>
      <w:r w:rsidRPr="00377776">
        <w:rPr>
          <w:rFonts w:ascii="Arial" w:hAnsi="Arial" w:cs="Arial"/>
          <w:color w:val="414141"/>
          <w:sz w:val="21"/>
          <w:szCs w:val="21"/>
        </w:rPr>
        <w:t xml:space="preserve"> 2014</w:t>
      </w:r>
      <w:r w:rsidRPr="00377776">
        <w:rPr>
          <w:rFonts w:ascii="Arial" w:hAnsi="Arial" w:cs="Arial"/>
          <w:color w:val="414141"/>
          <w:sz w:val="21"/>
          <w:szCs w:val="21"/>
        </w:rPr>
        <w:noBreakHyphen/>
        <w:t>15, Canberra.</w:t>
      </w:r>
    </w:p>
    <w:p w:rsidR="00185303" w:rsidRPr="00377776" w:rsidRDefault="00185303" w:rsidP="0020225A">
      <w:pPr>
        <w:pStyle w:val="CitaviBibliographyEntry"/>
        <w:spacing w:after="60" w:line="240" w:lineRule="auto"/>
        <w:rPr>
          <w:rFonts w:ascii="Arial" w:hAnsi="Arial" w:cs="Arial"/>
          <w:color w:val="414141"/>
          <w:sz w:val="21"/>
          <w:szCs w:val="21"/>
        </w:rPr>
      </w:pPr>
      <w:r w:rsidRPr="00377776">
        <w:rPr>
          <w:rFonts w:ascii="Arial" w:hAnsi="Arial" w:cs="Arial"/>
          <w:b/>
          <w:color w:val="414141"/>
          <w:sz w:val="21"/>
          <w:szCs w:val="21"/>
        </w:rPr>
        <w:t>Japanese government proposed INDC outline (draft) 2015,</w:t>
      </w:r>
      <w:r w:rsidRPr="00377776">
        <w:rPr>
          <w:rFonts w:ascii="Arial" w:hAnsi="Arial" w:cs="Arial"/>
          <w:color w:val="414141"/>
          <w:sz w:val="21"/>
          <w:szCs w:val="21"/>
        </w:rPr>
        <w:t xml:space="preserve"> </w:t>
      </w:r>
      <w:r w:rsidRPr="00377776">
        <w:rPr>
          <w:rFonts w:ascii="Arial" w:hAnsi="Arial" w:cs="Arial"/>
          <w:i/>
          <w:color w:val="414141"/>
          <w:sz w:val="21"/>
          <w:szCs w:val="21"/>
        </w:rPr>
        <w:t>Japan promised draft outline</w:t>
      </w:r>
      <w:r w:rsidRPr="00377776">
        <w:rPr>
          <w:rFonts w:ascii="Arial" w:hAnsi="Arial" w:cs="Arial"/>
          <w:color w:val="414141"/>
          <w:sz w:val="21"/>
          <w:szCs w:val="21"/>
        </w:rPr>
        <w:t>, Japanese Government submission to the joint committee of MOE and METI on Apr.</w:t>
      </w:r>
      <w:r w:rsidR="00C87B69" w:rsidRPr="00377776">
        <w:rPr>
          <w:rFonts w:ascii="Arial" w:hAnsi="Arial" w:cs="Arial"/>
          <w:color w:val="414141"/>
          <w:sz w:val="21"/>
          <w:szCs w:val="21"/>
        </w:rPr>
        <w:t xml:space="preserve"> </w:t>
      </w:r>
      <w:r w:rsidRPr="00377776">
        <w:rPr>
          <w:rFonts w:ascii="Arial" w:hAnsi="Arial" w:cs="Arial"/>
          <w:color w:val="414141"/>
          <w:sz w:val="21"/>
          <w:szCs w:val="21"/>
        </w:rPr>
        <w:t>30, 2015 (in Japanese),</w:t>
      </w:r>
    </w:p>
    <w:p w:rsidR="00C87B69" w:rsidRPr="00377776" w:rsidRDefault="002C2E29" w:rsidP="00C87B69">
      <w:pPr>
        <w:pStyle w:val="CitaviBibliographyEntry"/>
        <w:spacing w:after="60" w:line="240" w:lineRule="auto"/>
        <w:ind w:firstLine="0"/>
        <w:rPr>
          <w:rFonts w:ascii="Arial" w:hAnsi="Arial" w:cs="Arial"/>
          <w:color w:val="414141"/>
          <w:sz w:val="21"/>
          <w:szCs w:val="21"/>
        </w:rPr>
      </w:pPr>
      <w:hyperlink r:id="rId14" w:history="1">
        <w:r w:rsidR="00C87B69" w:rsidRPr="00C87B69">
          <w:rPr>
            <w:rStyle w:val="Hyperlink"/>
            <w:rFonts w:ascii="Arial" w:hAnsi="Arial" w:cs="Arial"/>
            <w:sz w:val="21"/>
            <w:szCs w:val="21"/>
          </w:rPr>
          <w:t>http://www.meti.go.jp/committee/sankoushin/sangyougijutsu/chikyu_kankyo/yakusoku_souan_wg/pdf/007_04_00.pdf</w:t>
        </w:r>
      </w:hyperlink>
      <w:r w:rsidR="00C87B69" w:rsidRPr="00C87B69">
        <w:rPr>
          <w:rFonts w:ascii="Arial" w:hAnsi="Arial" w:cs="Arial"/>
          <w:sz w:val="21"/>
          <w:szCs w:val="21"/>
        </w:rPr>
        <w:t>.</w:t>
      </w:r>
    </w:p>
    <w:p w:rsidR="00C87B69" w:rsidRPr="00377776" w:rsidRDefault="00185303" w:rsidP="00185303">
      <w:pPr>
        <w:pStyle w:val="CitaviBibliographyEntry"/>
        <w:spacing w:after="60" w:line="240" w:lineRule="auto"/>
        <w:rPr>
          <w:rFonts w:ascii="Arial" w:hAnsi="Arial" w:cs="Arial"/>
          <w:color w:val="414141"/>
          <w:sz w:val="21"/>
          <w:szCs w:val="21"/>
        </w:rPr>
      </w:pPr>
      <w:r w:rsidRPr="00377776">
        <w:rPr>
          <w:rFonts w:ascii="Arial" w:hAnsi="Arial" w:cs="Arial"/>
          <w:b/>
          <w:color w:val="414141"/>
          <w:sz w:val="21"/>
          <w:szCs w:val="21"/>
        </w:rPr>
        <w:t>United Nations Framework Convention on Climate Change (UNFCCC) 2015</w:t>
      </w:r>
      <w:r w:rsidRPr="00377776">
        <w:rPr>
          <w:rFonts w:ascii="Arial" w:hAnsi="Arial" w:cs="Arial"/>
          <w:color w:val="414141"/>
          <w:sz w:val="21"/>
          <w:szCs w:val="21"/>
        </w:rPr>
        <w:t xml:space="preserve">, </w:t>
      </w:r>
      <w:r w:rsidRPr="00377776">
        <w:rPr>
          <w:rFonts w:ascii="Arial" w:hAnsi="Arial" w:cs="Arial"/>
          <w:i/>
          <w:color w:val="414141"/>
          <w:sz w:val="21"/>
          <w:szCs w:val="21"/>
        </w:rPr>
        <w:t>Intended Nationally Determined Contributions (INDCs)</w:t>
      </w:r>
      <w:r w:rsidRPr="00377776">
        <w:rPr>
          <w:rFonts w:ascii="Arial" w:hAnsi="Arial" w:cs="Arial"/>
          <w:color w:val="414141"/>
          <w:sz w:val="21"/>
          <w:szCs w:val="21"/>
        </w:rPr>
        <w:t xml:space="preserve">, viewed </w:t>
      </w:r>
      <w:r w:rsidR="003F0BCB" w:rsidRPr="00377776">
        <w:rPr>
          <w:rFonts w:ascii="Arial" w:hAnsi="Arial" w:cs="Arial"/>
          <w:color w:val="414141"/>
          <w:sz w:val="21"/>
          <w:szCs w:val="21"/>
        </w:rPr>
        <w:t>1</w:t>
      </w:r>
      <w:r w:rsidRPr="00377776">
        <w:rPr>
          <w:rFonts w:ascii="Arial" w:hAnsi="Arial" w:cs="Arial"/>
          <w:color w:val="414141"/>
          <w:sz w:val="21"/>
          <w:szCs w:val="21"/>
        </w:rPr>
        <w:t xml:space="preserve"> </w:t>
      </w:r>
      <w:r w:rsidR="00C87B69" w:rsidRPr="00377776">
        <w:rPr>
          <w:rFonts w:ascii="Arial" w:hAnsi="Arial" w:cs="Arial"/>
          <w:color w:val="414141"/>
          <w:sz w:val="21"/>
          <w:szCs w:val="21"/>
        </w:rPr>
        <w:t>Ju</w:t>
      </w:r>
      <w:r w:rsidR="003F0BCB" w:rsidRPr="00377776">
        <w:rPr>
          <w:rFonts w:ascii="Arial" w:hAnsi="Arial" w:cs="Arial"/>
          <w:color w:val="414141"/>
          <w:sz w:val="21"/>
          <w:szCs w:val="21"/>
        </w:rPr>
        <w:t>ly</w:t>
      </w:r>
      <w:r w:rsidRPr="00377776">
        <w:rPr>
          <w:rFonts w:ascii="Arial" w:hAnsi="Arial" w:cs="Arial"/>
          <w:color w:val="414141"/>
          <w:sz w:val="21"/>
          <w:szCs w:val="21"/>
        </w:rPr>
        <w:t xml:space="preserve"> 2015, </w:t>
      </w:r>
      <w:hyperlink r:id="rId15" w:history="1">
        <w:r w:rsidR="00C87B69" w:rsidRPr="00C87B69">
          <w:rPr>
            <w:rStyle w:val="Hyperlink"/>
            <w:rFonts w:ascii="Arial" w:hAnsi="Arial" w:cs="Arial"/>
            <w:sz w:val="21"/>
            <w:szCs w:val="21"/>
          </w:rPr>
          <w:t>http://unfccc.int/focus/indc_portal/items/8766.php</w:t>
        </w:r>
      </w:hyperlink>
      <w:r w:rsidRPr="00C87B69">
        <w:rPr>
          <w:rFonts w:ascii="Arial" w:hAnsi="Arial" w:cs="Arial"/>
          <w:sz w:val="21"/>
          <w:szCs w:val="21"/>
        </w:rPr>
        <w:t>.</w:t>
      </w:r>
    </w:p>
    <w:p w:rsidR="00297643" w:rsidRPr="00377776" w:rsidRDefault="00297643" w:rsidP="00185303">
      <w:pPr>
        <w:pStyle w:val="CitaviBibliographyEntry"/>
        <w:rPr>
          <w:color w:val="414141"/>
        </w:rPr>
      </w:pPr>
    </w:p>
    <w:sectPr w:rsidR="00297643" w:rsidRPr="00377776" w:rsidSect="00E27D22">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C6D" w:rsidRDefault="00FB3C6D" w:rsidP="00F34B56">
      <w:r>
        <w:separator/>
      </w:r>
    </w:p>
  </w:endnote>
  <w:endnote w:type="continuationSeparator" w:id="0">
    <w:p w:rsidR="00FB3C6D" w:rsidRDefault="00FB3C6D" w:rsidP="00F3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B7" w:rsidRDefault="00E06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B" w:rsidRPr="000257E1" w:rsidRDefault="002C2E29" w:rsidP="00E06BB7">
    <w:pPr>
      <w:pStyle w:val="Header"/>
      <w:ind w:left="720"/>
      <w:jc w:val="both"/>
    </w:pPr>
    <w:sdt>
      <w:sdtPr>
        <w:rPr>
          <w:rFonts w:ascii="Arial" w:hAnsi="Arial"/>
          <w:color w:val="414141"/>
          <w:sz w:val="21"/>
        </w:rPr>
        <w:id w:val="1354688998"/>
        <w:docPartObj>
          <w:docPartGallery w:val="Page Numbers (Bottom of Page)"/>
          <w:docPartUnique/>
        </w:docPartObj>
      </w:sdtPr>
      <w:sdtEndPr>
        <w:rPr>
          <w:rFonts w:asciiTheme="minorHAnsi" w:hAnsiTheme="minorHAnsi"/>
          <w:noProof/>
          <w:color w:val="auto"/>
          <w:sz w:val="22"/>
        </w:rPr>
      </w:sdtEndPr>
      <w:sdtContent>
        <w:r w:rsidR="0036478B" w:rsidRPr="000257E1">
          <w:t xml:space="preserve">Page | </w:t>
        </w:r>
        <w:r w:rsidR="00EE7760" w:rsidRPr="000257E1">
          <w:fldChar w:fldCharType="begin"/>
        </w:r>
        <w:r w:rsidR="0036478B" w:rsidRPr="000257E1">
          <w:instrText xml:space="preserve"> PAGE   \* MERGEFORMAT </w:instrText>
        </w:r>
        <w:r w:rsidR="00EE7760" w:rsidRPr="000257E1">
          <w:fldChar w:fldCharType="separate"/>
        </w:r>
        <w:r>
          <w:rPr>
            <w:noProof/>
          </w:rPr>
          <w:t>3</w:t>
        </w:r>
        <w:r w:rsidR="00EE7760" w:rsidRPr="000257E1">
          <w:rPr>
            <w:noProof/>
          </w:rPr>
          <w:fldChar w:fldCharType="end"/>
        </w:r>
      </w:sdtContent>
    </w:sdt>
    <w:r w:rsidR="00E06BB7">
      <w:rPr>
        <w:noProof/>
      </w:rPr>
      <w:tab/>
    </w:r>
    <w:r w:rsidR="00E06BB7">
      <w:rPr>
        <w:noProof/>
      </w:rPr>
      <w:tab/>
      <w:t>Climate Change Authority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olor w:val="414141"/>
        <w:sz w:val="21"/>
      </w:rPr>
      <w:id w:val="8806583"/>
      <w:docPartObj>
        <w:docPartGallery w:val="Page Numbers (Bottom of Page)"/>
        <w:docPartUnique/>
      </w:docPartObj>
    </w:sdtPr>
    <w:sdtEndPr>
      <w:rPr>
        <w:rFonts w:asciiTheme="minorHAnsi" w:hAnsiTheme="minorHAnsi"/>
        <w:noProof/>
        <w:color w:val="auto"/>
        <w:sz w:val="22"/>
      </w:rPr>
    </w:sdtEndPr>
    <w:sdtContent>
      <w:p w:rsidR="0036478B" w:rsidRPr="000257E1" w:rsidRDefault="0036478B" w:rsidP="00E27D22">
        <w:pPr>
          <w:pStyle w:val="Header"/>
          <w:ind w:left="720"/>
        </w:pPr>
        <w:r w:rsidRPr="000257E1">
          <w:t xml:space="preserve">Page | </w:t>
        </w:r>
        <w:r w:rsidR="00EE7760" w:rsidRPr="000257E1">
          <w:fldChar w:fldCharType="begin"/>
        </w:r>
        <w:r w:rsidRPr="000257E1">
          <w:instrText xml:space="preserve"> PAGE   \* MERGEFORMAT </w:instrText>
        </w:r>
        <w:r w:rsidR="00EE7760" w:rsidRPr="000257E1">
          <w:fldChar w:fldCharType="separate"/>
        </w:r>
        <w:r w:rsidR="00A83FCB">
          <w:rPr>
            <w:noProof/>
          </w:rPr>
          <w:t>1</w:t>
        </w:r>
        <w:r w:rsidR="00EE7760" w:rsidRPr="000257E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C6D" w:rsidRDefault="00FB3C6D" w:rsidP="00F34B56">
      <w:r>
        <w:separator/>
      </w:r>
    </w:p>
  </w:footnote>
  <w:footnote w:type="continuationSeparator" w:id="0">
    <w:p w:rsidR="00FB3C6D" w:rsidRDefault="00FB3C6D" w:rsidP="00F34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B7" w:rsidRDefault="00E06B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B" w:rsidRDefault="0036478B" w:rsidP="00F34B56">
    <w:pPr>
      <w:pStyle w:val="Heade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B" w:rsidRDefault="0036478B" w:rsidP="00F34B56">
    <w:pPr>
      <w:pStyle w:val="Header"/>
      <w:ind w:left="360"/>
    </w:pPr>
    <w:r>
      <w:rPr>
        <w:noProof/>
        <w:lang w:eastAsia="en-AU"/>
      </w:rPr>
      <w:drawing>
        <wp:anchor distT="0" distB="0" distL="114300" distR="114300" simplePos="0" relativeHeight="251657216" behindDoc="1" locked="0" layoutInCell="1" allowOverlap="1" wp14:anchorId="08E4FEA3" wp14:editId="5409742D">
          <wp:simplePos x="0" y="0"/>
          <wp:positionH relativeFrom="column">
            <wp:posOffset>-95993</wp:posOffset>
          </wp:positionH>
          <wp:positionV relativeFrom="paragraph">
            <wp:posOffset>160020</wp:posOffset>
          </wp:positionV>
          <wp:extent cx="2752725" cy="8191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752725" cy="819150"/>
                  </a:xfrm>
                  <a:prstGeom prst="rect">
                    <a:avLst/>
                  </a:prstGeom>
                  <a:noFill/>
                  <a:ln w="9525">
                    <a:noFill/>
                    <a:miter lim="800000"/>
                    <a:headEnd/>
                    <a:tailEnd/>
                  </a:ln>
                </pic:spPr>
              </pic:pic>
            </a:graphicData>
          </a:graphic>
        </wp:anchor>
      </w:drawing>
    </w:r>
  </w:p>
  <w:p w:rsidR="0036478B" w:rsidRDefault="0036478B" w:rsidP="00F34B56">
    <w:pPr>
      <w:pStyle w:val="Header"/>
      <w:ind w:left="360"/>
    </w:pPr>
  </w:p>
  <w:p w:rsidR="0036478B" w:rsidRDefault="0036478B" w:rsidP="00F34B56">
    <w:pPr>
      <w:pStyle w:val="Header"/>
      <w:ind w:left="360"/>
    </w:pPr>
  </w:p>
  <w:p w:rsidR="0036478B" w:rsidRDefault="0036478B" w:rsidP="00F34B56">
    <w:pPr>
      <w:pStyle w:val="Header"/>
      <w:ind w:left="360"/>
    </w:pPr>
  </w:p>
  <w:p w:rsidR="0036478B" w:rsidRDefault="0036478B" w:rsidP="00F34B56">
    <w:pPr>
      <w:pStyle w:val="Header"/>
      <w:ind w:left="360"/>
    </w:pPr>
  </w:p>
  <w:p w:rsidR="0036478B" w:rsidRDefault="0036478B" w:rsidP="00F34B56">
    <w:pPr>
      <w:pStyle w:val="Header"/>
      <w:ind w:left="360"/>
    </w:pPr>
  </w:p>
  <w:p w:rsidR="0036478B" w:rsidRDefault="0036478B" w:rsidP="00F34B56">
    <w:pPr>
      <w:pStyle w:val="Header"/>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44A0EA"/>
    <w:lvl w:ilvl="0">
      <w:start w:val="1"/>
      <w:numFmt w:val="bullet"/>
      <w:lvlText w:val=""/>
      <w:lvlJc w:val="left"/>
      <w:pPr>
        <w:tabs>
          <w:tab w:val="num" w:pos="360"/>
        </w:tabs>
        <w:ind w:left="360" w:hanging="360"/>
      </w:pPr>
      <w:rPr>
        <w:rFonts w:ascii="Symbol" w:hAnsi="Symbol" w:hint="default"/>
      </w:rPr>
    </w:lvl>
  </w:abstractNum>
  <w:abstractNum w:abstractNumId="1">
    <w:nsid w:val="00AA1D4F"/>
    <w:multiLevelType w:val="hybridMultilevel"/>
    <w:tmpl w:val="427CF456"/>
    <w:lvl w:ilvl="0" w:tplc="C55E2300">
      <w:start w:val="4"/>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990BEC"/>
    <w:multiLevelType w:val="hybridMultilevel"/>
    <w:tmpl w:val="04A8EEB6"/>
    <w:lvl w:ilvl="0" w:tplc="0C090015">
      <w:start w:val="1"/>
      <w:numFmt w:val="upp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C264AB"/>
    <w:multiLevelType w:val="hybridMultilevel"/>
    <w:tmpl w:val="77B0292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03B6694"/>
    <w:multiLevelType w:val="hybridMultilevel"/>
    <w:tmpl w:val="186C44C0"/>
    <w:lvl w:ilvl="0" w:tplc="0C090015">
      <w:start w:val="1"/>
      <w:numFmt w:val="upp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9B4E89"/>
    <w:multiLevelType w:val="hybridMultilevel"/>
    <w:tmpl w:val="400EC1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CF0152"/>
    <w:multiLevelType w:val="hybridMultilevel"/>
    <w:tmpl w:val="A992C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353BA8"/>
    <w:multiLevelType w:val="hybridMultilevel"/>
    <w:tmpl w:val="88664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860C5F"/>
    <w:multiLevelType w:val="hybridMultilevel"/>
    <w:tmpl w:val="9ADC5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B93AA0"/>
    <w:multiLevelType w:val="hybridMultilevel"/>
    <w:tmpl w:val="A8C2A0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B160AF"/>
    <w:multiLevelType w:val="hybridMultilevel"/>
    <w:tmpl w:val="BF84C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D77F25"/>
    <w:multiLevelType w:val="hybridMultilevel"/>
    <w:tmpl w:val="295AC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BB0177"/>
    <w:multiLevelType w:val="hybridMultilevel"/>
    <w:tmpl w:val="DE8E9904"/>
    <w:lvl w:ilvl="0" w:tplc="FD4CED7E">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9C028A3"/>
    <w:multiLevelType w:val="hybridMultilevel"/>
    <w:tmpl w:val="4F12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B3549E"/>
    <w:multiLevelType w:val="hybridMultilevel"/>
    <w:tmpl w:val="FB1263C2"/>
    <w:lvl w:ilvl="0" w:tplc="0C090015">
      <w:start w:val="1"/>
      <w:numFmt w:val="upp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6160E6"/>
    <w:multiLevelType w:val="hybridMultilevel"/>
    <w:tmpl w:val="5C5CA9BC"/>
    <w:lvl w:ilvl="0" w:tplc="252EB182">
      <w:start w:val="1"/>
      <w:numFmt w:val="bullet"/>
      <w:pStyle w:val="ListBullet"/>
      <w:lvlText w:val=""/>
      <w:lvlJc w:val="left"/>
      <w:pPr>
        <w:ind w:left="720" w:hanging="360"/>
      </w:pPr>
      <w:rPr>
        <w:rFonts w:ascii="Symbol" w:hAnsi="Symbo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B86EF9"/>
    <w:multiLevelType w:val="hybridMultilevel"/>
    <w:tmpl w:val="267A7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E555B5"/>
    <w:multiLevelType w:val="hybridMultilevel"/>
    <w:tmpl w:val="71AC7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703B5A"/>
    <w:multiLevelType w:val="multilevel"/>
    <w:tmpl w:val="E19E2ADE"/>
    <w:lvl w:ilvl="0">
      <w:start w:val="1"/>
      <w:numFmt w:val="decimal"/>
      <w:pStyle w:val="ListNumber"/>
      <w:lvlText w:val="%1."/>
      <w:lvlJc w:val="left"/>
      <w:pPr>
        <w:ind w:left="360" w:hanging="360"/>
      </w:pPr>
      <w:rPr>
        <w:rFonts w:ascii="Arial" w:hAnsi="Arial" w:hint="default"/>
        <w:color w:val="0C9FCD"/>
        <w:sz w:val="20"/>
      </w:rPr>
    </w:lvl>
    <w:lvl w:ilvl="1">
      <w:start w:val="1"/>
      <w:numFmt w:val="lowerLetter"/>
      <w:pStyle w:val="ListNumber2"/>
      <w:lvlText w:val="%2."/>
      <w:lvlJc w:val="left"/>
      <w:pPr>
        <w:ind w:left="720" w:hanging="360"/>
      </w:pPr>
      <w:rPr>
        <w:rFonts w:ascii="Arial" w:hAnsi="Arial" w:hint="default"/>
        <w:color w:val="0C9FCD"/>
        <w:sz w:val="20"/>
      </w:rPr>
    </w:lvl>
    <w:lvl w:ilvl="2">
      <w:start w:val="1"/>
      <w:numFmt w:val="lowerRoman"/>
      <w:pStyle w:val="ListNumber3"/>
      <w:lvlText w:val="%3."/>
      <w:lvlJc w:val="left"/>
      <w:pPr>
        <w:ind w:left="1080" w:hanging="360"/>
      </w:pPr>
      <w:rPr>
        <w:rFonts w:ascii="Arial" w:hAnsi="Arial" w:hint="default"/>
        <w:color w:val="F5821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27B0317"/>
    <w:multiLevelType w:val="hybridMultilevel"/>
    <w:tmpl w:val="7BBA2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C85C41"/>
    <w:multiLevelType w:val="hybridMultilevel"/>
    <w:tmpl w:val="64988B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99B5BB2"/>
    <w:multiLevelType w:val="hybridMultilevel"/>
    <w:tmpl w:val="F2C62A8C"/>
    <w:lvl w:ilvl="0" w:tplc="0C090015">
      <w:start w:val="1"/>
      <w:numFmt w:val="upp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FB7B20"/>
    <w:multiLevelType w:val="hybridMultilevel"/>
    <w:tmpl w:val="B1021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1E1C1C"/>
    <w:multiLevelType w:val="hybridMultilevel"/>
    <w:tmpl w:val="56A6A1C0"/>
    <w:lvl w:ilvl="0" w:tplc="B5589BEE">
      <w:start w:val="1"/>
      <w:numFmt w:val="decimal"/>
      <w:lvlText w:val="%1. "/>
      <w:lvlJc w:val="left"/>
      <w:pPr>
        <w:ind w:left="720" w:hanging="360"/>
      </w:pPr>
      <w:rPr>
        <w:rFonts w:hint="default"/>
        <w:color w:val="FF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742A9B"/>
    <w:multiLevelType w:val="hybridMultilevel"/>
    <w:tmpl w:val="D54C84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932217"/>
    <w:multiLevelType w:val="hybridMultilevel"/>
    <w:tmpl w:val="1FB020C2"/>
    <w:lvl w:ilvl="0" w:tplc="0C090001">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nsid w:val="6F1A03FA"/>
    <w:multiLevelType w:val="hybridMultilevel"/>
    <w:tmpl w:val="614AE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7B4FB6"/>
    <w:multiLevelType w:val="hybridMultilevel"/>
    <w:tmpl w:val="82A0D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C44B0B"/>
    <w:multiLevelType w:val="hybridMultilevel"/>
    <w:tmpl w:val="3022D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19249A"/>
    <w:multiLevelType w:val="hybridMultilevel"/>
    <w:tmpl w:val="B7B4F3CC"/>
    <w:lvl w:ilvl="0" w:tplc="0C090015">
      <w:start w:val="1"/>
      <w:numFmt w:val="upp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4DF5B03"/>
    <w:multiLevelType w:val="hybridMultilevel"/>
    <w:tmpl w:val="B606A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CC77A7"/>
    <w:multiLevelType w:val="multilevel"/>
    <w:tmpl w:val="491400AC"/>
    <w:lvl w:ilvl="0">
      <w:start w:val="1"/>
      <w:numFmt w:val="lowerRoman"/>
      <w:lvlText w:val="%1."/>
      <w:lvlJc w:val="left"/>
      <w:pPr>
        <w:ind w:left="360" w:hanging="360"/>
      </w:pPr>
      <w:rPr>
        <w:rFonts w:hint="default"/>
        <w:color w:val="0C9FCD"/>
        <w:sz w:val="20"/>
      </w:rPr>
    </w:lvl>
    <w:lvl w:ilvl="1">
      <w:start w:val="1"/>
      <w:numFmt w:val="lowerLetter"/>
      <w:lvlText w:val="%2."/>
      <w:lvlJc w:val="left"/>
      <w:pPr>
        <w:ind w:left="720" w:hanging="360"/>
      </w:pPr>
      <w:rPr>
        <w:rFonts w:ascii="Arial" w:hAnsi="Arial" w:hint="default"/>
        <w:color w:val="0C9FCD"/>
        <w:sz w:val="20"/>
      </w:rPr>
    </w:lvl>
    <w:lvl w:ilvl="2">
      <w:start w:val="1"/>
      <w:numFmt w:val="lowerRoman"/>
      <w:lvlText w:val="%3."/>
      <w:lvlJc w:val="left"/>
      <w:pPr>
        <w:ind w:left="1080" w:hanging="360"/>
      </w:pPr>
      <w:rPr>
        <w:rFonts w:ascii="Arial" w:hAnsi="Arial" w:hint="default"/>
        <w:color w:val="F5821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A475407"/>
    <w:multiLevelType w:val="hybridMultilevel"/>
    <w:tmpl w:val="DF7AD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026778"/>
    <w:multiLevelType w:val="hybridMultilevel"/>
    <w:tmpl w:val="843A3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32"/>
  </w:num>
  <w:num w:numId="4">
    <w:abstractNumId w:val="7"/>
  </w:num>
  <w:num w:numId="5">
    <w:abstractNumId w:val="24"/>
  </w:num>
  <w:num w:numId="6">
    <w:abstractNumId w:val="27"/>
  </w:num>
  <w:num w:numId="7">
    <w:abstractNumId w:val="2"/>
  </w:num>
  <w:num w:numId="8">
    <w:abstractNumId w:val="4"/>
  </w:num>
  <w:num w:numId="9">
    <w:abstractNumId w:val="21"/>
  </w:num>
  <w:num w:numId="10">
    <w:abstractNumId w:val="1"/>
  </w:num>
  <w:num w:numId="11">
    <w:abstractNumId w:val="14"/>
  </w:num>
  <w:num w:numId="12">
    <w:abstractNumId w:val="9"/>
  </w:num>
  <w:num w:numId="13">
    <w:abstractNumId w:val="29"/>
  </w:num>
  <w:num w:numId="14">
    <w:abstractNumId w:val="6"/>
  </w:num>
  <w:num w:numId="15">
    <w:abstractNumId w:val="22"/>
  </w:num>
  <w:num w:numId="16">
    <w:abstractNumId w:val="10"/>
  </w:num>
  <w:num w:numId="17">
    <w:abstractNumId w:val="19"/>
  </w:num>
  <w:num w:numId="18">
    <w:abstractNumId w:val="33"/>
  </w:num>
  <w:num w:numId="19">
    <w:abstractNumId w:val="16"/>
  </w:num>
  <w:num w:numId="20">
    <w:abstractNumId w:val="17"/>
  </w:num>
  <w:num w:numId="21">
    <w:abstractNumId w:val="8"/>
  </w:num>
  <w:num w:numId="22">
    <w:abstractNumId w:val="28"/>
  </w:num>
  <w:num w:numId="23">
    <w:abstractNumId w:val="23"/>
  </w:num>
  <w:num w:numId="24">
    <w:abstractNumId w:val="20"/>
  </w:num>
  <w:num w:numId="25">
    <w:abstractNumId w:val="0"/>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1"/>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2"/>
  </w:num>
  <w:num w:numId="33">
    <w:abstractNumId w:val="13"/>
  </w:num>
  <w:num w:numId="34">
    <w:abstractNumId w:val="15"/>
  </w:num>
  <w:num w:numId="35">
    <w:abstractNumId w:val="3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E6"/>
    <w:rsid w:val="00000962"/>
    <w:rsid w:val="00000B8E"/>
    <w:rsid w:val="000027C4"/>
    <w:rsid w:val="0000322B"/>
    <w:rsid w:val="00006DD2"/>
    <w:rsid w:val="00011B02"/>
    <w:rsid w:val="00017909"/>
    <w:rsid w:val="000257E1"/>
    <w:rsid w:val="00037A0E"/>
    <w:rsid w:val="00046049"/>
    <w:rsid w:val="00052859"/>
    <w:rsid w:val="000707AA"/>
    <w:rsid w:val="000721C8"/>
    <w:rsid w:val="00075DFC"/>
    <w:rsid w:val="00092A23"/>
    <w:rsid w:val="000A09A4"/>
    <w:rsid w:val="000A7F18"/>
    <w:rsid w:val="000B20FD"/>
    <w:rsid w:val="000B2A6B"/>
    <w:rsid w:val="000B3810"/>
    <w:rsid w:val="000B63A2"/>
    <w:rsid w:val="000C4F67"/>
    <w:rsid w:val="000C7641"/>
    <w:rsid w:val="000D1B91"/>
    <w:rsid w:val="000D340D"/>
    <w:rsid w:val="000D642E"/>
    <w:rsid w:val="000E143F"/>
    <w:rsid w:val="000E6E0A"/>
    <w:rsid w:val="000E722D"/>
    <w:rsid w:val="000F0078"/>
    <w:rsid w:val="000F2D9D"/>
    <w:rsid w:val="001057DF"/>
    <w:rsid w:val="00105A14"/>
    <w:rsid w:val="0011433B"/>
    <w:rsid w:val="00115C61"/>
    <w:rsid w:val="0013395C"/>
    <w:rsid w:val="00136197"/>
    <w:rsid w:val="00144837"/>
    <w:rsid w:val="001515CC"/>
    <w:rsid w:val="00163BFA"/>
    <w:rsid w:val="001646E8"/>
    <w:rsid w:val="00166598"/>
    <w:rsid w:val="00173A45"/>
    <w:rsid w:val="00175A9F"/>
    <w:rsid w:val="0018375E"/>
    <w:rsid w:val="00185303"/>
    <w:rsid w:val="00195DBA"/>
    <w:rsid w:val="001C0034"/>
    <w:rsid w:val="001C4816"/>
    <w:rsid w:val="001C4F76"/>
    <w:rsid w:val="001D2D58"/>
    <w:rsid w:val="001D497E"/>
    <w:rsid w:val="001E1677"/>
    <w:rsid w:val="001F621B"/>
    <w:rsid w:val="001F6679"/>
    <w:rsid w:val="0020225A"/>
    <w:rsid w:val="002066C2"/>
    <w:rsid w:val="0021368B"/>
    <w:rsid w:val="0021539A"/>
    <w:rsid w:val="002450AA"/>
    <w:rsid w:val="002463A3"/>
    <w:rsid w:val="00246687"/>
    <w:rsid w:val="00250CA1"/>
    <w:rsid w:val="00254790"/>
    <w:rsid w:val="00261ECA"/>
    <w:rsid w:val="00265740"/>
    <w:rsid w:val="00267A8D"/>
    <w:rsid w:val="00277A34"/>
    <w:rsid w:val="00280279"/>
    <w:rsid w:val="00291B3E"/>
    <w:rsid w:val="00297643"/>
    <w:rsid w:val="002A0D99"/>
    <w:rsid w:val="002B3EC0"/>
    <w:rsid w:val="002B478B"/>
    <w:rsid w:val="002C2E29"/>
    <w:rsid w:val="002C3F9F"/>
    <w:rsid w:val="002C5E5E"/>
    <w:rsid w:val="002D2223"/>
    <w:rsid w:val="002D713A"/>
    <w:rsid w:val="002E30AA"/>
    <w:rsid w:val="002E56C2"/>
    <w:rsid w:val="003037F7"/>
    <w:rsid w:val="00314A36"/>
    <w:rsid w:val="00324542"/>
    <w:rsid w:val="00332346"/>
    <w:rsid w:val="00334BC7"/>
    <w:rsid w:val="00344412"/>
    <w:rsid w:val="003468CC"/>
    <w:rsid w:val="003477CB"/>
    <w:rsid w:val="00355CD2"/>
    <w:rsid w:val="00363A32"/>
    <w:rsid w:val="0036478B"/>
    <w:rsid w:val="003664DF"/>
    <w:rsid w:val="003738AC"/>
    <w:rsid w:val="0037662A"/>
    <w:rsid w:val="00376FB5"/>
    <w:rsid w:val="00377776"/>
    <w:rsid w:val="00384386"/>
    <w:rsid w:val="00393767"/>
    <w:rsid w:val="003A59D1"/>
    <w:rsid w:val="003B29EA"/>
    <w:rsid w:val="003C0756"/>
    <w:rsid w:val="003C0A29"/>
    <w:rsid w:val="003C6EC8"/>
    <w:rsid w:val="003D3099"/>
    <w:rsid w:val="003D3469"/>
    <w:rsid w:val="003F0BCB"/>
    <w:rsid w:val="003F172D"/>
    <w:rsid w:val="003F225B"/>
    <w:rsid w:val="003F2A92"/>
    <w:rsid w:val="003F36D2"/>
    <w:rsid w:val="003F5F55"/>
    <w:rsid w:val="003F79B3"/>
    <w:rsid w:val="00404818"/>
    <w:rsid w:val="0041353F"/>
    <w:rsid w:val="004142AD"/>
    <w:rsid w:val="00417A30"/>
    <w:rsid w:val="00421385"/>
    <w:rsid w:val="0042636A"/>
    <w:rsid w:val="00435BCA"/>
    <w:rsid w:val="00440616"/>
    <w:rsid w:val="004417CF"/>
    <w:rsid w:val="00442204"/>
    <w:rsid w:val="00442F84"/>
    <w:rsid w:val="00456826"/>
    <w:rsid w:val="0046205D"/>
    <w:rsid w:val="00471791"/>
    <w:rsid w:val="00474075"/>
    <w:rsid w:val="00482B78"/>
    <w:rsid w:val="00487143"/>
    <w:rsid w:val="004A414D"/>
    <w:rsid w:val="004D0082"/>
    <w:rsid w:val="004D3A95"/>
    <w:rsid w:val="004D6F73"/>
    <w:rsid w:val="004E08E7"/>
    <w:rsid w:val="004E194C"/>
    <w:rsid w:val="004E2857"/>
    <w:rsid w:val="004E6FAF"/>
    <w:rsid w:val="004F0BC8"/>
    <w:rsid w:val="004F44E1"/>
    <w:rsid w:val="004F4A2C"/>
    <w:rsid w:val="00520D27"/>
    <w:rsid w:val="00520F4F"/>
    <w:rsid w:val="005210D5"/>
    <w:rsid w:val="00522CCE"/>
    <w:rsid w:val="00524210"/>
    <w:rsid w:val="0052636D"/>
    <w:rsid w:val="0053060D"/>
    <w:rsid w:val="00534BC0"/>
    <w:rsid w:val="00543C7B"/>
    <w:rsid w:val="005447E8"/>
    <w:rsid w:val="005469EC"/>
    <w:rsid w:val="00552451"/>
    <w:rsid w:val="0056681E"/>
    <w:rsid w:val="005678EE"/>
    <w:rsid w:val="00570B6D"/>
    <w:rsid w:val="00574F76"/>
    <w:rsid w:val="00576B86"/>
    <w:rsid w:val="00591C60"/>
    <w:rsid w:val="0059563C"/>
    <w:rsid w:val="005A0F01"/>
    <w:rsid w:val="005B6E4C"/>
    <w:rsid w:val="005C282D"/>
    <w:rsid w:val="005C4576"/>
    <w:rsid w:val="005D3D7D"/>
    <w:rsid w:val="00600287"/>
    <w:rsid w:val="00610483"/>
    <w:rsid w:val="006151DC"/>
    <w:rsid w:val="0061712F"/>
    <w:rsid w:val="00627CF2"/>
    <w:rsid w:val="0063738E"/>
    <w:rsid w:val="00640860"/>
    <w:rsid w:val="00650F35"/>
    <w:rsid w:val="00653C9B"/>
    <w:rsid w:val="00654CF6"/>
    <w:rsid w:val="00660963"/>
    <w:rsid w:val="00666CF1"/>
    <w:rsid w:val="00670B90"/>
    <w:rsid w:val="00672D07"/>
    <w:rsid w:val="006756C1"/>
    <w:rsid w:val="0068008C"/>
    <w:rsid w:val="00684677"/>
    <w:rsid w:val="006904BE"/>
    <w:rsid w:val="00695866"/>
    <w:rsid w:val="006A0499"/>
    <w:rsid w:val="006A09D8"/>
    <w:rsid w:val="006A2D8E"/>
    <w:rsid w:val="006B0692"/>
    <w:rsid w:val="006C3BCC"/>
    <w:rsid w:val="006E0B60"/>
    <w:rsid w:val="006E2DA4"/>
    <w:rsid w:val="006E5796"/>
    <w:rsid w:val="0070406A"/>
    <w:rsid w:val="00704F28"/>
    <w:rsid w:val="00711EC5"/>
    <w:rsid w:val="0071543A"/>
    <w:rsid w:val="007232BC"/>
    <w:rsid w:val="0072448B"/>
    <w:rsid w:val="00732A25"/>
    <w:rsid w:val="00732BE5"/>
    <w:rsid w:val="0075102C"/>
    <w:rsid w:val="0075370A"/>
    <w:rsid w:val="00754C67"/>
    <w:rsid w:val="00760D74"/>
    <w:rsid w:val="00761FFB"/>
    <w:rsid w:val="007702A7"/>
    <w:rsid w:val="00771C73"/>
    <w:rsid w:val="00772993"/>
    <w:rsid w:val="007744D9"/>
    <w:rsid w:val="00776A77"/>
    <w:rsid w:val="00776FBA"/>
    <w:rsid w:val="00792DE6"/>
    <w:rsid w:val="007A5FC8"/>
    <w:rsid w:val="007A62CC"/>
    <w:rsid w:val="007B0307"/>
    <w:rsid w:val="007B4682"/>
    <w:rsid w:val="007B4E7D"/>
    <w:rsid w:val="007B660D"/>
    <w:rsid w:val="007B7057"/>
    <w:rsid w:val="007D3C9B"/>
    <w:rsid w:val="007D629E"/>
    <w:rsid w:val="007E07D9"/>
    <w:rsid w:val="007F556A"/>
    <w:rsid w:val="008050F3"/>
    <w:rsid w:val="00805D87"/>
    <w:rsid w:val="00815ADC"/>
    <w:rsid w:val="00824F3F"/>
    <w:rsid w:val="008401A3"/>
    <w:rsid w:val="00853400"/>
    <w:rsid w:val="00854A6F"/>
    <w:rsid w:val="00886B6F"/>
    <w:rsid w:val="008A2C82"/>
    <w:rsid w:val="008A32D5"/>
    <w:rsid w:val="008A39EE"/>
    <w:rsid w:val="008A6BE0"/>
    <w:rsid w:val="008B4C2F"/>
    <w:rsid w:val="008C1A97"/>
    <w:rsid w:val="008C6268"/>
    <w:rsid w:val="008D0D0C"/>
    <w:rsid w:val="00901B31"/>
    <w:rsid w:val="00906975"/>
    <w:rsid w:val="00906B37"/>
    <w:rsid w:val="00914BD8"/>
    <w:rsid w:val="00926CA4"/>
    <w:rsid w:val="009312DF"/>
    <w:rsid w:val="0093168C"/>
    <w:rsid w:val="00933748"/>
    <w:rsid w:val="009413BB"/>
    <w:rsid w:val="00943278"/>
    <w:rsid w:val="00946315"/>
    <w:rsid w:val="00960821"/>
    <w:rsid w:val="00961ADE"/>
    <w:rsid w:val="00970205"/>
    <w:rsid w:val="009765B1"/>
    <w:rsid w:val="00976E40"/>
    <w:rsid w:val="00980D43"/>
    <w:rsid w:val="00993FA1"/>
    <w:rsid w:val="009A0BFF"/>
    <w:rsid w:val="009A158D"/>
    <w:rsid w:val="009A649A"/>
    <w:rsid w:val="009B01E7"/>
    <w:rsid w:val="009D2434"/>
    <w:rsid w:val="009D2F02"/>
    <w:rsid w:val="009D473D"/>
    <w:rsid w:val="009D6DBD"/>
    <w:rsid w:val="009D7886"/>
    <w:rsid w:val="009E3AAB"/>
    <w:rsid w:val="00A10E96"/>
    <w:rsid w:val="00A14DCC"/>
    <w:rsid w:val="00A15D4E"/>
    <w:rsid w:val="00A23C2B"/>
    <w:rsid w:val="00A240DF"/>
    <w:rsid w:val="00A24121"/>
    <w:rsid w:val="00A250C3"/>
    <w:rsid w:val="00A277A9"/>
    <w:rsid w:val="00A33BA4"/>
    <w:rsid w:val="00A445E0"/>
    <w:rsid w:val="00A47BED"/>
    <w:rsid w:val="00A55825"/>
    <w:rsid w:val="00A642B5"/>
    <w:rsid w:val="00A7042D"/>
    <w:rsid w:val="00A72A3A"/>
    <w:rsid w:val="00A73613"/>
    <w:rsid w:val="00A82851"/>
    <w:rsid w:val="00A83FCB"/>
    <w:rsid w:val="00A86D42"/>
    <w:rsid w:val="00A93565"/>
    <w:rsid w:val="00AA4346"/>
    <w:rsid w:val="00AB74F6"/>
    <w:rsid w:val="00AC2D68"/>
    <w:rsid w:val="00AF2340"/>
    <w:rsid w:val="00AF6DC3"/>
    <w:rsid w:val="00B218A1"/>
    <w:rsid w:val="00B3775F"/>
    <w:rsid w:val="00B43095"/>
    <w:rsid w:val="00B47A3C"/>
    <w:rsid w:val="00B56CF4"/>
    <w:rsid w:val="00B56FB1"/>
    <w:rsid w:val="00B67201"/>
    <w:rsid w:val="00B71545"/>
    <w:rsid w:val="00B77950"/>
    <w:rsid w:val="00B8435E"/>
    <w:rsid w:val="00B9708D"/>
    <w:rsid w:val="00BA1C73"/>
    <w:rsid w:val="00BB2A3F"/>
    <w:rsid w:val="00BD65AD"/>
    <w:rsid w:val="00BE1077"/>
    <w:rsid w:val="00BE417D"/>
    <w:rsid w:val="00BE5AD6"/>
    <w:rsid w:val="00BF1F34"/>
    <w:rsid w:val="00BF4560"/>
    <w:rsid w:val="00C01DB5"/>
    <w:rsid w:val="00C02067"/>
    <w:rsid w:val="00C0525A"/>
    <w:rsid w:val="00C14419"/>
    <w:rsid w:val="00C16D2C"/>
    <w:rsid w:val="00C170D3"/>
    <w:rsid w:val="00C24605"/>
    <w:rsid w:val="00C25F54"/>
    <w:rsid w:val="00C33482"/>
    <w:rsid w:val="00C3400D"/>
    <w:rsid w:val="00C352AB"/>
    <w:rsid w:val="00C42193"/>
    <w:rsid w:val="00C45086"/>
    <w:rsid w:val="00C5774F"/>
    <w:rsid w:val="00C604E1"/>
    <w:rsid w:val="00C60B3D"/>
    <w:rsid w:val="00C62ECB"/>
    <w:rsid w:val="00C716F2"/>
    <w:rsid w:val="00C8247E"/>
    <w:rsid w:val="00C841DD"/>
    <w:rsid w:val="00C84C1C"/>
    <w:rsid w:val="00C85D83"/>
    <w:rsid w:val="00C8637F"/>
    <w:rsid w:val="00C87B69"/>
    <w:rsid w:val="00C925FA"/>
    <w:rsid w:val="00CA1AC0"/>
    <w:rsid w:val="00CB67A2"/>
    <w:rsid w:val="00CC729F"/>
    <w:rsid w:val="00CC7711"/>
    <w:rsid w:val="00CD3B6D"/>
    <w:rsid w:val="00CD79E4"/>
    <w:rsid w:val="00CF0A18"/>
    <w:rsid w:val="00CF13D2"/>
    <w:rsid w:val="00CF276F"/>
    <w:rsid w:val="00CF6EB8"/>
    <w:rsid w:val="00D02EF7"/>
    <w:rsid w:val="00D03F22"/>
    <w:rsid w:val="00D040D5"/>
    <w:rsid w:val="00D05EB3"/>
    <w:rsid w:val="00D0652A"/>
    <w:rsid w:val="00D07AF4"/>
    <w:rsid w:val="00D14765"/>
    <w:rsid w:val="00D15707"/>
    <w:rsid w:val="00D163E1"/>
    <w:rsid w:val="00D17C42"/>
    <w:rsid w:val="00D3054F"/>
    <w:rsid w:val="00D40B97"/>
    <w:rsid w:val="00D437A3"/>
    <w:rsid w:val="00D44496"/>
    <w:rsid w:val="00D51E0B"/>
    <w:rsid w:val="00D52357"/>
    <w:rsid w:val="00D569EE"/>
    <w:rsid w:val="00D63250"/>
    <w:rsid w:val="00D63BBE"/>
    <w:rsid w:val="00D73B08"/>
    <w:rsid w:val="00D86BDE"/>
    <w:rsid w:val="00D90997"/>
    <w:rsid w:val="00D909B6"/>
    <w:rsid w:val="00DB1725"/>
    <w:rsid w:val="00DB2A68"/>
    <w:rsid w:val="00DB2C54"/>
    <w:rsid w:val="00DB3CD5"/>
    <w:rsid w:val="00DB5A64"/>
    <w:rsid w:val="00DB7EF7"/>
    <w:rsid w:val="00DC6873"/>
    <w:rsid w:val="00DD2ACD"/>
    <w:rsid w:val="00DE5161"/>
    <w:rsid w:val="00DE63BF"/>
    <w:rsid w:val="00DF0DA4"/>
    <w:rsid w:val="00DF746F"/>
    <w:rsid w:val="00E01152"/>
    <w:rsid w:val="00E01BCA"/>
    <w:rsid w:val="00E03C36"/>
    <w:rsid w:val="00E06BB7"/>
    <w:rsid w:val="00E149E7"/>
    <w:rsid w:val="00E2693C"/>
    <w:rsid w:val="00E27D22"/>
    <w:rsid w:val="00E373D0"/>
    <w:rsid w:val="00E52F46"/>
    <w:rsid w:val="00E55934"/>
    <w:rsid w:val="00E732CB"/>
    <w:rsid w:val="00E87EF6"/>
    <w:rsid w:val="00E950BA"/>
    <w:rsid w:val="00EA0F31"/>
    <w:rsid w:val="00EA2603"/>
    <w:rsid w:val="00EA3012"/>
    <w:rsid w:val="00EB1AED"/>
    <w:rsid w:val="00EB6650"/>
    <w:rsid w:val="00EC02C6"/>
    <w:rsid w:val="00EC201E"/>
    <w:rsid w:val="00ED19E8"/>
    <w:rsid w:val="00ED1B12"/>
    <w:rsid w:val="00EE4F75"/>
    <w:rsid w:val="00EE7760"/>
    <w:rsid w:val="00EF109B"/>
    <w:rsid w:val="00F105BA"/>
    <w:rsid w:val="00F1185C"/>
    <w:rsid w:val="00F1327F"/>
    <w:rsid w:val="00F22B2F"/>
    <w:rsid w:val="00F2608B"/>
    <w:rsid w:val="00F26BA3"/>
    <w:rsid w:val="00F30097"/>
    <w:rsid w:val="00F32C2A"/>
    <w:rsid w:val="00F34B56"/>
    <w:rsid w:val="00F40B8B"/>
    <w:rsid w:val="00F42900"/>
    <w:rsid w:val="00F540FE"/>
    <w:rsid w:val="00F62C33"/>
    <w:rsid w:val="00F63BEB"/>
    <w:rsid w:val="00F640F1"/>
    <w:rsid w:val="00F6780C"/>
    <w:rsid w:val="00F71A1D"/>
    <w:rsid w:val="00F87EC5"/>
    <w:rsid w:val="00F92732"/>
    <w:rsid w:val="00F929A6"/>
    <w:rsid w:val="00F93E72"/>
    <w:rsid w:val="00F9567A"/>
    <w:rsid w:val="00F97869"/>
    <w:rsid w:val="00FA159F"/>
    <w:rsid w:val="00FA31E0"/>
    <w:rsid w:val="00FB07C4"/>
    <w:rsid w:val="00FB38B8"/>
    <w:rsid w:val="00FB3C6D"/>
    <w:rsid w:val="00FB4EF5"/>
    <w:rsid w:val="00FB7435"/>
    <w:rsid w:val="00FC38C6"/>
    <w:rsid w:val="00FC3A53"/>
    <w:rsid w:val="00FD1767"/>
    <w:rsid w:val="00FD3D29"/>
    <w:rsid w:val="00FD55BD"/>
    <w:rsid w:val="00FE14AE"/>
    <w:rsid w:val="00FE22E6"/>
    <w:rsid w:val="00FE2B8A"/>
    <w:rsid w:val="00FE5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8" w:qFormat="1"/>
    <w:lsdException w:name="List Number" w:uiPriority="8" w:qFormat="1"/>
    <w:lsdException w:name="List Number 2" w:uiPriority="8"/>
    <w:lsdException w:name="List Number 3" w:uiPriority="8"/>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C73"/>
    <w:pPr>
      <w:spacing w:line="600" w:lineRule="auto"/>
    </w:pPr>
  </w:style>
  <w:style w:type="paragraph" w:styleId="Heading1">
    <w:name w:val="heading 1"/>
    <w:basedOn w:val="Normal"/>
    <w:next w:val="Normal"/>
    <w:link w:val="Heading1Char"/>
    <w:uiPriority w:val="9"/>
    <w:qFormat/>
    <w:rsid w:val="002C5E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23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Heading1"/>
    <w:next w:val="BodyText"/>
    <w:link w:val="Heading4Char"/>
    <w:uiPriority w:val="4"/>
    <w:qFormat/>
    <w:rsid w:val="00D52357"/>
    <w:pPr>
      <w:keepLines w:val="0"/>
      <w:spacing w:before="120" w:after="120" w:line="312" w:lineRule="auto"/>
      <w:contextualSpacing/>
      <w:outlineLvl w:val="3"/>
    </w:pPr>
    <w:rPr>
      <w:rFonts w:ascii="Arial" w:eastAsia="Times New Roman" w:hAnsi="Arial" w:cs="Arial"/>
      <w:b w:val="0"/>
      <w:bCs w:val="0"/>
      <w:color w:val="0C9FCD"/>
      <w:spacing w:val="-5"/>
      <w:sz w:val="22"/>
      <w:szCs w:val="21"/>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5E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22E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E22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E22E6"/>
    <w:pPr>
      <w:contextualSpacing/>
    </w:pPr>
  </w:style>
  <w:style w:type="character" w:styleId="CommentReference">
    <w:name w:val="annotation reference"/>
    <w:basedOn w:val="DefaultParagraphFont"/>
    <w:uiPriority w:val="99"/>
    <w:semiHidden/>
    <w:unhideWhenUsed/>
    <w:rsid w:val="00BE417D"/>
    <w:rPr>
      <w:sz w:val="16"/>
      <w:szCs w:val="16"/>
    </w:rPr>
  </w:style>
  <w:style w:type="paragraph" w:styleId="CommentText">
    <w:name w:val="annotation text"/>
    <w:basedOn w:val="Normal"/>
    <w:link w:val="CommentTextChar"/>
    <w:uiPriority w:val="99"/>
    <w:semiHidden/>
    <w:unhideWhenUsed/>
    <w:rsid w:val="00BE417D"/>
    <w:pPr>
      <w:spacing w:line="240" w:lineRule="auto"/>
    </w:pPr>
    <w:rPr>
      <w:sz w:val="20"/>
      <w:szCs w:val="20"/>
    </w:rPr>
  </w:style>
  <w:style w:type="character" w:customStyle="1" w:styleId="CommentTextChar">
    <w:name w:val="Comment Text Char"/>
    <w:basedOn w:val="DefaultParagraphFont"/>
    <w:link w:val="CommentText"/>
    <w:uiPriority w:val="99"/>
    <w:semiHidden/>
    <w:rsid w:val="00BE417D"/>
    <w:rPr>
      <w:sz w:val="20"/>
      <w:szCs w:val="20"/>
    </w:rPr>
  </w:style>
  <w:style w:type="paragraph" w:styleId="CommentSubject">
    <w:name w:val="annotation subject"/>
    <w:basedOn w:val="CommentText"/>
    <w:next w:val="CommentText"/>
    <w:link w:val="CommentSubjectChar"/>
    <w:uiPriority w:val="99"/>
    <w:semiHidden/>
    <w:unhideWhenUsed/>
    <w:rsid w:val="00BE417D"/>
    <w:rPr>
      <w:b/>
      <w:bCs/>
    </w:rPr>
  </w:style>
  <w:style w:type="character" w:customStyle="1" w:styleId="CommentSubjectChar">
    <w:name w:val="Comment Subject Char"/>
    <w:basedOn w:val="CommentTextChar"/>
    <w:link w:val="CommentSubject"/>
    <w:uiPriority w:val="99"/>
    <w:semiHidden/>
    <w:rsid w:val="00BE417D"/>
    <w:rPr>
      <w:b/>
      <w:bCs/>
      <w:sz w:val="20"/>
      <w:szCs w:val="20"/>
    </w:rPr>
  </w:style>
  <w:style w:type="paragraph" w:styleId="BalloonText">
    <w:name w:val="Balloon Text"/>
    <w:basedOn w:val="Normal"/>
    <w:link w:val="BalloonTextChar"/>
    <w:uiPriority w:val="99"/>
    <w:semiHidden/>
    <w:unhideWhenUsed/>
    <w:rsid w:val="00BE4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17D"/>
    <w:rPr>
      <w:rFonts w:ascii="Tahoma" w:hAnsi="Tahoma" w:cs="Tahoma"/>
      <w:sz w:val="16"/>
      <w:szCs w:val="16"/>
    </w:rPr>
  </w:style>
  <w:style w:type="paragraph" w:styleId="Revision">
    <w:name w:val="Revision"/>
    <w:hidden/>
    <w:uiPriority w:val="99"/>
    <w:semiHidden/>
    <w:rsid w:val="00D3054F"/>
    <w:pPr>
      <w:spacing w:after="0" w:line="240" w:lineRule="auto"/>
    </w:pPr>
  </w:style>
  <w:style w:type="paragraph" w:styleId="PlainText">
    <w:name w:val="Plain Text"/>
    <w:basedOn w:val="Normal"/>
    <w:link w:val="PlainTextChar"/>
    <w:uiPriority w:val="99"/>
    <w:unhideWhenUsed/>
    <w:rsid w:val="00EE4F7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E4F75"/>
    <w:rPr>
      <w:rFonts w:ascii="Calibri" w:hAnsi="Calibri"/>
      <w:szCs w:val="21"/>
    </w:rPr>
  </w:style>
  <w:style w:type="paragraph" w:styleId="Header">
    <w:name w:val="header"/>
    <w:basedOn w:val="Normal"/>
    <w:link w:val="HeaderChar"/>
    <w:uiPriority w:val="99"/>
    <w:unhideWhenUsed/>
    <w:rsid w:val="002C5E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E5E"/>
  </w:style>
  <w:style w:type="paragraph" w:styleId="Footer">
    <w:name w:val="footer"/>
    <w:basedOn w:val="Normal"/>
    <w:link w:val="FooterChar"/>
    <w:uiPriority w:val="99"/>
    <w:unhideWhenUsed/>
    <w:rsid w:val="002C5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E5E"/>
  </w:style>
  <w:style w:type="paragraph" w:customStyle="1" w:styleId="Headingnon-numbered">
    <w:name w:val="Heading (non-numbered)"/>
    <w:basedOn w:val="Heading1"/>
    <w:next w:val="BodyText"/>
    <w:uiPriority w:val="5"/>
    <w:qFormat/>
    <w:rsid w:val="00D52357"/>
    <w:pPr>
      <w:keepLines w:val="0"/>
      <w:pageBreakBefore/>
      <w:spacing w:before="800" w:after="800" w:line="240" w:lineRule="auto"/>
      <w:contextualSpacing/>
    </w:pPr>
    <w:rPr>
      <w:rFonts w:ascii="Arial" w:eastAsia="Times New Roman" w:hAnsi="Arial" w:cs="Arial"/>
      <w:b w:val="0"/>
      <w:caps/>
      <w:color w:val="0C9FCD"/>
      <w:sz w:val="40"/>
      <w:szCs w:val="32"/>
      <w:lang w:val="en-GB" w:eastAsia="en-AU"/>
    </w:rPr>
  </w:style>
  <w:style w:type="paragraph" w:styleId="BodyText">
    <w:name w:val="Body Text"/>
    <w:basedOn w:val="Normal"/>
    <w:link w:val="BodyTextChar"/>
    <w:uiPriority w:val="1"/>
    <w:unhideWhenUsed/>
    <w:qFormat/>
    <w:rsid w:val="003B29EA"/>
    <w:pPr>
      <w:spacing w:after="120" w:line="312" w:lineRule="auto"/>
    </w:pPr>
    <w:rPr>
      <w:rFonts w:ascii="Arial" w:hAnsi="Arial"/>
      <w:color w:val="414141"/>
      <w:sz w:val="21"/>
    </w:rPr>
  </w:style>
  <w:style w:type="character" w:customStyle="1" w:styleId="BodyTextChar">
    <w:name w:val="Body Text Char"/>
    <w:basedOn w:val="DefaultParagraphFont"/>
    <w:link w:val="BodyText"/>
    <w:uiPriority w:val="1"/>
    <w:rsid w:val="003B29EA"/>
    <w:rPr>
      <w:rFonts w:ascii="Arial" w:hAnsi="Arial"/>
      <w:color w:val="414141"/>
      <w:sz w:val="21"/>
    </w:rPr>
  </w:style>
  <w:style w:type="paragraph" w:customStyle="1" w:styleId="Headingreferences">
    <w:name w:val="Heading (references)"/>
    <w:basedOn w:val="Heading2"/>
    <w:next w:val="BodyText"/>
    <w:uiPriority w:val="5"/>
    <w:qFormat/>
    <w:rsid w:val="00D52357"/>
    <w:pPr>
      <w:keepLines w:val="0"/>
      <w:spacing w:after="120" w:line="240" w:lineRule="auto"/>
      <w:contextualSpacing/>
    </w:pPr>
    <w:rPr>
      <w:rFonts w:ascii="Arial" w:eastAsia="Times New Roman" w:hAnsi="Arial" w:cs="Arial"/>
      <w:b w:val="0"/>
      <w:bCs w:val="0"/>
      <w:iCs/>
      <w:color w:val="0C9FCD"/>
      <w:sz w:val="28"/>
      <w:szCs w:val="28"/>
      <w:lang w:val="en-GB" w:eastAsia="en-AU"/>
    </w:rPr>
  </w:style>
  <w:style w:type="character" w:customStyle="1" w:styleId="Heading2Char">
    <w:name w:val="Heading 2 Char"/>
    <w:basedOn w:val="DefaultParagraphFont"/>
    <w:link w:val="Heading2"/>
    <w:uiPriority w:val="9"/>
    <w:semiHidden/>
    <w:rsid w:val="00D5235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4"/>
    <w:rsid w:val="00D52357"/>
    <w:rPr>
      <w:rFonts w:ascii="Arial" w:eastAsia="Times New Roman" w:hAnsi="Arial" w:cs="Arial"/>
      <w:color w:val="0C9FCD"/>
      <w:spacing w:val="-5"/>
      <w:szCs w:val="21"/>
      <w:lang w:val="en-GB" w:eastAsia="en-AU"/>
    </w:rPr>
  </w:style>
  <w:style w:type="paragraph" w:styleId="ListBullet">
    <w:name w:val="List Bullet"/>
    <w:basedOn w:val="Normal"/>
    <w:uiPriority w:val="8"/>
    <w:qFormat/>
    <w:rsid w:val="003B29EA"/>
    <w:pPr>
      <w:numPr>
        <w:numId w:val="34"/>
      </w:numPr>
      <w:spacing w:after="80" w:line="312" w:lineRule="auto"/>
      <w:ind w:left="360"/>
    </w:pPr>
    <w:rPr>
      <w:rFonts w:ascii="Arial" w:eastAsia="Times New Roman" w:hAnsi="Arial" w:cs="Times New Roman"/>
      <w:color w:val="414141"/>
      <w:sz w:val="21"/>
      <w:szCs w:val="24"/>
      <w:lang w:eastAsia="en-GB"/>
    </w:rPr>
  </w:style>
  <w:style w:type="paragraph" w:customStyle="1" w:styleId="CitaviBibliographyEntry">
    <w:name w:val="Citavi Bibliography Entry"/>
    <w:basedOn w:val="Normal"/>
    <w:link w:val="CitaviBibliographyEntryChar"/>
    <w:rsid w:val="00853400"/>
    <w:pPr>
      <w:tabs>
        <w:tab w:val="left" w:pos="340"/>
      </w:tabs>
      <w:spacing w:after="0"/>
      <w:ind w:left="340" w:hanging="340"/>
    </w:pPr>
  </w:style>
  <w:style w:type="character" w:customStyle="1" w:styleId="CitaviBibliographyEntryChar">
    <w:name w:val="Citavi Bibliography Entry Char"/>
    <w:basedOn w:val="BodyTextChar"/>
    <w:link w:val="CitaviBibliographyEntry"/>
    <w:rsid w:val="00853400"/>
    <w:rPr>
      <w:rFonts w:ascii="Arial" w:hAnsi="Arial"/>
      <w:color w:val="414141"/>
      <w:sz w:val="21"/>
    </w:rPr>
  </w:style>
  <w:style w:type="paragraph" w:customStyle="1" w:styleId="CitaviBibliographyHeading">
    <w:name w:val="Citavi Bibliography Heading"/>
    <w:basedOn w:val="Heading1"/>
    <w:link w:val="CitaviBibliographyHeadingChar"/>
    <w:rsid w:val="00853400"/>
  </w:style>
  <w:style w:type="character" w:customStyle="1" w:styleId="CitaviBibliographyHeadingChar">
    <w:name w:val="Citavi Bibliography Heading Char"/>
    <w:basedOn w:val="BodyTextChar"/>
    <w:link w:val="CitaviBibliographyHeading"/>
    <w:rsid w:val="00853400"/>
    <w:rPr>
      <w:rFonts w:asciiTheme="majorHAnsi" w:eastAsiaTheme="majorEastAsia" w:hAnsiTheme="majorHAnsi" w:cstheme="majorBidi"/>
      <w:b/>
      <w:bCs/>
      <w:color w:val="365F91" w:themeColor="accent1" w:themeShade="BF"/>
      <w:sz w:val="28"/>
      <w:szCs w:val="28"/>
    </w:rPr>
  </w:style>
  <w:style w:type="paragraph" w:styleId="ListNumber2">
    <w:name w:val="List Number 2"/>
    <w:basedOn w:val="Normal"/>
    <w:uiPriority w:val="8"/>
    <w:rsid w:val="00853400"/>
    <w:pPr>
      <w:numPr>
        <w:ilvl w:val="1"/>
        <w:numId w:val="26"/>
      </w:numPr>
      <w:spacing w:after="80" w:line="312" w:lineRule="auto"/>
    </w:pPr>
    <w:rPr>
      <w:rFonts w:ascii="Arial" w:eastAsia="Times New Roman" w:hAnsi="Arial" w:cs="Times New Roman"/>
      <w:color w:val="414141"/>
      <w:sz w:val="20"/>
      <w:szCs w:val="24"/>
      <w:lang w:eastAsia="en-GB"/>
    </w:rPr>
  </w:style>
  <w:style w:type="paragraph" w:styleId="ListNumber3">
    <w:name w:val="List Number 3"/>
    <w:basedOn w:val="Normal"/>
    <w:uiPriority w:val="8"/>
    <w:semiHidden/>
    <w:rsid w:val="00853400"/>
    <w:pPr>
      <w:numPr>
        <w:ilvl w:val="2"/>
        <w:numId w:val="26"/>
      </w:numPr>
      <w:spacing w:before="80" w:after="160" w:line="288" w:lineRule="auto"/>
      <w:contextualSpacing/>
    </w:pPr>
    <w:rPr>
      <w:rFonts w:ascii="Arial" w:eastAsia="Times New Roman" w:hAnsi="Arial" w:cs="Times New Roman"/>
      <w:color w:val="414141"/>
      <w:sz w:val="20"/>
      <w:szCs w:val="24"/>
      <w:lang w:eastAsia="en-GB"/>
    </w:rPr>
  </w:style>
  <w:style w:type="paragraph" w:styleId="ListNumber">
    <w:name w:val="List Number"/>
    <w:basedOn w:val="Normal"/>
    <w:uiPriority w:val="8"/>
    <w:qFormat/>
    <w:rsid w:val="00853400"/>
    <w:pPr>
      <w:numPr>
        <w:numId w:val="26"/>
      </w:numPr>
      <w:spacing w:after="80" w:line="312" w:lineRule="auto"/>
    </w:pPr>
    <w:rPr>
      <w:rFonts w:ascii="Arial" w:eastAsia="Times New Roman" w:hAnsi="Arial" w:cs="Times New Roman"/>
      <w:color w:val="414141"/>
      <w:sz w:val="20"/>
      <w:szCs w:val="24"/>
      <w:lang w:eastAsia="en-GB"/>
    </w:rPr>
  </w:style>
  <w:style w:type="paragraph" w:customStyle="1" w:styleId="TableNote">
    <w:name w:val="Table Note"/>
    <w:basedOn w:val="Normal"/>
    <w:uiPriority w:val="13"/>
    <w:qFormat/>
    <w:rsid w:val="00853400"/>
    <w:pPr>
      <w:spacing w:before="120" w:after="240" w:line="240" w:lineRule="auto"/>
    </w:pPr>
    <w:rPr>
      <w:rFonts w:ascii="Arial" w:eastAsia="Times New Roman" w:hAnsi="Arial" w:cs="Times New Roman"/>
      <w:bCs/>
      <w:color w:val="40443F"/>
      <w:sz w:val="18"/>
      <w:szCs w:val="24"/>
      <w:lang w:eastAsia="en-GB"/>
    </w:rPr>
  </w:style>
  <w:style w:type="paragraph" w:customStyle="1" w:styleId="TableHeading">
    <w:name w:val="Table Heading"/>
    <w:basedOn w:val="Normal"/>
    <w:uiPriority w:val="11"/>
    <w:qFormat/>
    <w:rsid w:val="008401A3"/>
    <w:pPr>
      <w:keepNext/>
      <w:spacing w:before="80" w:after="40" w:line="240" w:lineRule="auto"/>
    </w:pPr>
    <w:rPr>
      <w:rFonts w:ascii="Arial" w:eastAsia="Times New Roman" w:hAnsi="Arial" w:cs="Times New Roman"/>
      <w:b/>
      <w:bCs/>
      <w:color w:val="FFFFFF"/>
      <w:spacing w:val="6"/>
      <w:sz w:val="19"/>
      <w:szCs w:val="24"/>
      <w:lang w:eastAsia="en-GB"/>
    </w:rPr>
  </w:style>
  <w:style w:type="paragraph" w:customStyle="1" w:styleId="TableText">
    <w:name w:val="Table Text"/>
    <w:basedOn w:val="Normal"/>
    <w:uiPriority w:val="11"/>
    <w:qFormat/>
    <w:rsid w:val="008401A3"/>
    <w:pPr>
      <w:spacing w:before="40" w:after="80" w:line="240" w:lineRule="auto"/>
    </w:pPr>
    <w:rPr>
      <w:rFonts w:ascii="Arial" w:eastAsia="Times New Roman" w:hAnsi="Arial" w:cs="Times New Roman"/>
      <w:bCs/>
      <w:color w:val="414141"/>
      <w:sz w:val="18"/>
      <w:szCs w:val="24"/>
      <w:lang w:eastAsia="en-GB"/>
    </w:rPr>
  </w:style>
  <w:style w:type="table" w:customStyle="1" w:styleId="CCATable">
    <w:name w:val="CCA Table"/>
    <w:basedOn w:val="TableNormal"/>
    <w:uiPriority w:val="99"/>
    <w:rsid w:val="008401A3"/>
    <w:pPr>
      <w:keepNext/>
      <w:keepLines/>
      <w:spacing w:before="40" w:after="80" w:line="240" w:lineRule="auto"/>
    </w:pPr>
    <w:rPr>
      <w:rFonts w:ascii="Arial" w:hAnsi="Arial"/>
      <w:color w:val="414141"/>
      <w:sz w:val="18"/>
      <w:lang w:val="en-US"/>
    </w:rPr>
    <w:tblPr>
      <w:tblStyleRowBandSize w:val="1"/>
      <w:tblBorders>
        <w:top w:val="single" w:sz="4" w:space="0" w:color="0C9FCD"/>
        <w:left w:val="single" w:sz="4" w:space="0" w:color="0C9FCD"/>
        <w:bottom w:val="single" w:sz="4" w:space="0" w:color="0C9FCD"/>
        <w:right w:val="single" w:sz="4" w:space="0" w:color="0C9FCD"/>
        <w:insideH w:val="single" w:sz="4" w:space="0" w:color="0C9FCD"/>
        <w:insideV w:val="single" w:sz="4" w:space="0" w:color="0C9FCD"/>
      </w:tblBorders>
    </w:tblPr>
    <w:trPr>
      <w:cantSplit/>
    </w:trPr>
    <w:tblStylePr w:type="firstRow">
      <w:pPr>
        <w:wordWrap/>
        <w:spacing w:beforeLines="0" w:beforeAutospacing="0" w:afterLines="0" w:afterAutospacing="0"/>
        <w:contextualSpacing w:val="0"/>
      </w:pPr>
      <w:rPr>
        <w:rFonts w:ascii="Arial" w:hAnsi="Arial"/>
        <w:color w:val="FFFFFF" w:themeColor="background1"/>
        <w:sz w:val="19"/>
      </w:rPr>
      <w:tblPr/>
      <w:trPr>
        <w:cantSplit w:val="0"/>
        <w:tblHeader/>
      </w:trPr>
      <w:tcPr>
        <w:shd w:val="clear" w:color="auto" w:fill="0C9FCD"/>
      </w:tcPr>
    </w:tblStylePr>
    <w:tblStylePr w:type="band1Horz">
      <w:rPr>
        <w:color w:val="DEECF7"/>
      </w:rPr>
      <w:tblPr/>
      <w:tcPr>
        <w:shd w:val="clear" w:color="auto" w:fill="DEECF7"/>
      </w:tcPr>
    </w:tblStylePr>
  </w:style>
  <w:style w:type="paragraph" w:styleId="NormalWeb">
    <w:name w:val="Normal (Web)"/>
    <w:basedOn w:val="Normal"/>
    <w:uiPriority w:val="99"/>
    <w:semiHidden/>
    <w:unhideWhenUsed/>
    <w:rsid w:val="00D73B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53C9B"/>
    <w:rPr>
      <w:color w:val="0000FF" w:themeColor="hyperlink"/>
      <w:u w:val="single"/>
    </w:rPr>
  </w:style>
  <w:style w:type="paragraph" w:styleId="Caption">
    <w:name w:val="caption"/>
    <w:basedOn w:val="Normal"/>
    <w:next w:val="Normal"/>
    <w:uiPriority w:val="35"/>
    <w:qFormat/>
    <w:rsid w:val="009312DF"/>
    <w:pPr>
      <w:keepNext/>
      <w:tabs>
        <w:tab w:val="left" w:pos="1418"/>
      </w:tabs>
      <w:spacing w:after="120" w:line="240" w:lineRule="auto"/>
      <w:ind w:left="1418" w:hanging="1418"/>
    </w:pPr>
    <w:rPr>
      <w:rFonts w:ascii="Arial" w:hAnsi="Arial"/>
      <w:b/>
      <w:bCs/>
      <w:color w:val="414141"/>
      <w:sz w:val="24"/>
      <w:szCs w:val="18"/>
    </w:rPr>
  </w:style>
  <w:style w:type="paragraph" w:styleId="Subtitle">
    <w:name w:val="Subtitle"/>
    <w:basedOn w:val="Normal"/>
    <w:next w:val="Normal"/>
    <w:link w:val="SubtitleChar"/>
    <w:uiPriority w:val="11"/>
    <w:qFormat/>
    <w:rsid w:val="0093168C"/>
    <w:pPr>
      <w:numPr>
        <w:ilvl w:val="1"/>
      </w:numPr>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168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8" w:qFormat="1"/>
    <w:lsdException w:name="List Number" w:uiPriority="8" w:qFormat="1"/>
    <w:lsdException w:name="List Number 2" w:uiPriority="8"/>
    <w:lsdException w:name="List Number 3" w:uiPriority="8"/>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C73"/>
    <w:pPr>
      <w:spacing w:line="600" w:lineRule="auto"/>
    </w:pPr>
  </w:style>
  <w:style w:type="paragraph" w:styleId="Heading1">
    <w:name w:val="heading 1"/>
    <w:basedOn w:val="Normal"/>
    <w:next w:val="Normal"/>
    <w:link w:val="Heading1Char"/>
    <w:uiPriority w:val="9"/>
    <w:qFormat/>
    <w:rsid w:val="002C5E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23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Heading1"/>
    <w:next w:val="BodyText"/>
    <w:link w:val="Heading4Char"/>
    <w:uiPriority w:val="4"/>
    <w:qFormat/>
    <w:rsid w:val="00D52357"/>
    <w:pPr>
      <w:keepLines w:val="0"/>
      <w:spacing w:before="120" w:after="120" w:line="312" w:lineRule="auto"/>
      <w:contextualSpacing/>
      <w:outlineLvl w:val="3"/>
    </w:pPr>
    <w:rPr>
      <w:rFonts w:ascii="Arial" w:eastAsia="Times New Roman" w:hAnsi="Arial" w:cs="Arial"/>
      <w:b w:val="0"/>
      <w:bCs w:val="0"/>
      <w:color w:val="0C9FCD"/>
      <w:spacing w:val="-5"/>
      <w:sz w:val="22"/>
      <w:szCs w:val="21"/>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5E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22E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E22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E22E6"/>
    <w:pPr>
      <w:contextualSpacing/>
    </w:pPr>
  </w:style>
  <w:style w:type="character" w:styleId="CommentReference">
    <w:name w:val="annotation reference"/>
    <w:basedOn w:val="DefaultParagraphFont"/>
    <w:uiPriority w:val="99"/>
    <w:semiHidden/>
    <w:unhideWhenUsed/>
    <w:rsid w:val="00BE417D"/>
    <w:rPr>
      <w:sz w:val="16"/>
      <w:szCs w:val="16"/>
    </w:rPr>
  </w:style>
  <w:style w:type="paragraph" w:styleId="CommentText">
    <w:name w:val="annotation text"/>
    <w:basedOn w:val="Normal"/>
    <w:link w:val="CommentTextChar"/>
    <w:uiPriority w:val="99"/>
    <w:semiHidden/>
    <w:unhideWhenUsed/>
    <w:rsid w:val="00BE417D"/>
    <w:pPr>
      <w:spacing w:line="240" w:lineRule="auto"/>
    </w:pPr>
    <w:rPr>
      <w:sz w:val="20"/>
      <w:szCs w:val="20"/>
    </w:rPr>
  </w:style>
  <w:style w:type="character" w:customStyle="1" w:styleId="CommentTextChar">
    <w:name w:val="Comment Text Char"/>
    <w:basedOn w:val="DefaultParagraphFont"/>
    <w:link w:val="CommentText"/>
    <w:uiPriority w:val="99"/>
    <w:semiHidden/>
    <w:rsid w:val="00BE417D"/>
    <w:rPr>
      <w:sz w:val="20"/>
      <w:szCs w:val="20"/>
    </w:rPr>
  </w:style>
  <w:style w:type="paragraph" w:styleId="CommentSubject">
    <w:name w:val="annotation subject"/>
    <w:basedOn w:val="CommentText"/>
    <w:next w:val="CommentText"/>
    <w:link w:val="CommentSubjectChar"/>
    <w:uiPriority w:val="99"/>
    <w:semiHidden/>
    <w:unhideWhenUsed/>
    <w:rsid w:val="00BE417D"/>
    <w:rPr>
      <w:b/>
      <w:bCs/>
    </w:rPr>
  </w:style>
  <w:style w:type="character" w:customStyle="1" w:styleId="CommentSubjectChar">
    <w:name w:val="Comment Subject Char"/>
    <w:basedOn w:val="CommentTextChar"/>
    <w:link w:val="CommentSubject"/>
    <w:uiPriority w:val="99"/>
    <w:semiHidden/>
    <w:rsid w:val="00BE417D"/>
    <w:rPr>
      <w:b/>
      <w:bCs/>
      <w:sz w:val="20"/>
      <w:szCs w:val="20"/>
    </w:rPr>
  </w:style>
  <w:style w:type="paragraph" w:styleId="BalloonText">
    <w:name w:val="Balloon Text"/>
    <w:basedOn w:val="Normal"/>
    <w:link w:val="BalloonTextChar"/>
    <w:uiPriority w:val="99"/>
    <w:semiHidden/>
    <w:unhideWhenUsed/>
    <w:rsid w:val="00BE4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17D"/>
    <w:rPr>
      <w:rFonts w:ascii="Tahoma" w:hAnsi="Tahoma" w:cs="Tahoma"/>
      <w:sz w:val="16"/>
      <w:szCs w:val="16"/>
    </w:rPr>
  </w:style>
  <w:style w:type="paragraph" w:styleId="Revision">
    <w:name w:val="Revision"/>
    <w:hidden/>
    <w:uiPriority w:val="99"/>
    <w:semiHidden/>
    <w:rsid w:val="00D3054F"/>
    <w:pPr>
      <w:spacing w:after="0" w:line="240" w:lineRule="auto"/>
    </w:pPr>
  </w:style>
  <w:style w:type="paragraph" w:styleId="PlainText">
    <w:name w:val="Plain Text"/>
    <w:basedOn w:val="Normal"/>
    <w:link w:val="PlainTextChar"/>
    <w:uiPriority w:val="99"/>
    <w:unhideWhenUsed/>
    <w:rsid w:val="00EE4F7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E4F75"/>
    <w:rPr>
      <w:rFonts w:ascii="Calibri" w:hAnsi="Calibri"/>
      <w:szCs w:val="21"/>
    </w:rPr>
  </w:style>
  <w:style w:type="paragraph" w:styleId="Header">
    <w:name w:val="header"/>
    <w:basedOn w:val="Normal"/>
    <w:link w:val="HeaderChar"/>
    <w:uiPriority w:val="99"/>
    <w:unhideWhenUsed/>
    <w:rsid w:val="002C5E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E5E"/>
  </w:style>
  <w:style w:type="paragraph" w:styleId="Footer">
    <w:name w:val="footer"/>
    <w:basedOn w:val="Normal"/>
    <w:link w:val="FooterChar"/>
    <w:uiPriority w:val="99"/>
    <w:unhideWhenUsed/>
    <w:rsid w:val="002C5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E5E"/>
  </w:style>
  <w:style w:type="paragraph" w:customStyle="1" w:styleId="Headingnon-numbered">
    <w:name w:val="Heading (non-numbered)"/>
    <w:basedOn w:val="Heading1"/>
    <w:next w:val="BodyText"/>
    <w:uiPriority w:val="5"/>
    <w:qFormat/>
    <w:rsid w:val="00D52357"/>
    <w:pPr>
      <w:keepLines w:val="0"/>
      <w:pageBreakBefore/>
      <w:spacing w:before="800" w:after="800" w:line="240" w:lineRule="auto"/>
      <w:contextualSpacing/>
    </w:pPr>
    <w:rPr>
      <w:rFonts w:ascii="Arial" w:eastAsia="Times New Roman" w:hAnsi="Arial" w:cs="Arial"/>
      <w:b w:val="0"/>
      <w:caps/>
      <w:color w:val="0C9FCD"/>
      <w:sz w:val="40"/>
      <w:szCs w:val="32"/>
      <w:lang w:val="en-GB" w:eastAsia="en-AU"/>
    </w:rPr>
  </w:style>
  <w:style w:type="paragraph" w:styleId="BodyText">
    <w:name w:val="Body Text"/>
    <w:basedOn w:val="Normal"/>
    <w:link w:val="BodyTextChar"/>
    <w:uiPriority w:val="1"/>
    <w:unhideWhenUsed/>
    <w:qFormat/>
    <w:rsid w:val="003B29EA"/>
    <w:pPr>
      <w:spacing w:after="120" w:line="312" w:lineRule="auto"/>
    </w:pPr>
    <w:rPr>
      <w:rFonts w:ascii="Arial" w:hAnsi="Arial"/>
      <w:color w:val="414141"/>
      <w:sz w:val="21"/>
    </w:rPr>
  </w:style>
  <w:style w:type="character" w:customStyle="1" w:styleId="BodyTextChar">
    <w:name w:val="Body Text Char"/>
    <w:basedOn w:val="DefaultParagraphFont"/>
    <w:link w:val="BodyText"/>
    <w:uiPriority w:val="1"/>
    <w:rsid w:val="003B29EA"/>
    <w:rPr>
      <w:rFonts w:ascii="Arial" w:hAnsi="Arial"/>
      <w:color w:val="414141"/>
      <w:sz w:val="21"/>
    </w:rPr>
  </w:style>
  <w:style w:type="paragraph" w:customStyle="1" w:styleId="Headingreferences">
    <w:name w:val="Heading (references)"/>
    <w:basedOn w:val="Heading2"/>
    <w:next w:val="BodyText"/>
    <w:uiPriority w:val="5"/>
    <w:qFormat/>
    <w:rsid w:val="00D52357"/>
    <w:pPr>
      <w:keepLines w:val="0"/>
      <w:spacing w:after="120" w:line="240" w:lineRule="auto"/>
      <w:contextualSpacing/>
    </w:pPr>
    <w:rPr>
      <w:rFonts w:ascii="Arial" w:eastAsia="Times New Roman" w:hAnsi="Arial" w:cs="Arial"/>
      <w:b w:val="0"/>
      <w:bCs w:val="0"/>
      <w:iCs/>
      <w:color w:val="0C9FCD"/>
      <w:sz w:val="28"/>
      <w:szCs w:val="28"/>
      <w:lang w:val="en-GB" w:eastAsia="en-AU"/>
    </w:rPr>
  </w:style>
  <w:style w:type="character" w:customStyle="1" w:styleId="Heading2Char">
    <w:name w:val="Heading 2 Char"/>
    <w:basedOn w:val="DefaultParagraphFont"/>
    <w:link w:val="Heading2"/>
    <w:uiPriority w:val="9"/>
    <w:semiHidden/>
    <w:rsid w:val="00D5235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4"/>
    <w:rsid w:val="00D52357"/>
    <w:rPr>
      <w:rFonts w:ascii="Arial" w:eastAsia="Times New Roman" w:hAnsi="Arial" w:cs="Arial"/>
      <w:color w:val="0C9FCD"/>
      <w:spacing w:val="-5"/>
      <w:szCs w:val="21"/>
      <w:lang w:val="en-GB" w:eastAsia="en-AU"/>
    </w:rPr>
  </w:style>
  <w:style w:type="paragraph" w:styleId="ListBullet">
    <w:name w:val="List Bullet"/>
    <w:basedOn w:val="Normal"/>
    <w:uiPriority w:val="8"/>
    <w:qFormat/>
    <w:rsid w:val="003B29EA"/>
    <w:pPr>
      <w:numPr>
        <w:numId w:val="34"/>
      </w:numPr>
      <w:spacing w:after="80" w:line="312" w:lineRule="auto"/>
      <w:ind w:left="360"/>
    </w:pPr>
    <w:rPr>
      <w:rFonts w:ascii="Arial" w:eastAsia="Times New Roman" w:hAnsi="Arial" w:cs="Times New Roman"/>
      <w:color w:val="414141"/>
      <w:sz w:val="21"/>
      <w:szCs w:val="24"/>
      <w:lang w:eastAsia="en-GB"/>
    </w:rPr>
  </w:style>
  <w:style w:type="paragraph" w:customStyle="1" w:styleId="CitaviBibliographyEntry">
    <w:name w:val="Citavi Bibliography Entry"/>
    <w:basedOn w:val="Normal"/>
    <w:link w:val="CitaviBibliographyEntryChar"/>
    <w:rsid w:val="00853400"/>
    <w:pPr>
      <w:tabs>
        <w:tab w:val="left" w:pos="340"/>
      </w:tabs>
      <w:spacing w:after="0"/>
      <w:ind w:left="340" w:hanging="340"/>
    </w:pPr>
  </w:style>
  <w:style w:type="character" w:customStyle="1" w:styleId="CitaviBibliographyEntryChar">
    <w:name w:val="Citavi Bibliography Entry Char"/>
    <w:basedOn w:val="BodyTextChar"/>
    <w:link w:val="CitaviBibliographyEntry"/>
    <w:rsid w:val="00853400"/>
    <w:rPr>
      <w:rFonts w:ascii="Arial" w:hAnsi="Arial"/>
      <w:color w:val="414141"/>
      <w:sz w:val="21"/>
    </w:rPr>
  </w:style>
  <w:style w:type="paragraph" w:customStyle="1" w:styleId="CitaviBibliographyHeading">
    <w:name w:val="Citavi Bibliography Heading"/>
    <w:basedOn w:val="Heading1"/>
    <w:link w:val="CitaviBibliographyHeadingChar"/>
    <w:rsid w:val="00853400"/>
  </w:style>
  <w:style w:type="character" w:customStyle="1" w:styleId="CitaviBibliographyHeadingChar">
    <w:name w:val="Citavi Bibliography Heading Char"/>
    <w:basedOn w:val="BodyTextChar"/>
    <w:link w:val="CitaviBibliographyHeading"/>
    <w:rsid w:val="00853400"/>
    <w:rPr>
      <w:rFonts w:asciiTheme="majorHAnsi" w:eastAsiaTheme="majorEastAsia" w:hAnsiTheme="majorHAnsi" w:cstheme="majorBidi"/>
      <w:b/>
      <w:bCs/>
      <w:color w:val="365F91" w:themeColor="accent1" w:themeShade="BF"/>
      <w:sz w:val="28"/>
      <w:szCs w:val="28"/>
    </w:rPr>
  </w:style>
  <w:style w:type="paragraph" w:styleId="ListNumber2">
    <w:name w:val="List Number 2"/>
    <w:basedOn w:val="Normal"/>
    <w:uiPriority w:val="8"/>
    <w:rsid w:val="00853400"/>
    <w:pPr>
      <w:numPr>
        <w:ilvl w:val="1"/>
        <w:numId w:val="26"/>
      </w:numPr>
      <w:spacing w:after="80" w:line="312" w:lineRule="auto"/>
    </w:pPr>
    <w:rPr>
      <w:rFonts w:ascii="Arial" w:eastAsia="Times New Roman" w:hAnsi="Arial" w:cs="Times New Roman"/>
      <w:color w:val="414141"/>
      <w:sz w:val="20"/>
      <w:szCs w:val="24"/>
      <w:lang w:eastAsia="en-GB"/>
    </w:rPr>
  </w:style>
  <w:style w:type="paragraph" w:styleId="ListNumber3">
    <w:name w:val="List Number 3"/>
    <w:basedOn w:val="Normal"/>
    <w:uiPriority w:val="8"/>
    <w:semiHidden/>
    <w:rsid w:val="00853400"/>
    <w:pPr>
      <w:numPr>
        <w:ilvl w:val="2"/>
        <w:numId w:val="26"/>
      </w:numPr>
      <w:spacing w:before="80" w:after="160" w:line="288" w:lineRule="auto"/>
      <w:contextualSpacing/>
    </w:pPr>
    <w:rPr>
      <w:rFonts w:ascii="Arial" w:eastAsia="Times New Roman" w:hAnsi="Arial" w:cs="Times New Roman"/>
      <w:color w:val="414141"/>
      <w:sz w:val="20"/>
      <w:szCs w:val="24"/>
      <w:lang w:eastAsia="en-GB"/>
    </w:rPr>
  </w:style>
  <w:style w:type="paragraph" w:styleId="ListNumber">
    <w:name w:val="List Number"/>
    <w:basedOn w:val="Normal"/>
    <w:uiPriority w:val="8"/>
    <w:qFormat/>
    <w:rsid w:val="00853400"/>
    <w:pPr>
      <w:numPr>
        <w:numId w:val="26"/>
      </w:numPr>
      <w:spacing w:after="80" w:line="312" w:lineRule="auto"/>
    </w:pPr>
    <w:rPr>
      <w:rFonts w:ascii="Arial" w:eastAsia="Times New Roman" w:hAnsi="Arial" w:cs="Times New Roman"/>
      <w:color w:val="414141"/>
      <w:sz w:val="20"/>
      <w:szCs w:val="24"/>
      <w:lang w:eastAsia="en-GB"/>
    </w:rPr>
  </w:style>
  <w:style w:type="paragraph" w:customStyle="1" w:styleId="TableNote">
    <w:name w:val="Table Note"/>
    <w:basedOn w:val="Normal"/>
    <w:uiPriority w:val="13"/>
    <w:qFormat/>
    <w:rsid w:val="00853400"/>
    <w:pPr>
      <w:spacing w:before="120" w:after="240" w:line="240" w:lineRule="auto"/>
    </w:pPr>
    <w:rPr>
      <w:rFonts w:ascii="Arial" w:eastAsia="Times New Roman" w:hAnsi="Arial" w:cs="Times New Roman"/>
      <w:bCs/>
      <w:color w:val="40443F"/>
      <w:sz w:val="18"/>
      <w:szCs w:val="24"/>
      <w:lang w:eastAsia="en-GB"/>
    </w:rPr>
  </w:style>
  <w:style w:type="paragraph" w:customStyle="1" w:styleId="TableHeading">
    <w:name w:val="Table Heading"/>
    <w:basedOn w:val="Normal"/>
    <w:uiPriority w:val="11"/>
    <w:qFormat/>
    <w:rsid w:val="008401A3"/>
    <w:pPr>
      <w:keepNext/>
      <w:spacing w:before="80" w:after="40" w:line="240" w:lineRule="auto"/>
    </w:pPr>
    <w:rPr>
      <w:rFonts w:ascii="Arial" w:eastAsia="Times New Roman" w:hAnsi="Arial" w:cs="Times New Roman"/>
      <w:b/>
      <w:bCs/>
      <w:color w:val="FFFFFF"/>
      <w:spacing w:val="6"/>
      <w:sz w:val="19"/>
      <w:szCs w:val="24"/>
      <w:lang w:eastAsia="en-GB"/>
    </w:rPr>
  </w:style>
  <w:style w:type="paragraph" w:customStyle="1" w:styleId="TableText">
    <w:name w:val="Table Text"/>
    <w:basedOn w:val="Normal"/>
    <w:uiPriority w:val="11"/>
    <w:qFormat/>
    <w:rsid w:val="008401A3"/>
    <w:pPr>
      <w:spacing w:before="40" w:after="80" w:line="240" w:lineRule="auto"/>
    </w:pPr>
    <w:rPr>
      <w:rFonts w:ascii="Arial" w:eastAsia="Times New Roman" w:hAnsi="Arial" w:cs="Times New Roman"/>
      <w:bCs/>
      <w:color w:val="414141"/>
      <w:sz w:val="18"/>
      <w:szCs w:val="24"/>
      <w:lang w:eastAsia="en-GB"/>
    </w:rPr>
  </w:style>
  <w:style w:type="table" w:customStyle="1" w:styleId="CCATable">
    <w:name w:val="CCA Table"/>
    <w:basedOn w:val="TableNormal"/>
    <w:uiPriority w:val="99"/>
    <w:rsid w:val="008401A3"/>
    <w:pPr>
      <w:keepNext/>
      <w:keepLines/>
      <w:spacing w:before="40" w:after="80" w:line="240" w:lineRule="auto"/>
    </w:pPr>
    <w:rPr>
      <w:rFonts w:ascii="Arial" w:hAnsi="Arial"/>
      <w:color w:val="414141"/>
      <w:sz w:val="18"/>
      <w:lang w:val="en-US"/>
    </w:rPr>
    <w:tblPr>
      <w:tblStyleRowBandSize w:val="1"/>
      <w:tblBorders>
        <w:top w:val="single" w:sz="4" w:space="0" w:color="0C9FCD"/>
        <w:left w:val="single" w:sz="4" w:space="0" w:color="0C9FCD"/>
        <w:bottom w:val="single" w:sz="4" w:space="0" w:color="0C9FCD"/>
        <w:right w:val="single" w:sz="4" w:space="0" w:color="0C9FCD"/>
        <w:insideH w:val="single" w:sz="4" w:space="0" w:color="0C9FCD"/>
        <w:insideV w:val="single" w:sz="4" w:space="0" w:color="0C9FCD"/>
      </w:tblBorders>
    </w:tblPr>
    <w:trPr>
      <w:cantSplit/>
    </w:trPr>
    <w:tblStylePr w:type="firstRow">
      <w:pPr>
        <w:wordWrap/>
        <w:spacing w:beforeLines="0" w:beforeAutospacing="0" w:afterLines="0" w:afterAutospacing="0"/>
        <w:contextualSpacing w:val="0"/>
      </w:pPr>
      <w:rPr>
        <w:rFonts w:ascii="Arial" w:hAnsi="Arial"/>
        <w:color w:val="FFFFFF" w:themeColor="background1"/>
        <w:sz w:val="19"/>
      </w:rPr>
      <w:tblPr/>
      <w:trPr>
        <w:cantSplit w:val="0"/>
        <w:tblHeader/>
      </w:trPr>
      <w:tcPr>
        <w:shd w:val="clear" w:color="auto" w:fill="0C9FCD"/>
      </w:tcPr>
    </w:tblStylePr>
    <w:tblStylePr w:type="band1Horz">
      <w:rPr>
        <w:color w:val="DEECF7"/>
      </w:rPr>
      <w:tblPr/>
      <w:tcPr>
        <w:shd w:val="clear" w:color="auto" w:fill="DEECF7"/>
      </w:tcPr>
    </w:tblStylePr>
  </w:style>
  <w:style w:type="paragraph" w:styleId="NormalWeb">
    <w:name w:val="Normal (Web)"/>
    <w:basedOn w:val="Normal"/>
    <w:uiPriority w:val="99"/>
    <w:semiHidden/>
    <w:unhideWhenUsed/>
    <w:rsid w:val="00D73B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53C9B"/>
    <w:rPr>
      <w:color w:val="0000FF" w:themeColor="hyperlink"/>
      <w:u w:val="single"/>
    </w:rPr>
  </w:style>
  <w:style w:type="paragraph" w:styleId="Caption">
    <w:name w:val="caption"/>
    <w:basedOn w:val="Normal"/>
    <w:next w:val="Normal"/>
    <w:uiPriority w:val="35"/>
    <w:qFormat/>
    <w:rsid w:val="009312DF"/>
    <w:pPr>
      <w:keepNext/>
      <w:tabs>
        <w:tab w:val="left" w:pos="1418"/>
      </w:tabs>
      <w:spacing w:after="120" w:line="240" w:lineRule="auto"/>
      <w:ind w:left="1418" w:hanging="1418"/>
    </w:pPr>
    <w:rPr>
      <w:rFonts w:ascii="Arial" w:hAnsi="Arial"/>
      <w:b/>
      <w:bCs/>
      <w:color w:val="414141"/>
      <w:sz w:val="24"/>
      <w:szCs w:val="18"/>
    </w:rPr>
  </w:style>
  <w:style w:type="paragraph" w:styleId="Subtitle">
    <w:name w:val="Subtitle"/>
    <w:basedOn w:val="Normal"/>
    <w:next w:val="Normal"/>
    <w:link w:val="SubtitleChar"/>
    <w:uiPriority w:val="11"/>
    <w:qFormat/>
    <w:rsid w:val="0093168C"/>
    <w:pPr>
      <w:numPr>
        <w:ilvl w:val="1"/>
      </w:numPr>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168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842">
      <w:bodyDiv w:val="1"/>
      <w:marLeft w:val="0"/>
      <w:marRight w:val="0"/>
      <w:marTop w:val="0"/>
      <w:marBottom w:val="0"/>
      <w:divBdr>
        <w:top w:val="none" w:sz="0" w:space="0" w:color="auto"/>
        <w:left w:val="none" w:sz="0" w:space="0" w:color="auto"/>
        <w:bottom w:val="none" w:sz="0" w:space="0" w:color="auto"/>
        <w:right w:val="none" w:sz="0" w:space="0" w:color="auto"/>
      </w:divBdr>
    </w:div>
    <w:div w:id="502163795">
      <w:bodyDiv w:val="1"/>
      <w:marLeft w:val="0"/>
      <w:marRight w:val="0"/>
      <w:marTop w:val="0"/>
      <w:marBottom w:val="0"/>
      <w:divBdr>
        <w:top w:val="none" w:sz="0" w:space="0" w:color="auto"/>
        <w:left w:val="none" w:sz="0" w:space="0" w:color="auto"/>
        <w:bottom w:val="none" w:sz="0" w:space="0" w:color="auto"/>
        <w:right w:val="none" w:sz="0" w:space="0" w:color="auto"/>
      </w:divBdr>
    </w:div>
    <w:div w:id="910769814">
      <w:bodyDiv w:val="1"/>
      <w:marLeft w:val="0"/>
      <w:marRight w:val="0"/>
      <w:marTop w:val="0"/>
      <w:marBottom w:val="0"/>
      <w:divBdr>
        <w:top w:val="none" w:sz="0" w:space="0" w:color="auto"/>
        <w:left w:val="none" w:sz="0" w:space="0" w:color="auto"/>
        <w:bottom w:val="none" w:sz="0" w:space="0" w:color="auto"/>
        <w:right w:val="none" w:sz="0" w:space="0" w:color="auto"/>
      </w:divBdr>
    </w:div>
    <w:div w:id="916943062">
      <w:bodyDiv w:val="1"/>
      <w:marLeft w:val="0"/>
      <w:marRight w:val="0"/>
      <w:marTop w:val="0"/>
      <w:marBottom w:val="0"/>
      <w:divBdr>
        <w:top w:val="none" w:sz="0" w:space="0" w:color="auto"/>
        <w:left w:val="none" w:sz="0" w:space="0" w:color="auto"/>
        <w:bottom w:val="none" w:sz="0" w:space="0" w:color="auto"/>
        <w:right w:val="none" w:sz="0" w:space="0" w:color="auto"/>
      </w:divBdr>
    </w:div>
    <w:div w:id="1098141996">
      <w:bodyDiv w:val="1"/>
      <w:marLeft w:val="0"/>
      <w:marRight w:val="0"/>
      <w:marTop w:val="0"/>
      <w:marBottom w:val="0"/>
      <w:divBdr>
        <w:top w:val="none" w:sz="0" w:space="0" w:color="auto"/>
        <w:left w:val="none" w:sz="0" w:space="0" w:color="auto"/>
        <w:bottom w:val="none" w:sz="0" w:space="0" w:color="auto"/>
        <w:right w:val="none" w:sz="0" w:space="0" w:color="auto"/>
      </w:divBdr>
    </w:div>
    <w:div w:id="1117716728">
      <w:bodyDiv w:val="1"/>
      <w:marLeft w:val="0"/>
      <w:marRight w:val="0"/>
      <w:marTop w:val="0"/>
      <w:marBottom w:val="0"/>
      <w:divBdr>
        <w:top w:val="none" w:sz="0" w:space="0" w:color="auto"/>
        <w:left w:val="none" w:sz="0" w:space="0" w:color="auto"/>
        <w:bottom w:val="none" w:sz="0" w:space="0" w:color="auto"/>
        <w:right w:val="none" w:sz="0" w:space="0" w:color="auto"/>
      </w:divBdr>
    </w:div>
    <w:div w:id="1511068728">
      <w:bodyDiv w:val="1"/>
      <w:marLeft w:val="0"/>
      <w:marRight w:val="0"/>
      <w:marTop w:val="0"/>
      <w:marBottom w:val="0"/>
      <w:divBdr>
        <w:top w:val="none" w:sz="0" w:space="0" w:color="auto"/>
        <w:left w:val="none" w:sz="0" w:space="0" w:color="auto"/>
        <w:bottom w:val="none" w:sz="0" w:space="0" w:color="auto"/>
        <w:right w:val="none" w:sz="0" w:space="0" w:color="auto"/>
      </w:divBdr>
    </w:div>
    <w:div w:id="1611625265">
      <w:bodyDiv w:val="1"/>
      <w:marLeft w:val="0"/>
      <w:marRight w:val="0"/>
      <w:marTop w:val="0"/>
      <w:marBottom w:val="0"/>
      <w:divBdr>
        <w:top w:val="none" w:sz="0" w:space="0" w:color="auto"/>
        <w:left w:val="none" w:sz="0" w:space="0" w:color="auto"/>
        <w:bottom w:val="none" w:sz="0" w:space="0" w:color="auto"/>
        <w:right w:val="none" w:sz="0" w:space="0" w:color="auto"/>
      </w:divBdr>
      <w:divsChild>
        <w:div w:id="1552495428">
          <w:marLeft w:val="0"/>
          <w:marRight w:val="0"/>
          <w:marTop w:val="0"/>
          <w:marBottom w:val="0"/>
          <w:divBdr>
            <w:top w:val="none" w:sz="0" w:space="0" w:color="auto"/>
            <w:left w:val="none" w:sz="0" w:space="0" w:color="auto"/>
            <w:bottom w:val="none" w:sz="0" w:space="0" w:color="auto"/>
            <w:right w:val="none" w:sz="0" w:space="0" w:color="auto"/>
          </w:divBdr>
          <w:divsChild>
            <w:div w:id="2024894871">
              <w:marLeft w:val="0"/>
              <w:marRight w:val="0"/>
              <w:marTop w:val="330"/>
              <w:marBottom w:val="0"/>
              <w:divBdr>
                <w:top w:val="none" w:sz="0" w:space="0" w:color="auto"/>
                <w:left w:val="none" w:sz="0" w:space="0" w:color="auto"/>
                <w:bottom w:val="none" w:sz="0" w:space="0" w:color="auto"/>
                <w:right w:val="none" w:sz="0" w:space="0" w:color="auto"/>
              </w:divBdr>
              <w:divsChild>
                <w:div w:id="85082680">
                  <w:marLeft w:val="0"/>
                  <w:marRight w:val="0"/>
                  <w:marTop w:val="0"/>
                  <w:marBottom w:val="0"/>
                  <w:divBdr>
                    <w:top w:val="none" w:sz="0" w:space="0" w:color="auto"/>
                    <w:left w:val="none" w:sz="0" w:space="0" w:color="auto"/>
                    <w:bottom w:val="none" w:sz="0" w:space="0" w:color="auto"/>
                    <w:right w:val="none" w:sz="0" w:space="0" w:color="auto"/>
                  </w:divBdr>
                  <w:divsChild>
                    <w:div w:id="1934433696">
                      <w:marLeft w:val="0"/>
                      <w:marRight w:val="0"/>
                      <w:marTop w:val="0"/>
                      <w:marBottom w:val="0"/>
                      <w:divBdr>
                        <w:top w:val="none" w:sz="0" w:space="0" w:color="auto"/>
                        <w:left w:val="none" w:sz="0" w:space="0" w:color="auto"/>
                        <w:bottom w:val="none" w:sz="0" w:space="0" w:color="auto"/>
                        <w:right w:val="none" w:sz="0" w:space="0" w:color="auto"/>
                      </w:divBdr>
                      <w:divsChild>
                        <w:div w:id="18106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410873">
      <w:bodyDiv w:val="1"/>
      <w:marLeft w:val="0"/>
      <w:marRight w:val="0"/>
      <w:marTop w:val="0"/>
      <w:marBottom w:val="0"/>
      <w:divBdr>
        <w:top w:val="none" w:sz="0" w:space="0" w:color="auto"/>
        <w:left w:val="none" w:sz="0" w:space="0" w:color="auto"/>
        <w:bottom w:val="none" w:sz="0" w:space="0" w:color="auto"/>
        <w:right w:val="none" w:sz="0" w:space="0" w:color="auto"/>
      </w:divBdr>
    </w:div>
    <w:div w:id="19614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imatechangeauthority.gov.au/reviews/targets-and-progress-review-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unfccc.int/focus/indc_portal/items/8766.php"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eti.go.jp/committee/sankoushin/sangyougijutsu/chikyu_kankyo/yakusoku_souan_wg/pdf/007_04_00.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EEE3-1C6C-4F7E-A96B-87D6904A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Malos, Anna</dc:creator>
  <cp:lastModifiedBy>Hutchings, Ross</cp:lastModifiedBy>
  <cp:revision>2</cp:revision>
  <cp:lastPrinted>2015-07-01T22:39:00Z</cp:lastPrinted>
  <dcterms:created xsi:type="dcterms:W3CDTF">2015-07-01T22:49:00Z</dcterms:created>
  <dcterms:modified xsi:type="dcterms:W3CDTF">2015-07-01T22:49:00Z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6">
    <vt:lpwstr>False</vt:lpwstr>
  </property>
</Properties>
</file>