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68DA8" w14:textId="034B5BA0" w:rsidR="004B367F" w:rsidRPr="00DC0A84" w:rsidRDefault="00E21D4B" w:rsidP="00690435">
      <w:pPr>
        <w:pStyle w:val="Heading2"/>
        <w:spacing w:line="240" w:lineRule="auto"/>
        <w:ind w:right="2487"/>
        <w:rPr>
          <w:bCs/>
          <w:sz w:val="36"/>
          <w:szCs w:val="20"/>
          <w:lang w:val="en-AU"/>
        </w:rPr>
      </w:pPr>
      <w:r w:rsidRPr="00DC0A84">
        <w:rPr>
          <w:bCs/>
          <w:sz w:val="36"/>
          <w:szCs w:val="20"/>
          <w:lang w:val="en-AU"/>
        </w:rPr>
        <w:t>Climate Change Authority says heavy lifting required on renewables to meet 43% emissions target by 2030 </w:t>
      </w:r>
    </w:p>
    <w:p w14:paraId="177B881B" w14:textId="010AA557" w:rsidR="004B367F" w:rsidRPr="0094039F" w:rsidRDefault="00690435" w:rsidP="0094039F">
      <w:pPr>
        <w:pStyle w:val="Heading2"/>
        <w:spacing w:before="240" w:after="0" w:line="276" w:lineRule="auto"/>
        <w:rPr>
          <w:b w:val="0"/>
          <w:bCs/>
          <w:sz w:val="28"/>
          <w:szCs w:val="28"/>
        </w:rPr>
      </w:pPr>
      <w:r w:rsidRPr="0094039F">
        <w:rPr>
          <w:bCs/>
          <w:sz w:val="28"/>
          <w:szCs w:val="28"/>
        </w:rPr>
        <w:t xml:space="preserve">30 </w:t>
      </w:r>
      <w:r w:rsidR="00E21D4B" w:rsidRPr="0094039F">
        <w:rPr>
          <w:bCs/>
          <w:sz w:val="28"/>
          <w:szCs w:val="28"/>
        </w:rPr>
        <w:t>November 2023</w:t>
      </w:r>
    </w:p>
    <w:p w14:paraId="79213884" w14:textId="77777777" w:rsidR="004B367F" w:rsidRDefault="004B367F" w:rsidP="004B367F"/>
    <w:p w14:paraId="5E3F16A9" w14:textId="77777777" w:rsidR="004B367F" w:rsidRDefault="004B367F" w:rsidP="001176A1">
      <w:pPr>
        <w:widowControl/>
        <w:adjustRightInd w:val="0"/>
        <w:spacing w:after="0" w:line="240" w:lineRule="auto"/>
        <w:jc w:val="right"/>
        <w:rPr>
          <w:rFonts w:ascii="GATLAK+Calibri" w:hAnsi="GATLAK+Calibri" w:cs="GATLAK+Calibri"/>
          <w:color w:val="221E1F"/>
          <w:szCs w:val="21"/>
          <w:lang w:val="en-GB" w:bidi="ar-SA"/>
        </w:rPr>
      </w:pPr>
    </w:p>
    <w:p w14:paraId="70077BDA" w14:textId="1B50C183" w:rsidR="00E21D4B" w:rsidRDefault="00E21D4B" w:rsidP="0018438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bookmarkStart w:id="0" w:name="_Hlk152173901"/>
      <w:bookmarkStart w:id="1" w:name="_Hlk152173776"/>
      <w:r>
        <w:rPr>
          <w:rStyle w:val="normaltextrun"/>
          <w:rFonts w:ascii="Calibri" w:hAnsi="Calibri" w:cs="Calibri"/>
          <w:b/>
          <w:bCs/>
          <w:sz w:val="40"/>
          <w:szCs w:val="40"/>
        </w:rPr>
        <w:t>Climate Change Authority says heavy lifting required on renewables to meet 43% emissions target by 2030</w:t>
      </w:r>
      <w:r>
        <w:rPr>
          <w:rStyle w:val="eop"/>
          <w:rFonts w:ascii="Calibri" w:hAnsi="Calibri" w:cs="Calibri"/>
          <w:sz w:val="40"/>
          <w:szCs w:val="40"/>
        </w:rPr>
        <w:t> </w:t>
      </w:r>
    </w:p>
    <w:bookmarkEnd w:id="0"/>
    <w:p w14:paraId="034DC699" w14:textId="2DCB3B2D" w:rsidR="00E21D4B" w:rsidRPr="00782297" w:rsidRDefault="00E21D4B" w:rsidP="00782297">
      <w:pPr>
        <w:pStyle w:val="paragraph"/>
        <w:spacing w:before="240" w:beforeAutospacing="0" w:after="240" w:afterAutospacing="0"/>
        <w:jc w:val="center"/>
        <w:textAlignment w:val="baseline"/>
        <w:rPr>
          <w:rFonts w:ascii="Segoe UI" w:hAnsi="Segoe UI" w:cs="Segoe UI"/>
          <w:sz w:val="18"/>
          <w:szCs w:val="18"/>
        </w:rPr>
      </w:pPr>
      <w:r w:rsidRPr="00782297">
        <w:rPr>
          <w:rStyle w:val="normaltextrun"/>
          <w:rFonts w:ascii="Calibri" w:hAnsi="Calibri" w:cs="Calibri"/>
          <w:i/>
          <w:iCs/>
          <w:sz w:val="32"/>
          <w:szCs w:val="32"/>
        </w:rPr>
        <w:t>2023 Annual Progress Report released today</w:t>
      </w:r>
      <w:r w:rsidRPr="00782297">
        <w:rPr>
          <w:rStyle w:val="eop"/>
          <w:rFonts w:ascii="Calibri" w:hAnsi="Calibri" w:cs="Calibri"/>
          <w:sz w:val="32"/>
          <w:szCs w:val="32"/>
        </w:rPr>
        <w:t> </w:t>
      </w:r>
      <w:bookmarkEnd w:id="1"/>
    </w:p>
    <w:p w14:paraId="7E392337" w14:textId="1F5DBEF5" w:rsidR="00E21D4B" w:rsidRPr="001176A1" w:rsidRDefault="00E21D4B" w:rsidP="001176A1">
      <w:pPr>
        <w:pStyle w:val="paragraph"/>
        <w:spacing w:before="120" w:beforeAutospacing="0" w:after="120" w:afterAutospacing="0" w:line="276" w:lineRule="auto"/>
        <w:textAlignment w:val="baseline"/>
        <w:rPr>
          <w:rFonts w:ascii="Segoe UI" w:hAnsi="Segoe UI" w:cs="Segoe UI"/>
          <w:color w:val="000000"/>
          <w:sz w:val="22"/>
          <w:szCs w:val="22"/>
        </w:rPr>
      </w:pPr>
      <w:r w:rsidRPr="001176A1">
        <w:rPr>
          <w:rStyle w:val="normaltextrun"/>
          <w:rFonts w:ascii="Calibri" w:hAnsi="Calibri" w:cs="Calibri"/>
          <w:color w:val="000000"/>
          <w:sz w:val="22"/>
          <w:szCs w:val="22"/>
        </w:rPr>
        <w:t>The Climate Change Authority says the Australian Government is pursuing a broad and deep climate change policy agenda, but this has yet to translate into the emissions reductions needed. </w:t>
      </w:r>
      <w:r w:rsidRPr="001176A1">
        <w:rPr>
          <w:rStyle w:val="eop"/>
          <w:rFonts w:ascii="Calibri" w:hAnsi="Calibri" w:cs="Calibri"/>
          <w:color w:val="000000"/>
          <w:sz w:val="22"/>
          <w:szCs w:val="22"/>
        </w:rPr>
        <w:t> </w:t>
      </w:r>
    </w:p>
    <w:p w14:paraId="7EC168AE" w14:textId="7ADBBD41" w:rsidR="00E21D4B" w:rsidRPr="001176A1" w:rsidRDefault="00E21D4B" w:rsidP="001176A1">
      <w:pPr>
        <w:pStyle w:val="paragraph"/>
        <w:spacing w:before="120" w:beforeAutospacing="0" w:after="120" w:afterAutospacing="0" w:line="276" w:lineRule="auto"/>
        <w:textAlignment w:val="baseline"/>
        <w:rPr>
          <w:rFonts w:ascii="Segoe UI" w:hAnsi="Segoe UI" w:cs="Segoe UI"/>
          <w:color w:val="000000"/>
          <w:sz w:val="22"/>
          <w:szCs w:val="22"/>
        </w:rPr>
      </w:pPr>
      <w:r w:rsidRPr="001176A1">
        <w:rPr>
          <w:rStyle w:val="normaltextrun"/>
          <w:rFonts w:ascii="Calibri" w:hAnsi="Calibri" w:cs="Calibri"/>
          <w:color w:val="000000"/>
          <w:sz w:val="22"/>
          <w:szCs w:val="22"/>
        </w:rPr>
        <w:t xml:space="preserve">The assessment is contained in the authority’s </w:t>
      </w:r>
      <w:hyperlink r:id="rId11" w:history="1">
        <w:r w:rsidRPr="009D1187">
          <w:rPr>
            <w:rStyle w:val="Hyperlink"/>
            <w:rFonts w:ascii="Calibri" w:hAnsi="Calibri" w:cs="Calibri"/>
            <w:sz w:val="22"/>
            <w:szCs w:val="22"/>
          </w:rPr>
          <w:t>Annual Progress Report</w:t>
        </w:r>
      </w:hyperlink>
      <w:r w:rsidRPr="001176A1">
        <w:rPr>
          <w:rStyle w:val="normaltextrun"/>
          <w:rFonts w:ascii="Calibri" w:hAnsi="Calibri" w:cs="Calibri"/>
          <w:b/>
          <w:bCs/>
          <w:color w:val="000000"/>
          <w:sz w:val="22"/>
          <w:szCs w:val="22"/>
        </w:rPr>
        <w:t xml:space="preserve"> </w:t>
      </w:r>
      <w:r w:rsidRPr="001176A1">
        <w:rPr>
          <w:rStyle w:val="normaltextrun"/>
          <w:rFonts w:ascii="Calibri" w:hAnsi="Calibri" w:cs="Calibri"/>
          <w:color w:val="000000"/>
          <w:sz w:val="22"/>
          <w:szCs w:val="22"/>
        </w:rPr>
        <w:t>released today to coincide with the government’s Annual Climate Change Statement. The authority’s advice and 42 recommendations, provided to the Minister for Climate Change and Energy on 27 October, are a key input for the government’s statement. </w:t>
      </w:r>
      <w:r w:rsidRPr="001176A1">
        <w:rPr>
          <w:rStyle w:val="eop"/>
          <w:rFonts w:ascii="Calibri" w:hAnsi="Calibri" w:cs="Calibri"/>
          <w:color w:val="000000"/>
          <w:sz w:val="22"/>
          <w:szCs w:val="22"/>
        </w:rPr>
        <w:t> </w:t>
      </w:r>
    </w:p>
    <w:p w14:paraId="2DE2B653" w14:textId="325F6E92" w:rsidR="00E21D4B" w:rsidRPr="001176A1" w:rsidRDefault="00E21D4B" w:rsidP="001176A1">
      <w:pPr>
        <w:pStyle w:val="paragraph"/>
        <w:spacing w:before="120" w:beforeAutospacing="0" w:after="120" w:afterAutospacing="0" w:line="276" w:lineRule="auto"/>
        <w:textAlignment w:val="baseline"/>
        <w:rPr>
          <w:rFonts w:ascii="Segoe UI" w:hAnsi="Segoe UI" w:cs="Segoe UI"/>
          <w:color w:val="000000"/>
          <w:sz w:val="22"/>
          <w:szCs w:val="22"/>
        </w:rPr>
      </w:pPr>
      <w:r w:rsidRPr="001176A1">
        <w:rPr>
          <w:rStyle w:val="normaltextrun"/>
          <w:rFonts w:ascii="Calibri" w:hAnsi="Calibri" w:cs="Calibri"/>
          <w:color w:val="000000"/>
          <w:sz w:val="22"/>
          <w:szCs w:val="22"/>
        </w:rPr>
        <w:t>The 2023 report states Australia’s greenhouse gas emissions were 467 million tonnes</w:t>
      </w:r>
      <w:r w:rsidRPr="001176A1">
        <w:rPr>
          <w:rStyle w:val="normaltextrun"/>
          <w:rFonts w:ascii="Calibri" w:hAnsi="Calibri" w:cs="Calibri"/>
          <w:color w:val="000000"/>
          <w:sz w:val="22"/>
          <w:szCs w:val="22"/>
          <w:vertAlign w:val="subscript"/>
        </w:rPr>
        <w:t xml:space="preserve"> </w:t>
      </w:r>
      <w:r w:rsidRPr="001176A1">
        <w:rPr>
          <w:rStyle w:val="normaltextrun"/>
          <w:rFonts w:ascii="Calibri" w:hAnsi="Calibri" w:cs="Calibri"/>
          <w:color w:val="000000"/>
          <w:sz w:val="22"/>
          <w:szCs w:val="22"/>
        </w:rPr>
        <w:t>in the year ending June 2023, an increase of four million tonnes. To achieve a 43% reduction in emissions by 2030 compared with 2005 levels, and net zero emissions by 2050, Australia will need to decarbonise at an average annual rate of 17 million tonnes. </w:t>
      </w:r>
      <w:r w:rsidRPr="001176A1">
        <w:rPr>
          <w:rStyle w:val="eop"/>
          <w:rFonts w:ascii="Calibri" w:hAnsi="Calibri" w:cs="Calibri"/>
          <w:color w:val="000000"/>
          <w:sz w:val="22"/>
          <w:szCs w:val="22"/>
        </w:rPr>
        <w:t> </w:t>
      </w:r>
    </w:p>
    <w:p w14:paraId="624D12D6" w14:textId="6C425935" w:rsidR="00E21D4B" w:rsidRPr="001176A1" w:rsidRDefault="00E21D4B" w:rsidP="001176A1">
      <w:pPr>
        <w:pStyle w:val="paragraph"/>
        <w:spacing w:before="120" w:beforeAutospacing="0" w:after="120" w:afterAutospacing="0" w:line="276" w:lineRule="auto"/>
        <w:textAlignment w:val="baseline"/>
        <w:rPr>
          <w:rFonts w:ascii="Segoe UI" w:hAnsi="Segoe UI" w:cs="Segoe UI"/>
          <w:color w:val="000000"/>
          <w:sz w:val="22"/>
          <w:szCs w:val="22"/>
        </w:rPr>
      </w:pPr>
      <w:r w:rsidRPr="001176A1">
        <w:rPr>
          <w:rStyle w:val="normaltextrun"/>
          <w:rFonts w:ascii="Calibri" w:hAnsi="Calibri" w:cs="Calibri"/>
          <w:color w:val="000000"/>
          <w:sz w:val="22"/>
          <w:szCs w:val="22"/>
        </w:rPr>
        <w:t>“Our report found that Australia is not yet on track to meet its 2030 targets,” said Brad Archer, CEO of the Climate Change Authority. </w:t>
      </w:r>
      <w:r w:rsidRPr="001176A1">
        <w:rPr>
          <w:rStyle w:val="eop"/>
          <w:rFonts w:ascii="Calibri" w:hAnsi="Calibri" w:cs="Calibri"/>
          <w:color w:val="000000"/>
          <w:sz w:val="22"/>
          <w:szCs w:val="22"/>
        </w:rPr>
        <w:t> </w:t>
      </w:r>
    </w:p>
    <w:p w14:paraId="2ACFC806" w14:textId="666D964A" w:rsidR="00E21D4B" w:rsidRPr="001176A1" w:rsidRDefault="00E21D4B" w:rsidP="001176A1">
      <w:pPr>
        <w:pStyle w:val="paragraph"/>
        <w:spacing w:before="120" w:beforeAutospacing="0" w:after="120" w:afterAutospacing="0" w:line="276" w:lineRule="auto"/>
        <w:textAlignment w:val="baseline"/>
        <w:rPr>
          <w:rFonts w:ascii="Segoe UI" w:hAnsi="Segoe UI" w:cs="Segoe UI"/>
          <w:color w:val="000000"/>
          <w:sz w:val="22"/>
          <w:szCs w:val="22"/>
        </w:rPr>
      </w:pPr>
      <w:r w:rsidRPr="001176A1">
        <w:rPr>
          <w:rStyle w:val="normaltextrun"/>
          <w:rFonts w:ascii="Calibri" w:hAnsi="Calibri" w:cs="Calibri"/>
          <w:color w:val="000000"/>
          <w:sz w:val="22"/>
          <w:szCs w:val="22"/>
        </w:rPr>
        <w:t>“We are tracking the highest priority measures that the government is pursuing towards achieving the 2030 target and supporting Australia becoming a prosperous, net zero economy. It’s going to take time for these measures to take effect. </w:t>
      </w:r>
      <w:r w:rsidRPr="001176A1">
        <w:rPr>
          <w:rStyle w:val="eop"/>
          <w:rFonts w:ascii="Calibri" w:hAnsi="Calibri" w:cs="Calibri"/>
          <w:color w:val="000000"/>
          <w:sz w:val="22"/>
          <w:szCs w:val="22"/>
        </w:rPr>
        <w:t> </w:t>
      </w:r>
    </w:p>
    <w:p w14:paraId="18037A2B" w14:textId="4E242EEE" w:rsidR="00E21D4B" w:rsidRPr="001176A1" w:rsidRDefault="00E21D4B" w:rsidP="001176A1">
      <w:pPr>
        <w:pStyle w:val="paragraph"/>
        <w:spacing w:before="120" w:beforeAutospacing="0" w:after="120" w:afterAutospacing="0" w:line="276" w:lineRule="auto"/>
        <w:textAlignment w:val="baseline"/>
        <w:rPr>
          <w:rFonts w:ascii="Segoe UI" w:hAnsi="Segoe UI" w:cs="Segoe UI"/>
          <w:color w:val="000000"/>
          <w:sz w:val="22"/>
          <w:szCs w:val="22"/>
        </w:rPr>
      </w:pPr>
      <w:r w:rsidRPr="001176A1">
        <w:rPr>
          <w:rStyle w:val="normaltextrun"/>
          <w:rFonts w:ascii="Calibri" w:hAnsi="Calibri" w:cs="Calibri"/>
          <w:color w:val="000000"/>
          <w:sz w:val="22"/>
          <w:szCs w:val="22"/>
        </w:rPr>
        <w:t>“Achieving the 82% renewable energy target is going to be crucial for Australia’s ability to meet the 43% emissions reduction target. This will require some heavy lifting.” </w:t>
      </w:r>
      <w:r w:rsidRPr="001176A1">
        <w:rPr>
          <w:rStyle w:val="eop"/>
          <w:rFonts w:ascii="Calibri" w:hAnsi="Calibri" w:cs="Calibri"/>
          <w:color w:val="000000"/>
          <w:sz w:val="22"/>
          <w:szCs w:val="22"/>
        </w:rPr>
        <w:t> </w:t>
      </w:r>
    </w:p>
    <w:p w14:paraId="3B5B1FBA" w14:textId="24D89198" w:rsidR="00E21D4B" w:rsidRPr="001176A1" w:rsidRDefault="00E21D4B" w:rsidP="001176A1">
      <w:pPr>
        <w:pStyle w:val="paragraph"/>
        <w:spacing w:before="120" w:beforeAutospacing="0" w:after="120" w:afterAutospacing="0" w:line="276" w:lineRule="auto"/>
        <w:textAlignment w:val="baseline"/>
        <w:rPr>
          <w:rFonts w:ascii="Segoe UI" w:hAnsi="Segoe UI" w:cs="Segoe UI"/>
          <w:color w:val="000000"/>
          <w:sz w:val="22"/>
          <w:szCs w:val="22"/>
        </w:rPr>
      </w:pPr>
      <w:r w:rsidRPr="001176A1">
        <w:rPr>
          <w:rStyle w:val="normaltextrun"/>
          <w:rFonts w:ascii="Calibri" w:hAnsi="Calibri" w:cs="Calibri"/>
          <w:color w:val="000000"/>
          <w:sz w:val="22"/>
          <w:szCs w:val="22"/>
        </w:rPr>
        <w:t>“Renewables have been rolling out at a fast rate, but we have to go even faster, all around Australia, to hit the 82% target,” Mr Archer said.</w:t>
      </w:r>
      <w:r w:rsidRPr="001176A1">
        <w:rPr>
          <w:rStyle w:val="eop"/>
          <w:rFonts w:ascii="Calibri" w:hAnsi="Calibri" w:cs="Calibri"/>
          <w:color w:val="000000"/>
          <w:sz w:val="22"/>
          <w:szCs w:val="22"/>
        </w:rPr>
        <w:t> </w:t>
      </w:r>
    </w:p>
    <w:p w14:paraId="05C939F3" w14:textId="747BC1F2" w:rsidR="00E21D4B" w:rsidRPr="001176A1" w:rsidRDefault="00E21D4B" w:rsidP="001176A1">
      <w:pPr>
        <w:pStyle w:val="paragraph"/>
        <w:spacing w:before="120" w:beforeAutospacing="0" w:after="120" w:afterAutospacing="0" w:line="276" w:lineRule="auto"/>
        <w:textAlignment w:val="baseline"/>
        <w:rPr>
          <w:rFonts w:ascii="Segoe UI" w:hAnsi="Segoe UI" w:cs="Segoe UI"/>
          <w:color w:val="000000"/>
          <w:sz w:val="22"/>
          <w:szCs w:val="22"/>
        </w:rPr>
      </w:pPr>
      <w:r w:rsidRPr="001176A1">
        <w:rPr>
          <w:rStyle w:val="normaltextrun"/>
          <w:rFonts w:ascii="Calibri" w:hAnsi="Calibri" w:cs="Calibri"/>
          <w:color w:val="000000"/>
          <w:sz w:val="22"/>
          <w:szCs w:val="22"/>
        </w:rPr>
        <w:t>“This will be challenging because of the sheer scale and pace of what needs to happen in the context of supply chain and workforce pressures.   Communities are also raising concerns about the broader environmental impacts of renewable energy infrastructure in the vicinity of their homes and communities.     </w:t>
      </w:r>
      <w:r w:rsidRPr="001176A1">
        <w:rPr>
          <w:rStyle w:val="eop"/>
          <w:rFonts w:ascii="Calibri" w:hAnsi="Calibri" w:cs="Calibri"/>
          <w:color w:val="000000"/>
          <w:sz w:val="22"/>
          <w:szCs w:val="22"/>
        </w:rPr>
        <w:t> </w:t>
      </w:r>
      <w:r w:rsidR="00EA6AF3" w:rsidRPr="001176A1">
        <w:rPr>
          <w:rStyle w:val="eop"/>
          <w:rFonts w:ascii="Calibri" w:hAnsi="Calibri" w:cs="Calibri"/>
          <w:color w:val="000000"/>
          <w:sz w:val="22"/>
          <w:szCs w:val="22"/>
        </w:rPr>
        <w:tab/>
      </w:r>
    </w:p>
    <w:p w14:paraId="13C0D66D" w14:textId="77777777" w:rsidR="00E21D4B" w:rsidRPr="001176A1" w:rsidRDefault="00E21D4B" w:rsidP="001176A1">
      <w:pPr>
        <w:pStyle w:val="paragraph"/>
        <w:spacing w:before="120" w:beforeAutospacing="0" w:after="120" w:afterAutospacing="0" w:line="276" w:lineRule="auto"/>
        <w:textAlignment w:val="baseline"/>
        <w:rPr>
          <w:rFonts w:ascii="Segoe UI" w:hAnsi="Segoe UI" w:cs="Segoe UI"/>
          <w:color w:val="000000"/>
          <w:sz w:val="22"/>
          <w:szCs w:val="22"/>
        </w:rPr>
      </w:pPr>
      <w:r w:rsidRPr="001176A1">
        <w:rPr>
          <w:rStyle w:val="normaltextrun"/>
          <w:rFonts w:ascii="Calibri" w:hAnsi="Calibri" w:cs="Calibri"/>
          <w:color w:val="000000"/>
          <w:sz w:val="22"/>
          <w:szCs w:val="22"/>
        </w:rPr>
        <w:t>“The government has to navigate and address these concerns in a way that demonstrates to these communities how they, and Australia, will benefit in the long term.”</w:t>
      </w:r>
      <w:r w:rsidRPr="001176A1">
        <w:rPr>
          <w:rStyle w:val="eop"/>
          <w:rFonts w:ascii="Calibri" w:hAnsi="Calibri" w:cs="Calibri"/>
          <w:color w:val="000000"/>
          <w:sz w:val="22"/>
          <w:szCs w:val="22"/>
        </w:rPr>
        <w:t> </w:t>
      </w:r>
    </w:p>
    <w:p w14:paraId="67EEE172" w14:textId="77777777" w:rsidR="00E21D4B" w:rsidRPr="001176A1" w:rsidRDefault="00E21D4B" w:rsidP="001176A1">
      <w:pPr>
        <w:pStyle w:val="paragraph"/>
        <w:spacing w:before="120" w:beforeAutospacing="0" w:after="120" w:afterAutospacing="0" w:line="276" w:lineRule="auto"/>
        <w:textAlignment w:val="baseline"/>
        <w:rPr>
          <w:rFonts w:ascii="Segoe UI" w:hAnsi="Segoe UI" w:cs="Segoe UI"/>
          <w:color w:val="000000"/>
          <w:sz w:val="22"/>
          <w:szCs w:val="22"/>
        </w:rPr>
      </w:pPr>
      <w:r w:rsidRPr="001176A1">
        <w:rPr>
          <w:rStyle w:val="eop"/>
          <w:rFonts w:ascii="Calibri" w:hAnsi="Calibri" w:cs="Calibri"/>
          <w:color w:val="000000"/>
          <w:sz w:val="22"/>
          <w:szCs w:val="22"/>
        </w:rPr>
        <w:t> </w:t>
      </w:r>
    </w:p>
    <w:p w14:paraId="10AFB4E3" w14:textId="77777777" w:rsidR="008D4A79" w:rsidRDefault="008D4A79" w:rsidP="001176A1">
      <w:pPr>
        <w:pStyle w:val="paragraph"/>
        <w:spacing w:before="120" w:beforeAutospacing="0" w:after="120" w:afterAutospacing="0" w:line="276" w:lineRule="auto"/>
        <w:textAlignment w:val="baseline"/>
        <w:rPr>
          <w:rStyle w:val="normaltextrun"/>
          <w:rFonts w:ascii="Calibri" w:hAnsi="Calibri" w:cs="Calibri"/>
          <w:color w:val="000000"/>
          <w:sz w:val="22"/>
          <w:szCs w:val="22"/>
        </w:rPr>
        <w:sectPr w:rsidR="008D4A79" w:rsidSect="000523D0">
          <w:headerReference w:type="even" r:id="rId12"/>
          <w:headerReference w:type="default" r:id="rId13"/>
          <w:footerReference w:type="even" r:id="rId14"/>
          <w:footerReference w:type="default" r:id="rId15"/>
          <w:headerReference w:type="first" r:id="rId16"/>
          <w:footerReference w:type="first" r:id="rId17"/>
          <w:pgSz w:w="11900" w:h="16839"/>
          <w:pgMar w:top="1701" w:right="1588" w:bottom="1021" w:left="1021" w:header="709" w:footer="1026" w:gutter="0"/>
          <w:cols w:space="708"/>
          <w:titlePg/>
          <w:docGrid w:linePitch="360"/>
        </w:sectPr>
      </w:pPr>
    </w:p>
    <w:p w14:paraId="40467B4E" w14:textId="520A08DB" w:rsidR="00E21D4B" w:rsidRPr="001176A1" w:rsidRDefault="00E21D4B" w:rsidP="001176A1">
      <w:pPr>
        <w:pStyle w:val="paragraph"/>
        <w:spacing w:before="120" w:beforeAutospacing="0" w:after="120" w:afterAutospacing="0" w:line="276" w:lineRule="auto"/>
        <w:textAlignment w:val="baseline"/>
        <w:rPr>
          <w:rFonts w:ascii="Segoe UI" w:hAnsi="Segoe UI" w:cs="Segoe UI"/>
          <w:color w:val="000000"/>
          <w:sz w:val="22"/>
          <w:szCs w:val="22"/>
        </w:rPr>
      </w:pPr>
      <w:r w:rsidRPr="001176A1">
        <w:rPr>
          <w:rStyle w:val="normaltextrun"/>
          <w:rFonts w:ascii="Calibri" w:hAnsi="Calibri" w:cs="Calibri"/>
          <w:color w:val="000000"/>
          <w:sz w:val="22"/>
          <w:szCs w:val="22"/>
        </w:rPr>
        <w:lastRenderedPageBreak/>
        <w:t xml:space="preserve">Many of the authority’s </w:t>
      </w:r>
      <w:hyperlink r:id="rId18" w:history="1">
        <w:r w:rsidRPr="0039232C">
          <w:rPr>
            <w:rStyle w:val="Hyperlink"/>
            <w:rFonts w:ascii="Calibri" w:hAnsi="Calibri" w:cs="Calibri"/>
            <w:sz w:val="22"/>
            <w:szCs w:val="22"/>
          </w:rPr>
          <w:t>42 recommendations</w:t>
        </w:r>
      </w:hyperlink>
      <w:r w:rsidRPr="001176A1">
        <w:rPr>
          <w:rStyle w:val="normaltextrun"/>
          <w:rFonts w:ascii="Calibri" w:hAnsi="Calibri" w:cs="Calibri"/>
          <w:color w:val="000000"/>
          <w:sz w:val="22"/>
          <w:szCs w:val="22"/>
        </w:rPr>
        <w:t xml:space="preserve"> call on the Australian government and states and territories to work more cooperatively to achieve policy objectives to meet the legislated 2030 target. This includes the final recommendation which calls for a set of agreements with the state and territory governments for coordination and cooperation on climate change mitigation, adaptation and resilience planning as part of the net zero transition. </w:t>
      </w:r>
      <w:r w:rsidRPr="001176A1">
        <w:rPr>
          <w:rStyle w:val="eop"/>
          <w:rFonts w:ascii="Calibri" w:hAnsi="Calibri" w:cs="Calibri"/>
          <w:color w:val="000000"/>
          <w:sz w:val="22"/>
          <w:szCs w:val="22"/>
        </w:rPr>
        <w:t> </w:t>
      </w:r>
    </w:p>
    <w:p w14:paraId="5D659C18" w14:textId="1F829C31" w:rsidR="00E21D4B" w:rsidRPr="001176A1" w:rsidRDefault="00E21D4B" w:rsidP="001176A1">
      <w:pPr>
        <w:pStyle w:val="paragraph"/>
        <w:spacing w:before="120" w:beforeAutospacing="0" w:after="120" w:afterAutospacing="0" w:line="276" w:lineRule="auto"/>
        <w:textAlignment w:val="baseline"/>
        <w:rPr>
          <w:rFonts w:ascii="Segoe UI" w:hAnsi="Segoe UI" w:cs="Segoe UI"/>
          <w:color w:val="000000"/>
          <w:sz w:val="22"/>
          <w:szCs w:val="22"/>
        </w:rPr>
      </w:pPr>
      <w:r w:rsidRPr="001176A1">
        <w:rPr>
          <w:rStyle w:val="normaltextrun"/>
          <w:rFonts w:ascii="Calibri" w:hAnsi="Calibri" w:cs="Calibri"/>
          <w:color w:val="000000"/>
          <w:sz w:val="22"/>
          <w:szCs w:val="22"/>
        </w:rPr>
        <w:t>“With 2030 only seven years away, we believe the time is right for a new commonwealth-state agreement process that would provide a framework for cooperation on the response to climate change, including where coordinated action is required in the national interest,”  said Brad Archer, CEO of the Climate Change Authority.</w:t>
      </w:r>
      <w:r w:rsidRPr="001176A1">
        <w:rPr>
          <w:rStyle w:val="eop"/>
          <w:rFonts w:ascii="Calibri" w:hAnsi="Calibri" w:cs="Calibri"/>
          <w:color w:val="000000"/>
          <w:sz w:val="22"/>
          <w:szCs w:val="22"/>
        </w:rPr>
        <w:t> </w:t>
      </w:r>
    </w:p>
    <w:p w14:paraId="214DFF58" w14:textId="5FBD1F07" w:rsidR="00E21D4B" w:rsidRPr="001176A1" w:rsidRDefault="00E21D4B" w:rsidP="001176A1">
      <w:pPr>
        <w:pStyle w:val="paragraph"/>
        <w:spacing w:before="120" w:beforeAutospacing="0" w:after="120" w:afterAutospacing="0" w:line="276" w:lineRule="auto"/>
        <w:textAlignment w:val="baseline"/>
        <w:rPr>
          <w:rFonts w:ascii="Segoe UI" w:hAnsi="Segoe UI" w:cs="Segoe UI"/>
          <w:color w:val="000000"/>
          <w:sz w:val="22"/>
          <w:szCs w:val="22"/>
        </w:rPr>
      </w:pPr>
      <w:r w:rsidRPr="001176A1">
        <w:rPr>
          <w:rStyle w:val="normaltextrun"/>
          <w:rFonts w:ascii="Calibri" w:hAnsi="Calibri" w:cs="Calibri"/>
          <w:color w:val="000000"/>
          <w:sz w:val="22"/>
          <w:szCs w:val="22"/>
        </w:rPr>
        <w:t>“There is broad community support for strong action on climate change, but delivering the changes needed in the economy and in society to meet our emissions reductions targets are immense and urgent. These are the changes that will underpin a successful transition to a net zero economy and ensure Australia’s future prosperity and resilience.</w:t>
      </w:r>
      <w:r w:rsidRPr="001176A1">
        <w:rPr>
          <w:rStyle w:val="eop"/>
          <w:rFonts w:ascii="Calibri" w:hAnsi="Calibri" w:cs="Calibri"/>
          <w:color w:val="000000"/>
          <w:sz w:val="22"/>
          <w:szCs w:val="22"/>
        </w:rPr>
        <w:t> </w:t>
      </w:r>
    </w:p>
    <w:p w14:paraId="48D14869" w14:textId="7F952728" w:rsidR="00E21D4B" w:rsidRPr="001176A1" w:rsidRDefault="00E21D4B" w:rsidP="001176A1">
      <w:pPr>
        <w:pStyle w:val="paragraph"/>
        <w:spacing w:before="120" w:beforeAutospacing="0" w:after="120" w:afterAutospacing="0" w:line="276" w:lineRule="auto"/>
        <w:textAlignment w:val="baseline"/>
        <w:rPr>
          <w:rFonts w:ascii="Segoe UI" w:hAnsi="Segoe UI" w:cs="Segoe UI"/>
          <w:color w:val="000000"/>
          <w:sz w:val="22"/>
          <w:szCs w:val="22"/>
        </w:rPr>
      </w:pPr>
      <w:r w:rsidRPr="001176A1">
        <w:rPr>
          <w:rStyle w:val="normaltextrun"/>
          <w:rFonts w:ascii="Calibri" w:hAnsi="Calibri" w:cs="Calibri"/>
          <w:color w:val="000000"/>
          <w:sz w:val="22"/>
          <w:szCs w:val="22"/>
        </w:rPr>
        <w:t>“Governments</w:t>
      </w:r>
      <w:r w:rsidRPr="001176A1">
        <w:rPr>
          <w:rStyle w:val="normaltextrun"/>
          <w:rFonts w:ascii="Calibri" w:hAnsi="Calibri" w:cs="Calibri"/>
          <w:i/>
          <w:iCs/>
          <w:color w:val="000000"/>
          <w:sz w:val="22"/>
          <w:szCs w:val="22"/>
        </w:rPr>
        <w:t xml:space="preserve"> </w:t>
      </w:r>
      <w:r w:rsidRPr="001176A1">
        <w:rPr>
          <w:rStyle w:val="normaltextrun"/>
          <w:rFonts w:ascii="Calibri" w:hAnsi="Calibri" w:cs="Calibri"/>
          <w:color w:val="000000"/>
          <w:sz w:val="22"/>
          <w:szCs w:val="22"/>
        </w:rPr>
        <w:t>hold the policy levers, including regulatory, fiscal, market-based and informational, to guide businesses and individuals to choices that support Australia’s climate change goals. Meeting federal, state and territory targets will require a national strategy, implemented locally. The necessary changes go beyond the reach of any government acting alone,” Mr Archer said.</w:t>
      </w:r>
      <w:r w:rsidRPr="001176A1">
        <w:rPr>
          <w:rStyle w:val="eop"/>
          <w:rFonts w:ascii="Calibri" w:hAnsi="Calibri" w:cs="Calibri"/>
          <w:color w:val="000000"/>
          <w:sz w:val="22"/>
          <w:szCs w:val="22"/>
        </w:rPr>
        <w:t> </w:t>
      </w:r>
    </w:p>
    <w:p w14:paraId="7A4561ED" w14:textId="53367B16" w:rsidR="00E21D4B" w:rsidRPr="00080F00" w:rsidRDefault="00E21D4B" w:rsidP="00080F00">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Calibri" w:hAnsi="Calibri" w:cs="Calibri"/>
          <w:color w:val="000000"/>
        </w:rPr>
        <w:t> </w:t>
      </w:r>
      <w:r>
        <w:rPr>
          <w:rStyle w:val="eop"/>
          <w:rFonts w:ascii="Calibri" w:hAnsi="Calibri" w:cs="Calibri"/>
          <w:color w:val="414042"/>
          <w:sz w:val="28"/>
          <w:szCs w:val="28"/>
        </w:rPr>
        <w:t> </w:t>
      </w:r>
    </w:p>
    <w:p w14:paraId="52CAC160" w14:textId="77777777" w:rsidR="00E21D4B" w:rsidRPr="001176A1" w:rsidRDefault="00E21D4B" w:rsidP="00E21D4B">
      <w:pPr>
        <w:pStyle w:val="paragraph"/>
        <w:spacing w:before="0" w:beforeAutospacing="0" w:after="0" w:afterAutospacing="0"/>
        <w:textAlignment w:val="baseline"/>
        <w:rPr>
          <w:rFonts w:ascii="Segoe UI" w:hAnsi="Segoe UI" w:cs="Segoe UI"/>
        </w:rPr>
      </w:pPr>
      <w:r w:rsidRPr="001176A1">
        <w:rPr>
          <w:rStyle w:val="normaltextrun"/>
          <w:rFonts w:ascii="Calibri" w:hAnsi="Calibri" w:cs="Calibri"/>
          <w:b/>
          <w:bCs/>
          <w:color w:val="414042"/>
        </w:rPr>
        <w:t>Download the 2023 Annual Progress Report</w:t>
      </w:r>
      <w:r w:rsidRPr="001176A1">
        <w:rPr>
          <w:rStyle w:val="eop"/>
          <w:rFonts w:ascii="Calibri" w:hAnsi="Calibri" w:cs="Calibri"/>
          <w:color w:val="414042"/>
        </w:rPr>
        <w:t> </w:t>
      </w:r>
    </w:p>
    <w:p w14:paraId="09E883C5" w14:textId="2C409863" w:rsidR="00E21D4B" w:rsidRPr="001176A1" w:rsidRDefault="00E21D4B" w:rsidP="00080F00">
      <w:pPr>
        <w:pStyle w:val="paragraph"/>
        <w:spacing w:before="0" w:beforeAutospacing="0" w:after="0" w:afterAutospacing="0"/>
        <w:textAlignment w:val="baseline"/>
        <w:rPr>
          <w:rFonts w:ascii="Segoe UI" w:hAnsi="Segoe UI" w:cs="Segoe UI"/>
          <w:sz w:val="22"/>
          <w:szCs w:val="22"/>
        </w:rPr>
      </w:pPr>
      <w:r w:rsidRPr="001176A1">
        <w:rPr>
          <w:rStyle w:val="normaltextrun"/>
          <w:rFonts w:ascii="Calibri" w:hAnsi="Calibri" w:cs="Calibri"/>
          <w:color w:val="414042"/>
          <w:sz w:val="22"/>
          <w:szCs w:val="22"/>
        </w:rPr>
        <w:t>The full Annual Progress Report can be viewed here</w:t>
      </w:r>
      <w:r w:rsidR="004F5469">
        <w:rPr>
          <w:rStyle w:val="normaltextrun"/>
          <w:rFonts w:ascii="Calibri" w:hAnsi="Calibri" w:cs="Calibri"/>
          <w:color w:val="414042"/>
          <w:sz w:val="22"/>
          <w:szCs w:val="22"/>
        </w:rPr>
        <w:t xml:space="preserve">: </w:t>
      </w:r>
      <w:hyperlink r:id="rId19" w:history="1">
        <w:r w:rsidR="004F5469" w:rsidRPr="004F5469">
          <w:rPr>
            <w:rStyle w:val="Hyperlink"/>
            <w:rFonts w:ascii="Calibri" w:hAnsi="Calibri" w:cs="Calibri"/>
            <w:sz w:val="22"/>
            <w:szCs w:val="22"/>
          </w:rPr>
          <w:t>PDF</w:t>
        </w:r>
      </w:hyperlink>
      <w:r w:rsidRPr="001176A1">
        <w:rPr>
          <w:rStyle w:val="normaltextrun"/>
          <w:rFonts w:ascii="Calibri" w:hAnsi="Calibri" w:cs="Calibri"/>
          <w:color w:val="414042"/>
          <w:sz w:val="22"/>
          <w:szCs w:val="22"/>
        </w:rPr>
        <w:t xml:space="preserve"> </w:t>
      </w:r>
    </w:p>
    <w:p w14:paraId="53218419" w14:textId="5437C66D" w:rsidR="00527E6F" w:rsidRPr="004B367F" w:rsidRDefault="00527E6F" w:rsidP="00527E6F">
      <w:pPr>
        <w:rPr>
          <w:b/>
          <w:bCs/>
        </w:rPr>
      </w:pPr>
    </w:p>
    <w:p w14:paraId="79E0CA5D" w14:textId="5C154FB3" w:rsidR="004B367F" w:rsidRDefault="004B367F" w:rsidP="00527E6F">
      <w:pPr>
        <w:rPr>
          <w:b/>
          <w:bCs/>
        </w:rPr>
      </w:pPr>
      <w:r w:rsidRPr="004B367F">
        <w:rPr>
          <w:b/>
          <w:bCs/>
        </w:rPr>
        <w:t>Media contact:</w:t>
      </w:r>
    </w:p>
    <w:p w14:paraId="2FF3648D" w14:textId="77777777" w:rsidR="00080F00" w:rsidRPr="001176A1" w:rsidRDefault="00080F00" w:rsidP="00080F00">
      <w:pPr>
        <w:pStyle w:val="paragraph"/>
        <w:spacing w:before="0" w:beforeAutospacing="0" w:after="0" w:afterAutospacing="0"/>
        <w:textAlignment w:val="baseline"/>
        <w:rPr>
          <w:rFonts w:ascii="Segoe UI" w:hAnsi="Segoe UI" w:cs="Segoe UI"/>
          <w:sz w:val="22"/>
          <w:szCs w:val="22"/>
        </w:rPr>
      </w:pPr>
      <w:r w:rsidRPr="001176A1">
        <w:rPr>
          <w:rStyle w:val="normaltextrun"/>
          <w:rFonts w:ascii="Calibri" w:hAnsi="Calibri" w:cs="Calibri"/>
          <w:color w:val="414042"/>
          <w:sz w:val="22"/>
          <w:szCs w:val="22"/>
        </w:rPr>
        <w:t>Patrick Southam, Reputation Edge</w:t>
      </w:r>
      <w:r w:rsidRPr="001176A1">
        <w:rPr>
          <w:rStyle w:val="eop"/>
          <w:rFonts w:ascii="Calibri" w:hAnsi="Calibri" w:cs="Calibri"/>
          <w:color w:val="414042"/>
          <w:sz w:val="22"/>
          <w:szCs w:val="22"/>
        </w:rPr>
        <w:t> </w:t>
      </w:r>
    </w:p>
    <w:p w14:paraId="2765543C" w14:textId="77777777" w:rsidR="00080F00" w:rsidRPr="001176A1" w:rsidRDefault="00080F00" w:rsidP="00080F00">
      <w:pPr>
        <w:pStyle w:val="paragraph"/>
        <w:spacing w:before="0" w:beforeAutospacing="0" w:after="0" w:afterAutospacing="0"/>
        <w:textAlignment w:val="baseline"/>
        <w:rPr>
          <w:rFonts w:ascii="Segoe UI" w:hAnsi="Segoe UI" w:cs="Segoe UI"/>
          <w:sz w:val="22"/>
          <w:szCs w:val="22"/>
        </w:rPr>
      </w:pPr>
      <w:r w:rsidRPr="001176A1">
        <w:rPr>
          <w:rStyle w:val="normaltextrun"/>
          <w:rFonts w:ascii="Calibri" w:hAnsi="Calibri" w:cs="Calibri"/>
          <w:color w:val="414042"/>
          <w:sz w:val="22"/>
          <w:szCs w:val="22"/>
        </w:rPr>
        <w:t xml:space="preserve">E: </w:t>
      </w:r>
      <w:hyperlink r:id="rId20" w:tgtFrame="_blank" w:history="1">
        <w:r w:rsidRPr="001176A1">
          <w:rPr>
            <w:rStyle w:val="normaltextrun"/>
            <w:rFonts w:ascii="Calibri" w:hAnsi="Calibri" w:cs="Calibri"/>
            <w:color w:val="0563C1"/>
            <w:sz w:val="22"/>
            <w:szCs w:val="22"/>
            <w:u w:val="single"/>
          </w:rPr>
          <w:t>psoutham@reputationedge.com.au</w:t>
        </w:r>
      </w:hyperlink>
      <w:r w:rsidRPr="001176A1">
        <w:rPr>
          <w:rStyle w:val="eop"/>
          <w:rFonts w:ascii="Calibri" w:hAnsi="Calibri" w:cs="Calibri"/>
          <w:color w:val="414042"/>
          <w:sz w:val="22"/>
          <w:szCs w:val="22"/>
        </w:rPr>
        <w:t> </w:t>
      </w:r>
    </w:p>
    <w:p w14:paraId="755D418F" w14:textId="77777777" w:rsidR="00080F00" w:rsidRPr="001176A1" w:rsidRDefault="00080F00" w:rsidP="00080F00">
      <w:pPr>
        <w:pStyle w:val="paragraph"/>
        <w:spacing w:before="0" w:beforeAutospacing="0" w:after="0" w:afterAutospacing="0"/>
        <w:textAlignment w:val="baseline"/>
        <w:rPr>
          <w:rFonts w:ascii="Segoe UI" w:hAnsi="Segoe UI" w:cs="Segoe UI"/>
          <w:sz w:val="22"/>
          <w:szCs w:val="22"/>
        </w:rPr>
      </w:pPr>
      <w:r w:rsidRPr="001176A1">
        <w:rPr>
          <w:rStyle w:val="normaltextrun"/>
          <w:rFonts w:ascii="Calibri" w:hAnsi="Calibri" w:cs="Calibri"/>
          <w:color w:val="414042"/>
          <w:sz w:val="22"/>
          <w:szCs w:val="22"/>
        </w:rPr>
        <w:t>M: 0419 415 998</w:t>
      </w:r>
      <w:r w:rsidRPr="001176A1">
        <w:rPr>
          <w:rStyle w:val="eop"/>
          <w:rFonts w:ascii="Calibri" w:hAnsi="Calibri" w:cs="Calibri"/>
          <w:sz w:val="22"/>
          <w:szCs w:val="22"/>
        </w:rPr>
        <w:t> </w:t>
      </w:r>
    </w:p>
    <w:p w14:paraId="389F7140" w14:textId="57C87B51" w:rsidR="00224C11" w:rsidRPr="00080F00" w:rsidRDefault="00224C11" w:rsidP="00527E6F">
      <w:pPr>
        <w:rPr>
          <w:b/>
          <w:bCs/>
          <w:lang w:val="en-AU"/>
        </w:rPr>
      </w:pPr>
    </w:p>
    <w:p w14:paraId="79E1222E" w14:textId="77777777" w:rsidR="000523D0" w:rsidRDefault="000523D0" w:rsidP="00F37ECB">
      <w:pPr>
        <w:spacing w:after="0" w:line="240" w:lineRule="auto"/>
        <w:rPr>
          <w:b/>
          <w:bCs/>
        </w:rPr>
        <w:sectPr w:rsidR="000523D0" w:rsidSect="008D4A79">
          <w:headerReference w:type="even" r:id="rId21"/>
          <w:headerReference w:type="default" r:id="rId22"/>
          <w:headerReference w:type="first" r:id="rId23"/>
          <w:pgSz w:w="11900" w:h="16839"/>
          <w:pgMar w:top="851" w:right="1588" w:bottom="1021" w:left="1021" w:header="709" w:footer="1026" w:gutter="0"/>
          <w:cols w:space="708"/>
          <w:titlePg/>
          <w:docGrid w:linePitch="360"/>
        </w:sectPr>
      </w:pPr>
    </w:p>
    <w:p w14:paraId="489495CC" w14:textId="77777777" w:rsidR="00595DC0" w:rsidRPr="00426E0C" w:rsidRDefault="00595DC0" w:rsidP="00595DC0">
      <w:pPr>
        <w:spacing w:before="120"/>
        <w:jc w:val="center"/>
        <w:rPr>
          <w:rFonts w:cstheme="minorHAnsi"/>
          <w:b/>
          <w:bCs/>
          <w:sz w:val="40"/>
          <w:szCs w:val="40"/>
        </w:rPr>
      </w:pPr>
      <w:r w:rsidRPr="00426E0C">
        <w:rPr>
          <w:rFonts w:cstheme="minorHAnsi"/>
          <w:b/>
          <w:bCs/>
          <w:sz w:val="40"/>
          <w:szCs w:val="40"/>
        </w:rPr>
        <w:lastRenderedPageBreak/>
        <w:t>Key facts in the 2023 Annual Progress Report</w:t>
      </w:r>
    </w:p>
    <w:p w14:paraId="07438B4E" w14:textId="77777777" w:rsidR="00595DC0" w:rsidRPr="00426E0C" w:rsidRDefault="00595DC0" w:rsidP="00595DC0">
      <w:pPr>
        <w:pStyle w:val="Default"/>
        <w:rPr>
          <w:rFonts w:asciiTheme="minorHAnsi" w:hAnsiTheme="minorHAnsi" w:cstheme="minorHAnsi"/>
          <w:b/>
          <w:bCs/>
          <w:sz w:val="28"/>
          <w:szCs w:val="28"/>
        </w:rPr>
      </w:pPr>
    </w:p>
    <w:p w14:paraId="572D8512" w14:textId="72BC0FC2" w:rsidR="00595DC0" w:rsidRPr="00595DC0" w:rsidRDefault="00595DC0" w:rsidP="00595DC0">
      <w:pPr>
        <w:pStyle w:val="Default"/>
        <w:spacing w:before="120" w:after="120" w:line="276" w:lineRule="auto"/>
        <w:rPr>
          <w:rFonts w:asciiTheme="minorHAnsi" w:hAnsiTheme="minorHAnsi" w:cstheme="minorHAnsi"/>
          <w:b/>
          <w:bCs/>
          <w:sz w:val="40"/>
          <w:szCs w:val="40"/>
        </w:rPr>
      </w:pPr>
      <w:r w:rsidRPr="00426E0C">
        <w:rPr>
          <w:rFonts w:asciiTheme="minorHAnsi" w:hAnsiTheme="minorHAnsi" w:cstheme="minorHAnsi"/>
          <w:b/>
          <w:bCs/>
          <w:sz w:val="40"/>
          <w:szCs w:val="40"/>
        </w:rPr>
        <w:t>Overview</w:t>
      </w:r>
    </w:p>
    <w:p w14:paraId="0856EFE4" w14:textId="77777777" w:rsidR="00595DC0" w:rsidRPr="00595DC0" w:rsidRDefault="00595DC0" w:rsidP="00595DC0">
      <w:pPr>
        <w:spacing w:before="120" w:line="276" w:lineRule="auto"/>
        <w:rPr>
          <w:rFonts w:cstheme="minorHAnsi"/>
          <w:sz w:val="22"/>
        </w:rPr>
      </w:pPr>
      <w:r w:rsidRPr="00595DC0">
        <w:rPr>
          <w:rFonts w:cstheme="minorHAnsi"/>
          <w:sz w:val="22"/>
        </w:rPr>
        <w:t xml:space="preserve">Australia emitted 467 million tonnes of CO2 in the year ending June 2023, an increase of one per cent, or 4 million tonnes, over the previous year. Overall, this is 116 million tonnes more than is required to meet the 2030 emission target. </w:t>
      </w:r>
    </w:p>
    <w:p w14:paraId="0A3DA3F8" w14:textId="77777777" w:rsidR="00595DC0" w:rsidRPr="00595DC0" w:rsidRDefault="00595DC0" w:rsidP="00595DC0">
      <w:pPr>
        <w:spacing w:before="120" w:line="276" w:lineRule="auto"/>
        <w:rPr>
          <w:rFonts w:cstheme="minorHAnsi"/>
          <w:sz w:val="22"/>
        </w:rPr>
      </w:pPr>
      <w:r w:rsidRPr="00595DC0">
        <w:rPr>
          <w:rFonts w:cstheme="minorHAnsi"/>
          <w:sz w:val="22"/>
        </w:rPr>
        <w:t xml:space="preserve">To achieve the 2030 target Australia will need to decarbonise at an average annual rate of 17 million tonnes </w:t>
      </w:r>
    </w:p>
    <w:p w14:paraId="0E67B895" w14:textId="6BC00AD6" w:rsidR="00595DC0" w:rsidRPr="00595DC0" w:rsidRDefault="00595DC0" w:rsidP="00595DC0">
      <w:pPr>
        <w:spacing w:before="120" w:line="276" w:lineRule="auto"/>
        <w:rPr>
          <w:rFonts w:cstheme="minorHAnsi"/>
          <w:sz w:val="22"/>
        </w:rPr>
      </w:pPr>
      <w:r w:rsidRPr="00595DC0">
        <w:rPr>
          <w:color w:val="151617"/>
          <w:sz w:val="22"/>
        </w:rPr>
        <w:t xml:space="preserve">The slight increase in Australia’s emissions during 2022–23 was driven by the ongoing increase in transport emissions following the COVID-19 pandemic, and the recovery of agricultural activity following drought conditions early in the current decade. </w:t>
      </w:r>
    </w:p>
    <w:p w14:paraId="3C20DE1B" w14:textId="77777777" w:rsidR="00595DC0" w:rsidRPr="00595DC0" w:rsidRDefault="00595DC0" w:rsidP="00595DC0">
      <w:pPr>
        <w:pStyle w:val="Default"/>
        <w:spacing w:before="120" w:after="120" w:line="276" w:lineRule="auto"/>
        <w:rPr>
          <w:rFonts w:asciiTheme="minorHAnsi" w:hAnsiTheme="minorHAnsi" w:cstheme="minorHAnsi"/>
          <w:b/>
          <w:bCs/>
          <w:sz w:val="40"/>
          <w:szCs w:val="40"/>
        </w:rPr>
      </w:pPr>
      <w:r w:rsidRPr="00595DC0">
        <w:rPr>
          <w:rFonts w:asciiTheme="minorHAnsi" w:hAnsiTheme="minorHAnsi" w:cstheme="minorHAnsi"/>
          <w:b/>
          <w:bCs/>
          <w:sz w:val="40"/>
          <w:szCs w:val="40"/>
        </w:rPr>
        <w:t>Emissions by sector</w:t>
      </w:r>
    </w:p>
    <w:p w14:paraId="53F59191" w14:textId="77777777" w:rsidR="00595DC0" w:rsidRPr="00595DC0" w:rsidRDefault="00595DC0" w:rsidP="00595DC0">
      <w:pPr>
        <w:spacing w:before="120" w:line="276" w:lineRule="auto"/>
        <w:rPr>
          <w:b/>
          <w:bCs/>
          <w:sz w:val="28"/>
          <w:szCs w:val="28"/>
        </w:rPr>
      </w:pPr>
      <w:r w:rsidRPr="00595DC0">
        <w:rPr>
          <w:b/>
          <w:bCs/>
          <w:sz w:val="28"/>
          <w:szCs w:val="28"/>
        </w:rPr>
        <w:t xml:space="preserve">Electricity </w:t>
      </w:r>
    </w:p>
    <w:p w14:paraId="0EDE46C3" w14:textId="77777777" w:rsidR="00595DC0" w:rsidRPr="00595DC0" w:rsidRDefault="00595DC0" w:rsidP="00595DC0">
      <w:pPr>
        <w:pStyle w:val="ListParagraph"/>
        <w:numPr>
          <w:ilvl w:val="0"/>
          <w:numId w:val="16"/>
        </w:numPr>
        <w:spacing w:before="120" w:line="276" w:lineRule="auto"/>
        <w:rPr>
          <w:rFonts w:cstheme="minorHAnsi"/>
          <w:sz w:val="22"/>
        </w:rPr>
      </w:pPr>
      <w:r w:rsidRPr="00595DC0">
        <w:rPr>
          <w:rFonts w:cstheme="minorHAnsi"/>
          <w:sz w:val="22"/>
        </w:rPr>
        <w:t>Electricity accounted for 152 million tonnes (around one-third of Australia’s emissions) in 2022-23, which was a 3.6% reduction compared to the previous year. The strong uptake of renewable energy generation, and the withdrawal of significant fossil fuel generation capacity, is driving the reduction in electricity sector emissions.</w:t>
      </w:r>
    </w:p>
    <w:p w14:paraId="004D6D94" w14:textId="20C971E2" w:rsidR="00595DC0" w:rsidRPr="00595DC0" w:rsidRDefault="00595DC0" w:rsidP="00595DC0">
      <w:pPr>
        <w:pStyle w:val="ListParagraph"/>
        <w:numPr>
          <w:ilvl w:val="0"/>
          <w:numId w:val="16"/>
        </w:numPr>
        <w:spacing w:before="120" w:line="276" w:lineRule="auto"/>
        <w:rPr>
          <w:rFonts w:cstheme="minorHAnsi"/>
          <w:sz w:val="22"/>
        </w:rPr>
      </w:pPr>
      <w:r w:rsidRPr="00595DC0">
        <w:rPr>
          <w:rFonts w:cstheme="minorHAnsi"/>
          <w:sz w:val="22"/>
        </w:rPr>
        <w:t xml:space="preserve">Australia is not on-track to meet the government’s 2030 target of 82% renewable electricity. Renewables accounted for 32% of Australia’s electricity generation in 2022. To meet the 82% renewables target electricity generation from solar and wind capacity in the national energy market needs to roughly double between now and June 2030. </w:t>
      </w:r>
    </w:p>
    <w:p w14:paraId="357165DD" w14:textId="77777777" w:rsidR="00595DC0" w:rsidRPr="00595DC0" w:rsidRDefault="00595DC0" w:rsidP="00595DC0">
      <w:pPr>
        <w:pStyle w:val="ListParagraph"/>
        <w:numPr>
          <w:ilvl w:val="0"/>
          <w:numId w:val="16"/>
        </w:numPr>
        <w:spacing w:before="120" w:line="276" w:lineRule="auto"/>
        <w:rPr>
          <w:rFonts w:cstheme="minorHAnsi"/>
          <w:sz w:val="22"/>
        </w:rPr>
      </w:pPr>
      <w:r w:rsidRPr="00595DC0">
        <w:rPr>
          <w:rFonts w:cstheme="minorHAnsi"/>
          <w:sz w:val="22"/>
        </w:rPr>
        <w:t xml:space="preserve">At least 3,612 km of new transmission infrastructure is needed by 2030 to support the additional renewable energy generation required to meet the 82% renewables generation target. </w:t>
      </w:r>
    </w:p>
    <w:p w14:paraId="5A5D915F" w14:textId="77777777" w:rsidR="00595DC0" w:rsidRPr="00595DC0" w:rsidRDefault="00595DC0" w:rsidP="00595DC0">
      <w:pPr>
        <w:pStyle w:val="ListParagraph"/>
        <w:numPr>
          <w:ilvl w:val="0"/>
          <w:numId w:val="16"/>
        </w:numPr>
        <w:spacing w:before="120" w:line="276" w:lineRule="auto"/>
        <w:rPr>
          <w:rFonts w:cstheme="minorHAnsi"/>
          <w:sz w:val="22"/>
        </w:rPr>
      </w:pPr>
      <w:r w:rsidRPr="00595DC0">
        <w:rPr>
          <w:rFonts w:cstheme="minorHAnsi"/>
          <w:sz w:val="22"/>
        </w:rPr>
        <w:t>The Australian Government has committed $20 billion into the Rewiring the Nation policy to upgrade and expand Australia’s transmission grid, of which $12 billion was allocated in the May 2023 budget.</w:t>
      </w:r>
    </w:p>
    <w:p w14:paraId="3311BED4" w14:textId="47E7FEB4" w:rsidR="00595DC0" w:rsidRPr="00595DC0" w:rsidRDefault="00595DC0" w:rsidP="00595DC0">
      <w:pPr>
        <w:spacing w:before="120" w:line="276" w:lineRule="auto"/>
        <w:rPr>
          <w:b/>
          <w:bCs/>
          <w:sz w:val="28"/>
          <w:szCs w:val="28"/>
        </w:rPr>
      </w:pPr>
      <w:r w:rsidRPr="00595DC0">
        <w:rPr>
          <w:b/>
          <w:bCs/>
          <w:sz w:val="28"/>
          <w:szCs w:val="28"/>
        </w:rPr>
        <w:t>Industry and resources</w:t>
      </w:r>
    </w:p>
    <w:p w14:paraId="4AD2A3F5" w14:textId="77777777" w:rsidR="00595DC0" w:rsidRPr="00595DC0" w:rsidRDefault="00595DC0" w:rsidP="00595DC0">
      <w:pPr>
        <w:pStyle w:val="ListParagraph"/>
        <w:numPr>
          <w:ilvl w:val="0"/>
          <w:numId w:val="16"/>
        </w:numPr>
        <w:spacing w:before="120" w:line="276" w:lineRule="auto"/>
        <w:rPr>
          <w:rFonts w:cstheme="minorHAnsi"/>
          <w:sz w:val="22"/>
        </w:rPr>
      </w:pPr>
      <w:r w:rsidRPr="00595DC0">
        <w:rPr>
          <w:rFonts w:cstheme="minorHAnsi"/>
          <w:sz w:val="22"/>
        </w:rPr>
        <w:t xml:space="preserve">Emissions from mining and manufacturing were 185 million tonnes, an increase of less than one per cent. Around 40% of Australia’s annual greenhouse gas emissions are produced in these sectors. </w:t>
      </w:r>
    </w:p>
    <w:p w14:paraId="0DE8B8C9" w14:textId="77777777" w:rsidR="00595DC0" w:rsidRPr="00595DC0" w:rsidRDefault="00595DC0" w:rsidP="00595DC0">
      <w:pPr>
        <w:pStyle w:val="ListParagraph"/>
        <w:numPr>
          <w:ilvl w:val="0"/>
          <w:numId w:val="16"/>
        </w:numPr>
        <w:spacing w:before="120" w:line="276" w:lineRule="auto"/>
        <w:rPr>
          <w:rFonts w:cstheme="minorHAnsi"/>
          <w:sz w:val="22"/>
        </w:rPr>
      </w:pPr>
      <w:r w:rsidRPr="00595DC0">
        <w:rPr>
          <w:rFonts w:cstheme="minorHAnsi"/>
          <w:sz w:val="22"/>
        </w:rPr>
        <w:t xml:space="preserve">Around 138 million tonnes of these emissions are produced by around 215 large facilities that are covered by the Australian Government’s recently reformed Safeguard Mechanism. Around 40% of Australia’s annual greenhouse gas emissions are produced in this these sectors. </w:t>
      </w:r>
    </w:p>
    <w:p w14:paraId="3405B523" w14:textId="77777777" w:rsidR="00595DC0" w:rsidRPr="00595DC0" w:rsidRDefault="00595DC0" w:rsidP="00595DC0">
      <w:pPr>
        <w:pStyle w:val="ListParagraph"/>
        <w:numPr>
          <w:ilvl w:val="0"/>
          <w:numId w:val="16"/>
        </w:numPr>
        <w:spacing w:before="120" w:line="276" w:lineRule="auto"/>
        <w:rPr>
          <w:rFonts w:cstheme="minorHAnsi"/>
          <w:sz w:val="22"/>
        </w:rPr>
      </w:pPr>
      <w:r w:rsidRPr="00595DC0">
        <w:rPr>
          <w:rFonts w:cstheme="minorHAnsi"/>
          <w:sz w:val="22"/>
        </w:rPr>
        <w:t>Fugitive emissions associated with coal and gas production alone produce 48 million tonnes of emissions in Australia</w:t>
      </w:r>
    </w:p>
    <w:p w14:paraId="37F6EA10" w14:textId="6B22BD85" w:rsidR="00595DC0" w:rsidRPr="00595DC0" w:rsidRDefault="00595DC0" w:rsidP="00595DC0">
      <w:pPr>
        <w:spacing w:before="120" w:line="276" w:lineRule="auto"/>
        <w:rPr>
          <w:b/>
          <w:bCs/>
          <w:sz w:val="28"/>
          <w:szCs w:val="28"/>
        </w:rPr>
      </w:pPr>
      <w:r>
        <w:rPr>
          <w:b/>
          <w:bCs/>
          <w:sz w:val="28"/>
          <w:szCs w:val="28"/>
        </w:rPr>
        <w:br/>
      </w:r>
      <w:r w:rsidRPr="00595DC0">
        <w:rPr>
          <w:b/>
          <w:bCs/>
          <w:sz w:val="28"/>
          <w:szCs w:val="28"/>
        </w:rPr>
        <w:lastRenderedPageBreak/>
        <w:t xml:space="preserve">Transport </w:t>
      </w:r>
    </w:p>
    <w:p w14:paraId="05250FC8" w14:textId="02562AC5" w:rsidR="00595DC0" w:rsidRPr="00595DC0" w:rsidRDefault="00595DC0" w:rsidP="00595DC0">
      <w:pPr>
        <w:pStyle w:val="ListParagraph"/>
        <w:numPr>
          <w:ilvl w:val="0"/>
          <w:numId w:val="16"/>
        </w:numPr>
        <w:spacing w:before="120" w:line="276" w:lineRule="auto"/>
        <w:rPr>
          <w:rFonts w:cstheme="minorHAnsi"/>
          <w:sz w:val="22"/>
        </w:rPr>
      </w:pPr>
      <w:r w:rsidRPr="00595DC0">
        <w:rPr>
          <w:rFonts w:cstheme="minorHAnsi"/>
          <w:sz w:val="22"/>
        </w:rPr>
        <w:t>Transport emissions were 98 million tonnes in 2022-23.</w:t>
      </w:r>
      <w:r>
        <w:rPr>
          <w:rFonts w:cstheme="minorHAnsi"/>
          <w:sz w:val="22"/>
        </w:rPr>
        <w:t xml:space="preserve"> </w:t>
      </w:r>
      <w:r w:rsidRPr="00595DC0">
        <w:rPr>
          <w:rFonts w:cstheme="minorHAnsi"/>
          <w:sz w:val="22"/>
        </w:rPr>
        <w:t xml:space="preserve">Over half of those emissions came from light vehicles such as cars, utes and SUVs, and these emissions are growing. </w:t>
      </w:r>
    </w:p>
    <w:p w14:paraId="68657494" w14:textId="71F63D47" w:rsidR="00595DC0" w:rsidRPr="00595DC0" w:rsidRDefault="00595DC0" w:rsidP="00595DC0">
      <w:pPr>
        <w:pStyle w:val="ListParagraph"/>
        <w:numPr>
          <w:ilvl w:val="0"/>
          <w:numId w:val="16"/>
        </w:numPr>
        <w:spacing w:before="120" w:line="276" w:lineRule="auto"/>
        <w:rPr>
          <w:rFonts w:cstheme="minorHAnsi"/>
          <w:sz w:val="22"/>
        </w:rPr>
      </w:pPr>
      <w:r w:rsidRPr="00595DC0">
        <w:rPr>
          <w:rFonts w:cstheme="minorHAnsi"/>
          <w:sz w:val="22"/>
        </w:rPr>
        <w:t>Australia imported over 1.2 million passenger vehicles in 2022-23, of which nearly 97,000 (7%) were electric vehicles, up from less than 1% in 2019. Electric vehicle imports as a proportion of all car imports have more than doubled every year since 2019.</w:t>
      </w:r>
    </w:p>
    <w:p w14:paraId="18277D76" w14:textId="23582968" w:rsidR="00595DC0" w:rsidRPr="00595DC0" w:rsidRDefault="00595DC0" w:rsidP="00595DC0">
      <w:pPr>
        <w:spacing w:before="120" w:line="276" w:lineRule="auto"/>
        <w:rPr>
          <w:b/>
          <w:bCs/>
          <w:sz w:val="28"/>
          <w:szCs w:val="28"/>
        </w:rPr>
      </w:pPr>
      <w:r w:rsidRPr="00C419B4">
        <w:rPr>
          <w:b/>
          <w:bCs/>
          <w:sz w:val="28"/>
          <w:szCs w:val="28"/>
        </w:rPr>
        <w:t xml:space="preserve">Agriculture </w:t>
      </w:r>
    </w:p>
    <w:p w14:paraId="3E04D216" w14:textId="77777777" w:rsidR="00595DC0" w:rsidRPr="00595DC0" w:rsidRDefault="00595DC0" w:rsidP="00595DC0">
      <w:pPr>
        <w:pStyle w:val="ListParagraph"/>
        <w:numPr>
          <w:ilvl w:val="0"/>
          <w:numId w:val="16"/>
        </w:numPr>
        <w:spacing w:before="120" w:line="276" w:lineRule="auto"/>
        <w:rPr>
          <w:rFonts w:cstheme="minorHAnsi"/>
          <w:sz w:val="22"/>
        </w:rPr>
      </w:pPr>
      <w:r w:rsidRPr="00595DC0">
        <w:rPr>
          <w:rFonts w:cstheme="minorHAnsi"/>
          <w:sz w:val="22"/>
        </w:rPr>
        <w:t xml:space="preserve">Agricultural emissions increased in 2022-23, from 79 to 82 million tonnes. This represents 18% of Australia’s total emissions. Livestock is the biggest contributor to agricultural emissions, with cattle contributing over half and other livestock another quarter. Around 80% of emissions from agriculture are methane emissions. </w:t>
      </w:r>
    </w:p>
    <w:p w14:paraId="45216721" w14:textId="50338955" w:rsidR="00595DC0" w:rsidRPr="00595DC0" w:rsidRDefault="00595DC0" w:rsidP="00595DC0">
      <w:pPr>
        <w:pStyle w:val="ListParagraph"/>
        <w:numPr>
          <w:ilvl w:val="0"/>
          <w:numId w:val="16"/>
        </w:numPr>
        <w:spacing w:before="120" w:line="276" w:lineRule="auto"/>
        <w:rPr>
          <w:rFonts w:cstheme="minorHAnsi"/>
          <w:sz w:val="22"/>
        </w:rPr>
      </w:pPr>
      <w:r w:rsidRPr="00595DC0">
        <w:rPr>
          <w:rFonts w:cstheme="minorHAnsi"/>
          <w:sz w:val="22"/>
        </w:rPr>
        <w:t>Most agricultural emissions are difficult for farmers to abate. Although new options are emerging, trends in agricultural emissions over the past decade have generally followed livestock numbers, which in turn track seasonal conditions. Emissions have been rising following the breaking of the drought in many areas in 2020.</w:t>
      </w:r>
    </w:p>
    <w:p w14:paraId="2D7E2692" w14:textId="77777777" w:rsidR="00595DC0" w:rsidRPr="00C419B4" w:rsidRDefault="00595DC0" w:rsidP="00595DC0">
      <w:pPr>
        <w:spacing w:before="120" w:line="276" w:lineRule="auto"/>
        <w:rPr>
          <w:b/>
          <w:bCs/>
          <w:sz w:val="28"/>
          <w:szCs w:val="28"/>
        </w:rPr>
      </w:pPr>
      <w:r w:rsidRPr="00C419B4">
        <w:rPr>
          <w:b/>
          <w:bCs/>
          <w:sz w:val="28"/>
          <w:szCs w:val="28"/>
        </w:rPr>
        <w:t>Waste sector</w:t>
      </w:r>
    </w:p>
    <w:p w14:paraId="5B9A70C0" w14:textId="1B4B58B4" w:rsidR="00595DC0" w:rsidRPr="00595DC0" w:rsidRDefault="00595DC0" w:rsidP="00595DC0">
      <w:pPr>
        <w:pStyle w:val="ListParagraph"/>
        <w:numPr>
          <w:ilvl w:val="0"/>
          <w:numId w:val="16"/>
        </w:numPr>
        <w:spacing w:before="120" w:line="276" w:lineRule="auto"/>
        <w:rPr>
          <w:rFonts w:cstheme="minorHAnsi"/>
          <w:sz w:val="22"/>
        </w:rPr>
      </w:pPr>
      <w:r w:rsidRPr="00595DC0">
        <w:rPr>
          <w:rFonts w:cstheme="minorHAnsi"/>
          <w:sz w:val="22"/>
        </w:rPr>
        <w:t xml:space="preserve">Greenhouse gas emissions from landfill, incineration and wastewater treatment have been relatively stable over the past decade. In 2022-23 they remained stable at 14 million tonnes. </w:t>
      </w:r>
    </w:p>
    <w:p w14:paraId="4EE45B0D" w14:textId="77777777" w:rsidR="00595DC0" w:rsidRPr="00C419B4" w:rsidRDefault="00595DC0" w:rsidP="00595DC0">
      <w:pPr>
        <w:spacing w:before="120" w:line="276" w:lineRule="auto"/>
        <w:rPr>
          <w:b/>
          <w:bCs/>
          <w:sz w:val="28"/>
          <w:szCs w:val="28"/>
        </w:rPr>
      </w:pPr>
      <w:r w:rsidRPr="00C419B4">
        <w:rPr>
          <w:b/>
          <w:bCs/>
          <w:sz w:val="28"/>
          <w:szCs w:val="28"/>
        </w:rPr>
        <w:t>Land use, land use change and forestry</w:t>
      </w:r>
    </w:p>
    <w:p w14:paraId="2985F1BE" w14:textId="77777777" w:rsidR="00595DC0" w:rsidRPr="00595DC0" w:rsidRDefault="00595DC0" w:rsidP="00595DC0">
      <w:pPr>
        <w:pStyle w:val="ListParagraph"/>
        <w:numPr>
          <w:ilvl w:val="0"/>
          <w:numId w:val="16"/>
        </w:numPr>
        <w:spacing w:before="120" w:line="276" w:lineRule="auto"/>
        <w:rPr>
          <w:rFonts w:cstheme="minorHAnsi"/>
          <w:sz w:val="22"/>
        </w:rPr>
      </w:pPr>
      <w:r w:rsidRPr="00595DC0">
        <w:rPr>
          <w:rFonts w:cstheme="minorHAnsi"/>
          <w:sz w:val="22"/>
        </w:rPr>
        <w:t xml:space="preserve">Australia’s land sector removed more carbon dioxide from the atmosphere than it released, resulting in net negative emissions of 64 million tonnes. This is equivalent to removing 14% of Australia’s national emissions. </w:t>
      </w:r>
    </w:p>
    <w:p w14:paraId="1297CEB5" w14:textId="77777777" w:rsidR="00595DC0" w:rsidRPr="00595DC0" w:rsidRDefault="00595DC0" w:rsidP="00595DC0">
      <w:pPr>
        <w:pStyle w:val="ListParagraph"/>
        <w:numPr>
          <w:ilvl w:val="0"/>
          <w:numId w:val="16"/>
        </w:numPr>
        <w:spacing w:before="120" w:line="276" w:lineRule="auto"/>
        <w:rPr>
          <w:rFonts w:cstheme="minorHAnsi"/>
          <w:sz w:val="22"/>
        </w:rPr>
      </w:pPr>
      <w:r w:rsidRPr="00595DC0">
        <w:rPr>
          <w:rFonts w:cstheme="minorHAnsi"/>
          <w:sz w:val="22"/>
        </w:rPr>
        <w:t>This reflects the long -term decline in land clearing and the influence of La Nina weather conditions.</w:t>
      </w:r>
    </w:p>
    <w:p w14:paraId="29AA90E6" w14:textId="1C709288" w:rsidR="00B903B0" w:rsidRPr="00F37ECB" w:rsidRDefault="00B903B0" w:rsidP="00F37ECB">
      <w:pPr>
        <w:spacing w:after="0" w:line="240" w:lineRule="auto"/>
        <w:rPr>
          <w:b/>
          <w:bCs/>
        </w:rPr>
      </w:pPr>
    </w:p>
    <w:sectPr w:rsidR="00B903B0" w:rsidRPr="00F37ECB" w:rsidSect="00595DC0">
      <w:headerReference w:type="even" r:id="rId24"/>
      <w:headerReference w:type="default" r:id="rId25"/>
      <w:headerReference w:type="first" r:id="rId26"/>
      <w:pgSz w:w="11900" w:h="16839"/>
      <w:pgMar w:top="709" w:right="1588" w:bottom="1021" w:left="1021" w:header="709" w:footer="10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C372" w14:textId="77777777" w:rsidR="00BD3555" w:rsidRDefault="00BD3555" w:rsidP="00FA1E33">
      <w:r>
        <w:separator/>
      </w:r>
    </w:p>
  </w:endnote>
  <w:endnote w:type="continuationSeparator" w:id="0">
    <w:p w14:paraId="4FE1A6AB" w14:textId="77777777" w:rsidR="00BD3555" w:rsidRDefault="00BD3555" w:rsidP="00FA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ambria"/>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TLAK+Calibri">
    <w:altName w:val="Arial"/>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7799" w14:textId="77777777" w:rsidR="008B4A6F" w:rsidRDefault="008B4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309B" w14:textId="3761BDEE" w:rsidR="00FA1E33" w:rsidRDefault="00FA1E33">
    <w:pPr>
      <w:pStyle w:val="Footer"/>
    </w:pPr>
    <w:r>
      <w:rPr>
        <w:noProof/>
        <w:lang w:val="en-AU" w:eastAsia="en-AU" w:bidi="ar-SA"/>
      </w:rPr>
      <w:drawing>
        <wp:anchor distT="0" distB="0" distL="114300" distR="114300" simplePos="0" relativeHeight="251659264" behindDoc="0" locked="0" layoutInCell="1" allowOverlap="1" wp14:anchorId="3BC012B3" wp14:editId="0A6A6CE1">
          <wp:simplePos x="0" y="0"/>
          <wp:positionH relativeFrom="page">
            <wp:posOffset>184382</wp:posOffset>
          </wp:positionH>
          <wp:positionV relativeFrom="page">
            <wp:posOffset>9698636</wp:posOffset>
          </wp:positionV>
          <wp:extent cx="7191000" cy="846000"/>
          <wp:effectExtent l="0" t="0" r="0" b="5080"/>
          <wp:wrapNone/>
          <wp:docPr id="300820531" name="Picture 30082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243 AGCCA Footer+Web-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191000" cy="84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CDD0" w14:textId="67C5AF3B" w:rsidR="003A50E4" w:rsidRDefault="003A50E4">
    <w:pPr>
      <w:pStyle w:val="Footer"/>
    </w:pPr>
    <w:r>
      <w:rPr>
        <w:noProof/>
        <w:lang w:val="en-AU" w:eastAsia="en-AU" w:bidi="ar-SA"/>
      </w:rPr>
      <w:drawing>
        <wp:anchor distT="0" distB="0" distL="114300" distR="114300" simplePos="0" relativeHeight="251661312" behindDoc="0" locked="0" layoutInCell="1" allowOverlap="1" wp14:anchorId="25E0550F" wp14:editId="3062D923">
          <wp:simplePos x="0" y="0"/>
          <wp:positionH relativeFrom="page">
            <wp:align>center</wp:align>
          </wp:positionH>
          <wp:positionV relativeFrom="page">
            <wp:posOffset>9791700</wp:posOffset>
          </wp:positionV>
          <wp:extent cx="7198360" cy="792480"/>
          <wp:effectExtent l="0" t="0" r="2540" b="7620"/>
          <wp:wrapNone/>
          <wp:docPr id="711521329" name="Picture 71152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6243 AGCCA Footer+Crest+Address.jpg"/>
                  <pic:cNvPicPr/>
                </pic:nvPicPr>
                <pic:blipFill>
                  <a:blip r:embed="rId1">
                    <a:extLst>
                      <a:ext uri="{28A0092B-C50C-407E-A947-70E740481C1C}">
                        <a14:useLocalDpi xmlns:a14="http://schemas.microsoft.com/office/drawing/2010/main" val="0"/>
                      </a:ext>
                    </a:extLst>
                  </a:blip>
                  <a:stretch>
                    <a:fillRect/>
                  </a:stretch>
                </pic:blipFill>
                <pic:spPr>
                  <a:xfrm>
                    <a:off x="0" y="0"/>
                    <a:ext cx="7198498" cy="7924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67A7" w14:textId="77777777" w:rsidR="00BD3555" w:rsidRDefault="00BD3555" w:rsidP="00FA1E33">
      <w:r>
        <w:separator/>
      </w:r>
    </w:p>
  </w:footnote>
  <w:footnote w:type="continuationSeparator" w:id="0">
    <w:p w14:paraId="110735CE" w14:textId="77777777" w:rsidR="00BD3555" w:rsidRDefault="00BD3555" w:rsidP="00FA1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A449" w14:textId="6B824113" w:rsidR="008B4A6F" w:rsidRDefault="008B4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65C5" w14:textId="7F075A74" w:rsidR="008B4A6F" w:rsidRDefault="008B4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9114" w14:textId="277FC3AB" w:rsidR="003A50E4" w:rsidRDefault="003A50E4">
    <w:pPr>
      <w:pStyle w:val="Header"/>
    </w:pPr>
    <w:r>
      <w:rPr>
        <w:noProof/>
        <w:lang w:val="en-AU" w:eastAsia="en-AU" w:bidi="ar-SA"/>
      </w:rPr>
      <w:drawing>
        <wp:anchor distT="0" distB="0" distL="114300" distR="114300" simplePos="0" relativeHeight="251660288" behindDoc="0" locked="0" layoutInCell="1" allowOverlap="1" wp14:anchorId="092B8341" wp14:editId="1C458F0F">
          <wp:simplePos x="0" y="0"/>
          <wp:positionH relativeFrom="page">
            <wp:posOffset>180340</wp:posOffset>
          </wp:positionH>
          <wp:positionV relativeFrom="page">
            <wp:posOffset>180340</wp:posOffset>
          </wp:positionV>
          <wp:extent cx="7200000" cy="2361600"/>
          <wp:effectExtent l="0" t="0" r="1270" b="635"/>
          <wp:wrapNone/>
          <wp:docPr id="2017863940" name="Picture 201786394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6243 AGCCA Header-05.jpg"/>
                  <pic:cNvPicPr/>
                </pic:nvPicPr>
                <pic:blipFill>
                  <a:blip r:embed="rId1">
                    <a:extLst>
                      <a:ext uri="{28A0092B-C50C-407E-A947-70E740481C1C}">
                        <a14:useLocalDpi xmlns:a14="http://schemas.microsoft.com/office/drawing/2010/main" val="0"/>
                      </a:ext>
                    </a:extLst>
                  </a:blip>
                  <a:stretch>
                    <a:fillRect/>
                  </a:stretch>
                </pic:blipFill>
                <pic:spPr>
                  <a:xfrm>
                    <a:off x="0" y="0"/>
                    <a:ext cx="7200000" cy="236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B4A" w14:textId="468E553C" w:rsidR="008B4A6F" w:rsidRDefault="008B4A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B009" w14:textId="5D68BAF5" w:rsidR="008B4A6F" w:rsidRDefault="008B4A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568F" w14:textId="58260B5A" w:rsidR="008D4A79" w:rsidRDefault="008D4A7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C1F4" w14:textId="4881AE77" w:rsidR="008B4A6F" w:rsidRDefault="008B4A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ECC4" w14:textId="320EE512" w:rsidR="008B4A6F" w:rsidRDefault="008B4A6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C90D" w14:textId="15D932E1" w:rsidR="008D4A79" w:rsidRDefault="008D4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B86EC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470B3"/>
    <w:multiLevelType w:val="hybridMultilevel"/>
    <w:tmpl w:val="C5841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42B25"/>
    <w:multiLevelType w:val="hybridMultilevel"/>
    <w:tmpl w:val="E708D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9A4372"/>
    <w:multiLevelType w:val="hybridMultilevel"/>
    <w:tmpl w:val="B97449A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0E0148"/>
    <w:multiLevelType w:val="hybridMultilevel"/>
    <w:tmpl w:val="BFC0D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0C6081"/>
    <w:multiLevelType w:val="multilevel"/>
    <w:tmpl w:val="E2CA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5136F5"/>
    <w:multiLevelType w:val="hybridMultilevel"/>
    <w:tmpl w:val="45D0B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E039A5"/>
    <w:multiLevelType w:val="hybridMultilevel"/>
    <w:tmpl w:val="49769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F9444A"/>
    <w:multiLevelType w:val="multilevel"/>
    <w:tmpl w:val="2E44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B55731"/>
    <w:multiLevelType w:val="multilevel"/>
    <w:tmpl w:val="8F9C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7A5FA0"/>
    <w:multiLevelType w:val="multilevel"/>
    <w:tmpl w:val="6DF6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0E2C84"/>
    <w:multiLevelType w:val="multilevel"/>
    <w:tmpl w:val="EDB2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862E0E"/>
    <w:multiLevelType w:val="multilevel"/>
    <w:tmpl w:val="3A3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015A82"/>
    <w:multiLevelType w:val="multilevel"/>
    <w:tmpl w:val="CFB2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1B5F57"/>
    <w:multiLevelType w:val="hybridMultilevel"/>
    <w:tmpl w:val="AFF4D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5629498">
    <w:abstractNumId w:val="0"/>
  </w:num>
  <w:num w:numId="2" w16cid:durableId="1835561643">
    <w:abstractNumId w:val="0"/>
  </w:num>
  <w:num w:numId="3" w16cid:durableId="486362811">
    <w:abstractNumId w:val="5"/>
  </w:num>
  <w:num w:numId="4" w16cid:durableId="340812360">
    <w:abstractNumId w:val="8"/>
  </w:num>
  <w:num w:numId="5" w16cid:durableId="1074473232">
    <w:abstractNumId w:val="12"/>
  </w:num>
  <w:num w:numId="6" w16cid:durableId="259606863">
    <w:abstractNumId w:val="11"/>
  </w:num>
  <w:num w:numId="7" w16cid:durableId="973026853">
    <w:abstractNumId w:val="9"/>
  </w:num>
  <w:num w:numId="8" w16cid:durableId="1102604854">
    <w:abstractNumId w:val="10"/>
  </w:num>
  <w:num w:numId="9" w16cid:durableId="705373095">
    <w:abstractNumId w:val="13"/>
  </w:num>
  <w:num w:numId="10" w16cid:durableId="958101190">
    <w:abstractNumId w:val="3"/>
  </w:num>
  <w:num w:numId="11" w16cid:durableId="413209109">
    <w:abstractNumId w:val="6"/>
  </w:num>
  <w:num w:numId="12" w16cid:durableId="2014792230">
    <w:abstractNumId w:val="7"/>
  </w:num>
  <w:num w:numId="13" w16cid:durableId="30229344">
    <w:abstractNumId w:val="2"/>
  </w:num>
  <w:num w:numId="14" w16cid:durableId="958148026">
    <w:abstractNumId w:val="14"/>
  </w:num>
  <w:num w:numId="15" w16cid:durableId="1167791244">
    <w:abstractNumId w:val="1"/>
  </w:num>
  <w:num w:numId="16" w16cid:durableId="817527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E33"/>
    <w:rsid w:val="000523D0"/>
    <w:rsid w:val="00080F00"/>
    <w:rsid w:val="000C194F"/>
    <w:rsid w:val="000F6FB4"/>
    <w:rsid w:val="00103767"/>
    <w:rsid w:val="001176A1"/>
    <w:rsid w:val="00141C2C"/>
    <w:rsid w:val="0014350E"/>
    <w:rsid w:val="00184387"/>
    <w:rsid w:val="00197317"/>
    <w:rsid w:val="00224C11"/>
    <w:rsid w:val="00243333"/>
    <w:rsid w:val="002850E3"/>
    <w:rsid w:val="0035634B"/>
    <w:rsid w:val="0039232C"/>
    <w:rsid w:val="00393124"/>
    <w:rsid w:val="003A50E4"/>
    <w:rsid w:val="003B472F"/>
    <w:rsid w:val="003C56DC"/>
    <w:rsid w:val="003E1F4A"/>
    <w:rsid w:val="004B367F"/>
    <w:rsid w:val="004C6456"/>
    <w:rsid w:val="004F5469"/>
    <w:rsid w:val="00502F53"/>
    <w:rsid w:val="00527E6F"/>
    <w:rsid w:val="00532125"/>
    <w:rsid w:val="00595DC0"/>
    <w:rsid w:val="005D7155"/>
    <w:rsid w:val="00623BAF"/>
    <w:rsid w:val="00690435"/>
    <w:rsid w:val="00690F86"/>
    <w:rsid w:val="00717F75"/>
    <w:rsid w:val="00744B08"/>
    <w:rsid w:val="00753EBF"/>
    <w:rsid w:val="00757338"/>
    <w:rsid w:val="00782297"/>
    <w:rsid w:val="007E319F"/>
    <w:rsid w:val="008345CD"/>
    <w:rsid w:val="008767AD"/>
    <w:rsid w:val="008B4A6F"/>
    <w:rsid w:val="008C19C0"/>
    <w:rsid w:val="008D4A79"/>
    <w:rsid w:val="008D78D2"/>
    <w:rsid w:val="0094039F"/>
    <w:rsid w:val="00982755"/>
    <w:rsid w:val="00997459"/>
    <w:rsid w:val="009A7471"/>
    <w:rsid w:val="009D1187"/>
    <w:rsid w:val="00A33B1F"/>
    <w:rsid w:val="00A61A1D"/>
    <w:rsid w:val="00A63EE4"/>
    <w:rsid w:val="00A75E67"/>
    <w:rsid w:val="00AC31E1"/>
    <w:rsid w:val="00B2162B"/>
    <w:rsid w:val="00B53563"/>
    <w:rsid w:val="00B76ADA"/>
    <w:rsid w:val="00B903B0"/>
    <w:rsid w:val="00BB109C"/>
    <w:rsid w:val="00BD3555"/>
    <w:rsid w:val="00C51C41"/>
    <w:rsid w:val="00C903A1"/>
    <w:rsid w:val="00DA55DA"/>
    <w:rsid w:val="00DC0A84"/>
    <w:rsid w:val="00DD56F8"/>
    <w:rsid w:val="00E21D4B"/>
    <w:rsid w:val="00E23393"/>
    <w:rsid w:val="00E64CF4"/>
    <w:rsid w:val="00E83E58"/>
    <w:rsid w:val="00E9105C"/>
    <w:rsid w:val="00EA475C"/>
    <w:rsid w:val="00EA6AF3"/>
    <w:rsid w:val="00F37ECB"/>
    <w:rsid w:val="00F534AB"/>
    <w:rsid w:val="00FA1E33"/>
    <w:rsid w:val="00FA76DA"/>
    <w:rsid w:val="00FB56D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52E31"/>
  <w14:defaultImageDpi w14:val="32767"/>
  <w15:chartTrackingRefBased/>
  <w15:docId w15:val="{88CAA6E6-4874-3E49-94D1-1F8E3C3F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yriad Pr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uiPriority w:val="1"/>
    <w:qFormat/>
    <w:rsid w:val="00E21D4B"/>
    <w:pPr>
      <w:spacing w:after="120" w:line="240" w:lineRule="exact"/>
    </w:pPr>
    <w:rPr>
      <w:rFonts w:ascii="Calibri" w:hAnsi="Calibri" w:cs="Myriad Pro"/>
      <w:sz w:val="21"/>
      <w:lang w:bidi="en-US"/>
    </w:rPr>
  </w:style>
  <w:style w:type="paragraph" w:styleId="Heading1">
    <w:name w:val="heading 1"/>
    <w:aliases w:val="HPV Heading 1"/>
    <w:basedOn w:val="Normal"/>
    <w:next w:val="Normal"/>
    <w:link w:val="Heading1Char"/>
    <w:uiPriority w:val="9"/>
    <w:qFormat/>
    <w:rsid w:val="00FA1E33"/>
    <w:pPr>
      <w:keepNext/>
      <w:keepLines/>
      <w:spacing w:before="240"/>
      <w:outlineLvl w:val="0"/>
    </w:pPr>
    <w:rPr>
      <w:rFonts w:ascii="Arial" w:eastAsiaTheme="majorEastAsia" w:hAnsi="Arial" w:cs="Times New Roman (Headings CS)"/>
      <w:b/>
      <w:color w:val="FFFFFF" w:themeColor="background1"/>
      <w:sz w:val="60"/>
      <w:szCs w:val="32"/>
    </w:rPr>
  </w:style>
  <w:style w:type="paragraph" w:styleId="Heading2">
    <w:name w:val="heading 2"/>
    <w:basedOn w:val="Normal"/>
    <w:next w:val="Normal"/>
    <w:link w:val="Heading2Char"/>
    <w:uiPriority w:val="9"/>
    <w:unhideWhenUsed/>
    <w:qFormat/>
    <w:rsid w:val="004B367F"/>
    <w:pPr>
      <w:keepNext/>
      <w:keepLines/>
      <w:spacing w:before="160" w:line="200" w:lineRule="exact"/>
      <w:outlineLvl w:val="1"/>
    </w:pPr>
    <w:rPr>
      <w:rFonts w:ascii="Arial" w:eastAsiaTheme="majorEastAsia" w:hAnsi="Arial" w:cs="Times New Roman (Headings CS)"/>
      <w:b/>
      <w:color w:val="FFFFFF" w:themeColor="background1"/>
      <w:sz w:val="20"/>
      <w:szCs w:val="26"/>
    </w:rPr>
  </w:style>
  <w:style w:type="paragraph" w:styleId="Heading3">
    <w:name w:val="heading 3"/>
    <w:basedOn w:val="Normal"/>
    <w:next w:val="Normal"/>
    <w:link w:val="Heading3Char"/>
    <w:uiPriority w:val="9"/>
    <w:unhideWhenUsed/>
    <w:qFormat/>
    <w:rsid w:val="00527E6F"/>
    <w:pPr>
      <w:keepNext/>
      <w:keepLines/>
      <w:spacing w:before="40" w:after="0"/>
      <w:outlineLvl w:val="2"/>
    </w:pPr>
    <w:rPr>
      <w:rFonts w:asciiTheme="minorHAnsi" w:eastAsiaTheme="majorEastAsia" w:hAnsiTheme="minorHAnsi" w:cstheme="majorBidi"/>
      <w:color w:val="00B6D9"/>
      <w:sz w:val="2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PV Heading 1 Char"/>
    <w:basedOn w:val="DefaultParagraphFont"/>
    <w:link w:val="Heading1"/>
    <w:uiPriority w:val="9"/>
    <w:rsid w:val="00FA1E33"/>
    <w:rPr>
      <w:rFonts w:ascii="Arial" w:eastAsiaTheme="majorEastAsia" w:hAnsi="Arial" w:cs="Times New Roman (Headings CS)"/>
      <w:b/>
      <w:color w:val="FFFFFF" w:themeColor="background1"/>
      <w:sz w:val="60"/>
      <w:szCs w:val="32"/>
      <w:lang w:bidi="en-US"/>
    </w:rPr>
  </w:style>
  <w:style w:type="paragraph" w:styleId="Title">
    <w:name w:val="Title"/>
    <w:basedOn w:val="Normal"/>
    <w:next w:val="Normal"/>
    <w:link w:val="TitleChar"/>
    <w:uiPriority w:val="10"/>
    <w:qFormat/>
    <w:rsid w:val="003563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34B"/>
    <w:rPr>
      <w:rFonts w:asciiTheme="majorHAnsi" w:eastAsiaTheme="majorEastAsia" w:hAnsiTheme="majorHAnsi" w:cstheme="majorBidi"/>
      <w:spacing w:val="-10"/>
      <w:kern w:val="28"/>
      <w:sz w:val="56"/>
      <w:szCs w:val="56"/>
      <w:lang w:bidi="en-US"/>
    </w:rPr>
  </w:style>
  <w:style w:type="paragraph" w:styleId="Subtitle">
    <w:name w:val="Subtitle"/>
    <w:aliases w:val="HPV Subtitle"/>
    <w:basedOn w:val="Normal"/>
    <w:next w:val="Normal"/>
    <w:link w:val="SubtitleChar"/>
    <w:uiPriority w:val="11"/>
    <w:qFormat/>
    <w:rsid w:val="0035634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aliases w:val="HPV Subtitle Char"/>
    <w:basedOn w:val="DefaultParagraphFont"/>
    <w:link w:val="Subtitle"/>
    <w:uiPriority w:val="11"/>
    <w:rsid w:val="0035634B"/>
    <w:rPr>
      <w:rFonts w:eastAsiaTheme="minorEastAsia"/>
      <w:color w:val="5A5A5A" w:themeColor="text1" w:themeTint="A5"/>
      <w:spacing w:val="15"/>
      <w:lang w:bidi="en-US"/>
    </w:rPr>
  </w:style>
  <w:style w:type="paragraph" w:customStyle="1" w:styleId="NoteLevel2">
    <w:name w:val="Note Level 2"/>
    <w:basedOn w:val="Normal"/>
    <w:uiPriority w:val="1"/>
    <w:rsid w:val="0035634B"/>
    <w:pPr>
      <w:keepNext/>
      <w:numPr>
        <w:ilvl w:val="1"/>
        <w:numId w:val="2"/>
      </w:numPr>
      <w:contextualSpacing/>
      <w:outlineLvl w:val="1"/>
    </w:pPr>
    <w:rPr>
      <w:rFonts w:ascii="Verdana" w:hAnsi="Verdana"/>
    </w:rPr>
  </w:style>
  <w:style w:type="paragraph" w:customStyle="1" w:styleId="TableParagraph">
    <w:name w:val="Table Paragraph"/>
    <w:basedOn w:val="Normal"/>
    <w:uiPriority w:val="1"/>
    <w:qFormat/>
    <w:rsid w:val="00623BAF"/>
  </w:style>
  <w:style w:type="paragraph" w:styleId="BodyText">
    <w:name w:val="Body Text"/>
    <w:basedOn w:val="Normal"/>
    <w:link w:val="BodyTextChar"/>
    <w:uiPriority w:val="1"/>
    <w:qFormat/>
    <w:rsid w:val="00C903A1"/>
    <w:pPr>
      <w:pBdr>
        <w:bottom w:val="single" w:sz="4" w:space="0" w:color="auto"/>
        <w:between w:val="single" w:sz="4" w:space="2" w:color="auto"/>
      </w:pBdr>
      <w:tabs>
        <w:tab w:val="left" w:pos="1134"/>
      </w:tabs>
      <w:spacing w:before="120"/>
      <w:textboxTightWrap w:val="allLines"/>
    </w:pPr>
    <w:rPr>
      <w:noProof/>
      <w:color w:val="000000" w:themeColor="text1"/>
      <w:szCs w:val="20"/>
    </w:rPr>
  </w:style>
  <w:style w:type="character" w:customStyle="1" w:styleId="BodyTextChar">
    <w:name w:val="Body Text Char"/>
    <w:basedOn w:val="DefaultParagraphFont"/>
    <w:link w:val="BodyText"/>
    <w:uiPriority w:val="1"/>
    <w:rsid w:val="00C903A1"/>
    <w:rPr>
      <w:rFonts w:ascii="Calibri" w:hAnsi="Calibri" w:cs="Myriad Pro"/>
      <w:noProof/>
      <w:color w:val="000000" w:themeColor="text1"/>
      <w:sz w:val="21"/>
      <w:szCs w:val="20"/>
      <w:lang w:bidi="en-US"/>
    </w:rPr>
  </w:style>
  <w:style w:type="paragraph" w:styleId="ListParagraph">
    <w:name w:val="List Paragraph"/>
    <w:basedOn w:val="Normal"/>
    <w:uiPriority w:val="34"/>
    <w:qFormat/>
    <w:rsid w:val="00623BAF"/>
  </w:style>
  <w:style w:type="paragraph" w:styleId="Header">
    <w:name w:val="header"/>
    <w:basedOn w:val="Normal"/>
    <w:link w:val="HeaderChar"/>
    <w:uiPriority w:val="99"/>
    <w:unhideWhenUsed/>
    <w:rsid w:val="00FA1E33"/>
    <w:pPr>
      <w:tabs>
        <w:tab w:val="center" w:pos="4513"/>
        <w:tab w:val="right" w:pos="9026"/>
      </w:tabs>
    </w:pPr>
  </w:style>
  <w:style w:type="character" w:customStyle="1" w:styleId="HeaderChar">
    <w:name w:val="Header Char"/>
    <w:basedOn w:val="DefaultParagraphFont"/>
    <w:link w:val="Header"/>
    <w:uiPriority w:val="99"/>
    <w:rsid w:val="00FA1E33"/>
    <w:rPr>
      <w:rFonts w:ascii="Myriad Pro" w:hAnsi="Myriad Pro" w:cs="Myriad Pro"/>
      <w:lang w:bidi="en-US"/>
    </w:rPr>
  </w:style>
  <w:style w:type="paragraph" w:styleId="Footer">
    <w:name w:val="footer"/>
    <w:basedOn w:val="Normal"/>
    <w:link w:val="FooterChar"/>
    <w:uiPriority w:val="99"/>
    <w:unhideWhenUsed/>
    <w:rsid w:val="00FA1E33"/>
    <w:pPr>
      <w:tabs>
        <w:tab w:val="center" w:pos="4513"/>
        <w:tab w:val="right" w:pos="9026"/>
      </w:tabs>
    </w:pPr>
  </w:style>
  <w:style w:type="character" w:customStyle="1" w:styleId="FooterChar">
    <w:name w:val="Footer Char"/>
    <w:basedOn w:val="DefaultParagraphFont"/>
    <w:link w:val="Footer"/>
    <w:uiPriority w:val="99"/>
    <w:rsid w:val="00FA1E33"/>
    <w:rPr>
      <w:rFonts w:ascii="Myriad Pro" w:hAnsi="Myriad Pro" w:cs="Myriad Pro"/>
      <w:lang w:bidi="en-US"/>
    </w:rPr>
  </w:style>
  <w:style w:type="character" w:customStyle="1" w:styleId="Heading2Char">
    <w:name w:val="Heading 2 Char"/>
    <w:basedOn w:val="DefaultParagraphFont"/>
    <w:link w:val="Heading2"/>
    <w:uiPriority w:val="9"/>
    <w:rsid w:val="004B367F"/>
    <w:rPr>
      <w:rFonts w:ascii="Arial" w:eastAsiaTheme="majorEastAsia" w:hAnsi="Arial" w:cs="Times New Roman (Headings CS)"/>
      <w:b/>
      <w:color w:val="FFFFFF" w:themeColor="background1"/>
      <w:sz w:val="20"/>
      <w:szCs w:val="26"/>
      <w:lang w:bidi="en-US"/>
    </w:rPr>
  </w:style>
  <w:style w:type="paragraph" w:styleId="NoSpacing">
    <w:name w:val="No Spacing"/>
    <w:uiPriority w:val="1"/>
    <w:qFormat/>
    <w:rsid w:val="00E64CF4"/>
    <w:rPr>
      <w:rFonts w:ascii="Myriad Pro" w:hAnsi="Myriad Pro" w:cs="Myriad Pro"/>
      <w:lang w:bidi="en-US"/>
    </w:rPr>
  </w:style>
  <w:style w:type="paragraph" w:customStyle="1" w:styleId="Default">
    <w:name w:val="Default"/>
    <w:rsid w:val="00527E6F"/>
    <w:pPr>
      <w:widowControl/>
      <w:adjustRightInd w:val="0"/>
    </w:pPr>
    <w:rPr>
      <w:rFonts w:ascii="GATLAK+Calibri" w:hAnsi="GATLAK+Calibri" w:cs="GATLAK+Calibri"/>
      <w:color w:val="000000"/>
      <w:sz w:val="24"/>
      <w:szCs w:val="24"/>
      <w:lang w:val="en-GB"/>
    </w:rPr>
  </w:style>
  <w:style w:type="character" w:styleId="Hyperlink">
    <w:name w:val="Hyperlink"/>
    <w:basedOn w:val="DefaultParagraphFont"/>
    <w:uiPriority w:val="99"/>
    <w:unhideWhenUsed/>
    <w:rsid w:val="00527E6F"/>
    <w:rPr>
      <w:color w:val="0000FF" w:themeColor="hyperlink"/>
      <w:u w:val="single"/>
    </w:rPr>
  </w:style>
  <w:style w:type="character" w:customStyle="1" w:styleId="UnresolvedMention1">
    <w:name w:val="Unresolved Mention1"/>
    <w:basedOn w:val="DefaultParagraphFont"/>
    <w:uiPriority w:val="99"/>
    <w:rsid w:val="00527E6F"/>
    <w:rPr>
      <w:color w:val="605E5C"/>
      <w:shd w:val="clear" w:color="auto" w:fill="E1DFDD"/>
    </w:rPr>
  </w:style>
  <w:style w:type="character" w:customStyle="1" w:styleId="Heading3Char">
    <w:name w:val="Heading 3 Char"/>
    <w:basedOn w:val="DefaultParagraphFont"/>
    <w:link w:val="Heading3"/>
    <w:uiPriority w:val="9"/>
    <w:rsid w:val="00527E6F"/>
    <w:rPr>
      <w:rFonts w:eastAsiaTheme="majorEastAsia" w:cstheme="majorBidi"/>
      <w:color w:val="00B6D9"/>
      <w:sz w:val="29"/>
      <w:szCs w:val="24"/>
      <w:lang w:bidi="en-US"/>
    </w:rPr>
  </w:style>
  <w:style w:type="paragraph" w:customStyle="1" w:styleId="paragraph">
    <w:name w:val="paragraph"/>
    <w:basedOn w:val="Normal"/>
    <w:rsid w:val="00E21D4B"/>
    <w:pPr>
      <w:widowControl/>
      <w:autoSpaceDE/>
      <w:autoSpaceDN/>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character" w:customStyle="1" w:styleId="wacimagecontainer">
    <w:name w:val="wacimagecontainer"/>
    <w:basedOn w:val="DefaultParagraphFont"/>
    <w:rsid w:val="00E21D4B"/>
  </w:style>
  <w:style w:type="character" w:customStyle="1" w:styleId="eop">
    <w:name w:val="eop"/>
    <w:basedOn w:val="DefaultParagraphFont"/>
    <w:rsid w:val="00E21D4B"/>
  </w:style>
  <w:style w:type="character" w:customStyle="1" w:styleId="normaltextrun">
    <w:name w:val="normaltextrun"/>
    <w:basedOn w:val="DefaultParagraphFont"/>
    <w:rsid w:val="00E21D4B"/>
  </w:style>
  <w:style w:type="character" w:styleId="UnresolvedMention">
    <w:name w:val="Unresolved Mention"/>
    <w:basedOn w:val="DefaultParagraphFont"/>
    <w:uiPriority w:val="99"/>
    <w:semiHidden/>
    <w:unhideWhenUsed/>
    <w:rsid w:val="0039232C"/>
    <w:rPr>
      <w:color w:val="605E5C"/>
      <w:shd w:val="clear" w:color="auto" w:fill="E1DFDD"/>
    </w:rPr>
  </w:style>
  <w:style w:type="character" w:styleId="FollowedHyperlink">
    <w:name w:val="FollowedHyperlink"/>
    <w:basedOn w:val="DefaultParagraphFont"/>
    <w:uiPriority w:val="99"/>
    <w:semiHidden/>
    <w:unhideWhenUsed/>
    <w:rsid w:val="003923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91517">
      <w:bodyDiv w:val="1"/>
      <w:marLeft w:val="0"/>
      <w:marRight w:val="0"/>
      <w:marTop w:val="0"/>
      <w:marBottom w:val="0"/>
      <w:divBdr>
        <w:top w:val="none" w:sz="0" w:space="0" w:color="auto"/>
        <w:left w:val="none" w:sz="0" w:space="0" w:color="auto"/>
        <w:bottom w:val="none" w:sz="0" w:space="0" w:color="auto"/>
        <w:right w:val="none" w:sz="0" w:space="0" w:color="auto"/>
      </w:divBdr>
      <w:divsChild>
        <w:div w:id="1997687348">
          <w:marLeft w:val="0"/>
          <w:marRight w:val="0"/>
          <w:marTop w:val="0"/>
          <w:marBottom w:val="0"/>
          <w:divBdr>
            <w:top w:val="none" w:sz="0" w:space="0" w:color="auto"/>
            <w:left w:val="none" w:sz="0" w:space="0" w:color="auto"/>
            <w:bottom w:val="none" w:sz="0" w:space="0" w:color="auto"/>
            <w:right w:val="none" w:sz="0" w:space="0" w:color="auto"/>
          </w:divBdr>
        </w:div>
        <w:div w:id="996230050">
          <w:marLeft w:val="0"/>
          <w:marRight w:val="0"/>
          <w:marTop w:val="0"/>
          <w:marBottom w:val="0"/>
          <w:divBdr>
            <w:top w:val="none" w:sz="0" w:space="0" w:color="auto"/>
            <w:left w:val="none" w:sz="0" w:space="0" w:color="auto"/>
            <w:bottom w:val="none" w:sz="0" w:space="0" w:color="auto"/>
            <w:right w:val="none" w:sz="0" w:space="0" w:color="auto"/>
          </w:divBdr>
        </w:div>
        <w:div w:id="786512265">
          <w:marLeft w:val="0"/>
          <w:marRight w:val="0"/>
          <w:marTop w:val="0"/>
          <w:marBottom w:val="0"/>
          <w:divBdr>
            <w:top w:val="none" w:sz="0" w:space="0" w:color="auto"/>
            <w:left w:val="none" w:sz="0" w:space="0" w:color="auto"/>
            <w:bottom w:val="none" w:sz="0" w:space="0" w:color="auto"/>
            <w:right w:val="none" w:sz="0" w:space="0" w:color="auto"/>
          </w:divBdr>
        </w:div>
        <w:div w:id="1199011301">
          <w:marLeft w:val="0"/>
          <w:marRight w:val="0"/>
          <w:marTop w:val="0"/>
          <w:marBottom w:val="0"/>
          <w:divBdr>
            <w:top w:val="none" w:sz="0" w:space="0" w:color="auto"/>
            <w:left w:val="none" w:sz="0" w:space="0" w:color="auto"/>
            <w:bottom w:val="none" w:sz="0" w:space="0" w:color="auto"/>
            <w:right w:val="none" w:sz="0" w:space="0" w:color="auto"/>
          </w:divBdr>
        </w:div>
        <w:div w:id="147478852">
          <w:marLeft w:val="0"/>
          <w:marRight w:val="0"/>
          <w:marTop w:val="0"/>
          <w:marBottom w:val="0"/>
          <w:divBdr>
            <w:top w:val="none" w:sz="0" w:space="0" w:color="auto"/>
            <w:left w:val="none" w:sz="0" w:space="0" w:color="auto"/>
            <w:bottom w:val="none" w:sz="0" w:space="0" w:color="auto"/>
            <w:right w:val="none" w:sz="0" w:space="0" w:color="auto"/>
          </w:divBdr>
        </w:div>
        <w:div w:id="476726812">
          <w:marLeft w:val="0"/>
          <w:marRight w:val="0"/>
          <w:marTop w:val="0"/>
          <w:marBottom w:val="0"/>
          <w:divBdr>
            <w:top w:val="none" w:sz="0" w:space="0" w:color="auto"/>
            <w:left w:val="none" w:sz="0" w:space="0" w:color="auto"/>
            <w:bottom w:val="none" w:sz="0" w:space="0" w:color="auto"/>
            <w:right w:val="none" w:sz="0" w:space="0" w:color="auto"/>
          </w:divBdr>
        </w:div>
        <w:div w:id="854686951">
          <w:marLeft w:val="0"/>
          <w:marRight w:val="0"/>
          <w:marTop w:val="0"/>
          <w:marBottom w:val="0"/>
          <w:divBdr>
            <w:top w:val="none" w:sz="0" w:space="0" w:color="auto"/>
            <w:left w:val="none" w:sz="0" w:space="0" w:color="auto"/>
            <w:bottom w:val="none" w:sz="0" w:space="0" w:color="auto"/>
            <w:right w:val="none" w:sz="0" w:space="0" w:color="auto"/>
          </w:divBdr>
        </w:div>
        <w:div w:id="1263028413">
          <w:marLeft w:val="0"/>
          <w:marRight w:val="0"/>
          <w:marTop w:val="0"/>
          <w:marBottom w:val="0"/>
          <w:divBdr>
            <w:top w:val="none" w:sz="0" w:space="0" w:color="auto"/>
            <w:left w:val="none" w:sz="0" w:space="0" w:color="auto"/>
            <w:bottom w:val="none" w:sz="0" w:space="0" w:color="auto"/>
            <w:right w:val="none" w:sz="0" w:space="0" w:color="auto"/>
          </w:divBdr>
        </w:div>
        <w:div w:id="451705084">
          <w:marLeft w:val="0"/>
          <w:marRight w:val="0"/>
          <w:marTop w:val="0"/>
          <w:marBottom w:val="0"/>
          <w:divBdr>
            <w:top w:val="none" w:sz="0" w:space="0" w:color="auto"/>
            <w:left w:val="none" w:sz="0" w:space="0" w:color="auto"/>
            <w:bottom w:val="none" w:sz="0" w:space="0" w:color="auto"/>
            <w:right w:val="none" w:sz="0" w:space="0" w:color="auto"/>
          </w:divBdr>
        </w:div>
        <w:div w:id="242033985">
          <w:marLeft w:val="0"/>
          <w:marRight w:val="0"/>
          <w:marTop w:val="0"/>
          <w:marBottom w:val="0"/>
          <w:divBdr>
            <w:top w:val="none" w:sz="0" w:space="0" w:color="auto"/>
            <w:left w:val="none" w:sz="0" w:space="0" w:color="auto"/>
            <w:bottom w:val="none" w:sz="0" w:space="0" w:color="auto"/>
            <w:right w:val="none" w:sz="0" w:space="0" w:color="auto"/>
          </w:divBdr>
        </w:div>
        <w:div w:id="939490313">
          <w:marLeft w:val="0"/>
          <w:marRight w:val="0"/>
          <w:marTop w:val="0"/>
          <w:marBottom w:val="0"/>
          <w:divBdr>
            <w:top w:val="none" w:sz="0" w:space="0" w:color="auto"/>
            <w:left w:val="none" w:sz="0" w:space="0" w:color="auto"/>
            <w:bottom w:val="none" w:sz="0" w:space="0" w:color="auto"/>
            <w:right w:val="none" w:sz="0" w:space="0" w:color="auto"/>
          </w:divBdr>
        </w:div>
        <w:div w:id="510150049">
          <w:marLeft w:val="0"/>
          <w:marRight w:val="0"/>
          <w:marTop w:val="0"/>
          <w:marBottom w:val="0"/>
          <w:divBdr>
            <w:top w:val="none" w:sz="0" w:space="0" w:color="auto"/>
            <w:left w:val="none" w:sz="0" w:space="0" w:color="auto"/>
            <w:bottom w:val="none" w:sz="0" w:space="0" w:color="auto"/>
            <w:right w:val="none" w:sz="0" w:space="0" w:color="auto"/>
          </w:divBdr>
        </w:div>
        <w:div w:id="1455561390">
          <w:marLeft w:val="0"/>
          <w:marRight w:val="0"/>
          <w:marTop w:val="0"/>
          <w:marBottom w:val="0"/>
          <w:divBdr>
            <w:top w:val="none" w:sz="0" w:space="0" w:color="auto"/>
            <w:left w:val="none" w:sz="0" w:space="0" w:color="auto"/>
            <w:bottom w:val="none" w:sz="0" w:space="0" w:color="auto"/>
            <w:right w:val="none" w:sz="0" w:space="0" w:color="auto"/>
          </w:divBdr>
        </w:div>
        <w:div w:id="163322673">
          <w:marLeft w:val="0"/>
          <w:marRight w:val="0"/>
          <w:marTop w:val="0"/>
          <w:marBottom w:val="0"/>
          <w:divBdr>
            <w:top w:val="none" w:sz="0" w:space="0" w:color="auto"/>
            <w:left w:val="none" w:sz="0" w:space="0" w:color="auto"/>
            <w:bottom w:val="none" w:sz="0" w:space="0" w:color="auto"/>
            <w:right w:val="none" w:sz="0" w:space="0" w:color="auto"/>
          </w:divBdr>
        </w:div>
        <w:div w:id="869949161">
          <w:marLeft w:val="0"/>
          <w:marRight w:val="0"/>
          <w:marTop w:val="0"/>
          <w:marBottom w:val="0"/>
          <w:divBdr>
            <w:top w:val="none" w:sz="0" w:space="0" w:color="auto"/>
            <w:left w:val="none" w:sz="0" w:space="0" w:color="auto"/>
            <w:bottom w:val="none" w:sz="0" w:space="0" w:color="auto"/>
            <w:right w:val="none" w:sz="0" w:space="0" w:color="auto"/>
          </w:divBdr>
        </w:div>
        <w:div w:id="997148513">
          <w:marLeft w:val="0"/>
          <w:marRight w:val="0"/>
          <w:marTop w:val="0"/>
          <w:marBottom w:val="0"/>
          <w:divBdr>
            <w:top w:val="none" w:sz="0" w:space="0" w:color="auto"/>
            <w:left w:val="none" w:sz="0" w:space="0" w:color="auto"/>
            <w:bottom w:val="none" w:sz="0" w:space="0" w:color="auto"/>
            <w:right w:val="none" w:sz="0" w:space="0" w:color="auto"/>
          </w:divBdr>
        </w:div>
        <w:div w:id="1698316449">
          <w:marLeft w:val="0"/>
          <w:marRight w:val="0"/>
          <w:marTop w:val="0"/>
          <w:marBottom w:val="0"/>
          <w:divBdr>
            <w:top w:val="none" w:sz="0" w:space="0" w:color="auto"/>
            <w:left w:val="none" w:sz="0" w:space="0" w:color="auto"/>
            <w:bottom w:val="none" w:sz="0" w:space="0" w:color="auto"/>
            <w:right w:val="none" w:sz="0" w:space="0" w:color="auto"/>
          </w:divBdr>
        </w:div>
        <w:div w:id="1985427996">
          <w:marLeft w:val="0"/>
          <w:marRight w:val="0"/>
          <w:marTop w:val="0"/>
          <w:marBottom w:val="0"/>
          <w:divBdr>
            <w:top w:val="none" w:sz="0" w:space="0" w:color="auto"/>
            <w:left w:val="none" w:sz="0" w:space="0" w:color="auto"/>
            <w:bottom w:val="none" w:sz="0" w:space="0" w:color="auto"/>
            <w:right w:val="none" w:sz="0" w:space="0" w:color="auto"/>
          </w:divBdr>
        </w:div>
        <w:div w:id="1785952903">
          <w:marLeft w:val="0"/>
          <w:marRight w:val="0"/>
          <w:marTop w:val="0"/>
          <w:marBottom w:val="0"/>
          <w:divBdr>
            <w:top w:val="none" w:sz="0" w:space="0" w:color="auto"/>
            <w:left w:val="none" w:sz="0" w:space="0" w:color="auto"/>
            <w:bottom w:val="none" w:sz="0" w:space="0" w:color="auto"/>
            <w:right w:val="none" w:sz="0" w:space="0" w:color="auto"/>
          </w:divBdr>
        </w:div>
        <w:div w:id="728109954">
          <w:marLeft w:val="0"/>
          <w:marRight w:val="0"/>
          <w:marTop w:val="0"/>
          <w:marBottom w:val="0"/>
          <w:divBdr>
            <w:top w:val="none" w:sz="0" w:space="0" w:color="auto"/>
            <w:left w:val="none" w:sz="0" w:space="0" w:color="auto"/>
            <w:bottom w:val="none" w:sz="0" w:space="0" w:color="auto"/>
            <w:right w:val="none" w:sz="0" w:space="0" w:color="auto"/>
          </w:divBdr>
        </w:div>
        <w:div w:id="2058771058">
          <w:marLeft w:val="0"/>
          <w:marRight w:val="0"/>
          <w:marTop w:val="0"/>
          <w:marBottom w:val="0"/>
          <w:divBdr>
            <w:top w:val="none" w:sz="0" w:space="0" w:color="auto"/>
            <w:left w:val="none" w:sz="0" w:space="0" w:color="auto"/>
            <w:bottom w:val="none" w:sz="0" w:space="0" w:color="auto"/>
            <w:right w:val="none" w:sz="0" w:space="0" w:color="auto"/>
          </w:divBdr>
        </w:div>
        <w:div w:id="1780442186">
          <w:marLeft w:val="0"/>
          <w:marRight w:val="0"/>
          <w:marTop w:val="0"/>
          <w:marBottom w:val="0"/>
          <w:divBdr>
            <w:top w:val="none" w:sz="0" w:space="0" w:color="auto"/>
            <w:left w:val="none" w:sz="0" w:space="0" w:color="auto"/>
            <w:bottom w:val="none" w:sz="0" w:space="0" w:color="auto"/>
            <w:right w:val="none" w:sz="0" w:space="0" w:color="auto"/>
          </w:divBdr>
        </w:div>
        <w:div w:id="185407564">
          <w:marLeft w:val="0"/>
          <w:marRight w:val="0"/>
          <w:marTop w:val="0"/>
          <w:marBottom w:val="0"/>
          <w:divBdr>
            <w:top w:val="none" w:sz="0" w:space="0" w:color="auto"/>
            <w:left w:val="none" w:sz="0" w:space="0" w:color="auto"/>
            <w:bottom w:val="none" w:sz="0" w:space="0" w:color="auto"/>
            <w:right w:val="none" w:sz="0" w:space="0" w:color="auto"/>
          </w:divBdr>
        </w:div>
        <w:div w:id="782263453">
          <w:marLeft w:val="0"/>
          <w:marRight w:val="0"/>
          <w:marTop w:val="0"/>
          <w:marBottom w:val="0"/>
          <w:divBdr>
            <w:top w:val="none" w:sz="0" w:space="0" w:color="auto"/>
            <w:left w:val="none" w:sz="0" w:space="0" w:color="auto"/>
            <w:bottom w:val="none" w:sz="0" w:space="0" w:color="auto"/>
            <w:right w:val="none" w:sz="0" w:space="0" w:color="auto"/>
          </w:divBdr>
        </w:div>
        <w:div w:id="52970124">
          <w:marLeft w:val="0"/>
          <w:marRight w:val="0"/>
          <w:marTop w:val="0"/>
          <w:marBottom w:val="0"/>
          <w:divBdr>
            <w:top w:val="none" w:sz="0" w:space="0" w:color="auto"/>
            <w:left w:val="none" w:sz="0" w:space="0" w:color="auto"/>
            <w:bottom w:val="none" w:sz="0" w:space="0" w:color="auto"/>
            <w:right w:val="none" w:sz="0" w:space="0" w:color="auto"/>
          </w:divBdr>
        </w:div>
        <w:div w:id="185992894">
          <w:marLeft w:val="0"/>
          <w:marRight w:val="0"/>
          <w:marTop w:val="0"/>
          <w:marBottom w:val="0"/>
          <w:divBdr>
            <w:top w:val="none" w:sz="0" w:space="0" w:color="auto"/>
            <w:left w:val="none" w:sz="0" w:space="0" w:color="auto"/>
            <w:bottom w:val="none" w:sz="0" w:space="0" w:color="auto"/>
            <w:right w:val="none" w:sz="0" w:space="0" w:color="auto"/>
          </w:divBdr>
        </w:div>
        <w:div w:id="1002853935">
          <w:marLeft w:val="0"/>
          <w:marRight w:val="0"/>
          <w:marTop w:val="0"/>
          <w:marBottom w:val="0"/>
          <w:divBdr>
            <w:top w:val="none" w:sz="0" w:space="0" w:color="auto"/>
            <w:left w:val="none" w:sz="0" w:space="0" w:color="auto"/>
            <w:bottom w:val="none" w:sz="0" w:space="0" w:color="auto"/>
            <w:right w:val="none" w:sz="0" w:space="0" w:color="auto"/>
          </w:divBdr>
        </w:div>
        <w:div w:id="1724480845">
          <w:marLeft w:val="0"/>
          <w:marRight w:val="0"/>
          <w:marTop w:val="0"/>
          <w:marBottom w:val="0"/>
          <w:divBdr>
            <w:top w:val="none" w:sz="0" w:space="0" w:color="auto"/>
            <w:left w:val="none" w:sz="0" w:space="0" w:color="auto"/>
            <w:bottom w:val="none" w:sz="0" w:space="0" w:color="auto"/>
            <w:right w:val="none" w:sz="0" w:space="0" w:color="auto"/>
          </w:divBdr>
        </w:div>
        <w:div w:id="518543148">
          <w:marLeft w:val="0"/>
          <w:marRight w:val="0"/>
          <w:marTop w:val="0"/>
          <w:marBottom w:val="0"/>
          <w:divBdr>
            <w:top w:val="none" w:sz="0" w:space="0" w:color="auto"/>
            <w:left w:val="none" w:sz="0" w:space="0" w:color="auto"/>
            <w:bottom w:val="none" w:sz="0" w:space="0" w:color="auto"/>
            <w:right w:val="none" w:sz="0" w:space="0" w:color="auto"/>
          </w:divBdr>
        </w:div>
        <w:div w:id="1588146431">
          <w:marLeft w:val="0"/>
          <w:marRight w:val="0"/>
          <w:marTop w:val="0"/>
          <w:marBottom w:val="0"/>
          <w:divBdr>
            <w:top w:val="none" w:sz="0" w:space="0" w:color="auto"/>
            <w:left w:val="none" w:sz="0" w:space="0" w:color="auto"/>
            <w:bottom w:val="none" w:sz="0" w:space="0" w:color="auto"/>
            <w:right w:val="none" w:sz="0" w:space="0" w:color="auto"/>
          </w:divBdr>
        </w:div>
        <w:div w:id="855734106">
          <w:marLeft w:val="0"/>
          <w:marRight w:val="0"/>
          <w:marTop w:val="0"/>
          <w:marBottom w:val="0"/>
          <w:divBdr>
            <w:top w:val="none" w:sz="0" w:space="0" w:color="auto"/>
            <w:left w:val="none" w:sz="0" w:space="0" w:color="auto"/>
            <w:bottom w:val="none" w:sz="0" w:space="0" w:color="auto"/>
            <w:right w:val="none" w:sz="0" w:space="0" w:color="auto"/>
          </w:divBdr>
        </w:div>
        <w:div w:id="1640767217">
          <w:marLeft w:val="0"/>
          <w:marRight w:val="0"/>
          <w:marTop w:val="0"/>
          <w:marBottom w:val="0"/>
          <w:divBdr>
            <w:top w:val="none" w:sz="0" w:space="0" w:color="auto"/>
            <w:left w:val="none" w:sz="0" w:space="0" w:color="auto"/>
            <w:bottom w:val="none" w:sz="0" w:space="0" w:color="auto"/>
            <w:right w:val="none" w:sz="0" w:space="0" w:color="auto"/>
          </w:divBdr>
        </w:div>
        <w:div w:id="258484609">
          <w:marLeft w:val="0"/>
          <w:marRight w:val="0"/>
          <w:marTop w:val="0"/>
          <w:marBottom w:val="0"/>
          <w:divBdr>
            <w:top w:val="none" w:sz="0" w:space="0" w:color="auto"/>
            <w:left w:val="none" w:sz="0" w:space="0" w:color="auto"/>
            <w:bottom w:val="none" w:sz="0" w:space="0" w:color="auto"/>
            <w:right w:val="none" w:sz="0" w:space="0" w:color="auto"/>
          </w:divBdr>
        </w:div>
        <w:div w:id="1170027630">
          <w:marLeft w:val="0"/>
          <w:marRight w:val="0"/>
          <w:marTop w:val="0"/>
          <w:marBottom w:val="0"/>
          <w:divBdr>
            <w:top w:val="none" w:sz="0" w:space="0" w:color="auto"/>
            <w:left w:val="none" w:sz="0" w:space="0" w:color="auto"/>
            <w:bottom w:val="none" w:sz="0" w:space="0" w:color="auto"/>
            <w:right w:val="none" w:sz="0" w:space="0" w:color="auto"/>
          </w:divBdr>
        </w:div>
        <w:div w:id="1782413818">
          <w:marLeft w:val="0"/>
          <w:marRight w:val="0"/>
          <w:marTop w:val="0"/>
          <w:marBottom w:val="0"/>
          <w:divBdr>
            <w:top w:val="none" w:sz="0" w:space="0" w:color="auto"/>
            <w:left w:val="none" w:sz="0" w:space="0" w:color="auto"/>
            <w:bottom w:val="none" w:sz="0" w:space="0" w:color="auto"/>
            <w:right w:val="none" w:sz="0" w:space="0" w:color="auto"/>
          </w:divBdr>
        </w:div>
        <w:div w:id="184641349">
          <w:marLeft w:val="0"/>
          <w:marRight w:val="0"/>
          <w:marTop w:val="0"/>
          <w:marBottom w:val="0"/>
          <w:divBdr>
            <w:top w:val="none" w:sz="0" w:space="0" w:color="auto"/>
            <w:left w:val="none" w:sz="0" w:space="0" w:color="auto"/>
            <w:bottom w:val="none" w:sz="0" w:space="0" w:color="auto"/>
            <w:right w:val="none" w:sz="0" w:space="0" w:color="auto"/>
          </w:divBdr>
        </w:div>
        <w:div w:id="1650134497">
          <w:marLeft w:val="0"/>
          <w:marRight w:val="0"/>
          <w:marTop w:val="0"/>
          <w:marBottom w:val="0"/>
          <w:divBdr>
            <w:top w:val="none" w:sz="0" w:space="0" w:color="auto"/>
            <w:left w:val="none" w:sz="0" w:space="0" w:color="auto"/>
            <w:bottom w:val="none" w:sz="0" w:space="0" w:color="auto"/>
            <w:right w:val="none" w:sz="0" w:space="0" w:color="auto"/>
          </w:divBdr>
        </w:div>
        <w:div w:id="42683933">
          <w:marLeft w:val="0"/>
          <w:marRight w:val="0"/>
          <w:marTop w:val="0"/>
          <w:marBottom w:val="0"/>
          <w:divBdr>
            <w:top w:val="none" w:sz="0" w:space="0" w:color="auto"/>
            <w:left w:val="none" w:sz="0" w:space="0" w:color="auto"/>
            <w:bottom w:val="none" w:sz="0" w:space="0" w:color="auto"/>
            <w:right w:val="none" w:sz="0" w:space="0" w:color="auto"/>
          </w:divBdr>
        </w:div>
        <w:div w:id="1410615413">
          <w:marLeft w:val="0"/>
          <w:marRight w:val="0"/>
          <w:marTop w:val="0"/>
          <w:marBottom w:val="0"/>
          <w:divBdr>
            <w:top w:val="none" w:sz="0" w:space="0" w:color="auto"/>
            <w:left w:val="none" w:sz="0" w:space="0" w:color="auto"/>
            <w:bottom w:val="none" w:sz="0" w:space="0" w:color="auto"/>
            <w:right w:val="none" w:sz="0" w:space="0" w:color="auto"/>
          </w:divBdr>
        </w:div>
        <w:div w:id="1530337234">
          <w:marLeft w:val="0"/>
          <w:marRight w:val="0"/>
          <w:marTop w:val="0"/>
          <w:marBottom w:val="0"/>
          <w:divBdr>
            <w:top w:val="none" w:sz="0" w:space="0" w:color="auto"/>
            <w:left w:val="none" w:sz="0" w:space="0" w:color="auto"/>
            <w:bottom w:val="none" w:sz="0" w:space="0" w:color="auto"/>
            <w:right w:val="none" w:sz="0" w:space="0" w:color="auto"/>
          </w:divBdr>
        </w:div>
        <w:div w:id="1495679749">
          <w:marLeft w:val="0"/>
          <w:marRight w:val="0"/>
          <w:marTop w:val="0"/>
          <w:marBottom w:val="0"/>
          <w:divBdr>
            <w:top w:val="none" w:sz="0" w:space="0" w:color="auto"/>
            <w:left w:val="none" w:sz="0" w:space="0" w:color="auto"/>
            <w:bottom w:val="none" w:sz="0" w:space="0" w:color="auto"/>
            <w:right w:val="none" w:sz="0" w:space="0" w:color="auto"/>
          </w:divBdr>
        </w:div>
        <w:div w:id="769279075">
          <w:marLeft w:val="0"/>
          <w:marRight w:val="0"/>
          <w:marTop w:val="0"/>
          <w:marBottom w:val="0"/>
          <w:divBdr>
            <w:top w:val="none" w:sz="0" w:space="0" w:color="auto"/>
            <w:left w:val="none" w:sz="0" w:space="0" w:color="auto"/>
            <w:bottom w:val="none" w:sz="0" w:space="0" w:color="auto"/>
            <w:right w:val="none" w:sz="0" w:space="0" w:color="auto"/>
          </w:divBdr>
        </w:div>
        <w:div w:id="791558599">
          <w:marLeft w:val="0"/>
          <w:marRight w:val="0"/>
          <w:marTop w:val="0"/>
          <w:marBottom w:val="0"/>
          <w:divBdr>
            <w:top w:val="none" w:sz="0" w:space="0" w:color="auto"/>
            <w:left w:val="none" w:sz="0" w:space="0" w:color="auto"/>
            <w:bottom w:val="none" w:sz="0" w:space="0" w:color="auto"/>
            <w:right w:val="none" w:sz="0" w:space="0" w:color="auto"/>
          </w:divBdr>
        </w:div>
        <w:div w:id="297997258">
          <w:marLeft w:val="0"/>
          <w:marRight w:val="0"/>
          <w:marTop w:val="0"/>
          <w:marBottom w:val="0"/>
          <w:divBdr>
            <w:top w:val="none" w:sz="0" w:space="0" w:color="auto"/>
            <w:left w:val="none" w:sz="0" w:space="0" w:color="auto"/>
            <w:bottom w:val="none" w:sz="0" w:space="0" w:color="auto"/>
            <w:right w:val="none" w:sz="0" w:space="0" w:color="auto"/>
          </w:divBdr>
        </w:div>
        <w:div w:id="1270969178">
          <w:marLeft w:val="0"/>
          <w:marRight w:val="0"/>
          <w:marTop w:val="0"/>
          <w:marBottom w:val="0"/>
          <w:divBdr>
            <w:top w:val="none" w:sz="0" w:space="0" w:color="auto"/>
            <w:left w:val="none" w:sz="0" w:space="0" w:color="auto"/>
            <w:bottom w:val="none" w:sz="0" w:space="0" w:color="auto"/>
            <w:right w:val="none" w:sz="0" w:space="0" w:color="auto"/>
          </w:divBdr>
        </w:div>
        <w:div w:id="7758624">
          <w:marLeft w:val="0"/>
          <w:marRight w:val="0"/>
          <w:marTop w:val="0"/>
          <w:marBottom w:val="0"/>
          <w:divBdr>
            <w:top w:val="none" w:sz="0" w:space="0" w:color="auto"/>
            <w:left w:val="none" w:sz="0" w:space="0" w:color="auto"/>
            <w:bottom w:val="none" w:sz="0" w:space="0" w:color="auto"/>
            <w:right w:val="none" w:sz="0" w:space="0" w:color="auto"/>
          </w:divBdr>
        </w:div>
        <w:div w:id="1837650170">
          <w:marLeft w:val="0"/>
          <w:marRight w:val="0"/>
          <w:marTop w:val="0"/>
          <w:marBottom w:val="0"/>
          <w:divBdr>
            <w:top w:val="none" w:sz="0" w:space="0" w:color="auto"/>
            <w:left w:val="none" w:sz="0" w:space="0" w:color="auto"/>
            <w:bottom w:val="none" w:sz="0" w:space="0" w:color="auto"/>
            <w:right w:val="none" w:sz="0" w:space="0" w:color="auto"/>
          </w:divBdr>
        </w:div>
        <w:div w:id="754715254">
          <w:marLeft w:val="0"/>
          <w:marRight w:val="0"/>
          <w:marTop w:val="0"/>
          <w:marBottom w:val="0"/>
          <w:divBdr>
            <w:top w:val="none" w:sz="0" w:space="0" w:color="auto"/>
            <w:left w:val="none" w:sz="0" w:space="0" w:color="auto"/>
            <w:bottom w:val="none" w:sz="0" w:space="0" w:color="auto"/>
            <w:right w:val="none" w:sz="0" w:space="0" w:color="auto"/>
          </w:divBdr>
        </w:div>
        <w:div w:id="1812288698">
          <w:marLeft w:val="0"/>
          <w:marRight w:val="0"/>
          <w:marTop w:val="0"/>
          <w:marBottom w:val="0"/>
          <w:divBdr>
            <w:top w:val="none" w:sz="0" w:space="0" w:color="auto"/>
            <w:left w:val="none" w:sz="0" w:space="0" w:color="auto"/>
            <w:bottom w:val="none" w:sz="0" w:space="0" w:color="auto"/>
            <w:right w:val="none" w:sz="0" w:space="0" w:color="auto"/>
          </w:divBdr>
        </w:div>
        <w:div w:id="1933706453">
          <w:marLeft w:val="0"/>
          <w:marRight w:val="0"/>
          <w:marTop w:val="0"/>
          <w:marBottom w:val="0"/>
          <w:divBdr>
            <w:top w:val="none" w:sz="0" w:space="0" w:color="auto"/>
            <w:left w:val="none" w:sz="0" w:space="0" w:color="auto"/>
            <w:bottom w:val="none" w:sz="0" w:space="0" w:color="auto"/>
            <w:right w:val="none" w:sz="0" w:space="0" w:color="auto"/>
          </w:divBdr>
        </w:div>
        <w:div w:id="1544058250">
          <w:marLeft w:val="0"/>
          <w:marRight w:val="0"/>
          <w:marTop w:val="0"/>
          <w:marBottom w:val="0"/>
          <w:divBdr>
            <w:top w:val="none" w:sz="0" w:space="0" w:color="auto"/>
            <w:left w:val="none" w:sz="0" w:space="0" w:color="auto"/>
            <w:bottom w:val="none" w:sz="0" w:space="0" w:color="auto"/>
            <w:right w:val="none" w:sz="0" w:space="0" w:color="auto"/>
          </w:divBdr>
        </w:div>
        <w:div w:id="1710950973">
          <w:marLeft w:val="0"/>
          <w:marRight w:val="0"/>
          <w:marTop w:val="0"/>
          <w:marBottom w:val="0"/>
          <w:divBdr>
            <w:top w:val="none" w:sz="0" w:space="0" w:color="auto"/>
            <w:left w:val="none" w:sz="0" w:space="0" w:color="auto"/>
            <w:bottom w:val="none" w:sz="0" w:space="0" w:color="auto"/>
            <w:right w:val="none" w:sz="0" w:space="0" w:color="auto"/>
          </w:divBdr>
          <w:divsChild>
            <w:div w:id="1648514153">
              <w:marLeft w:val="0"/>
              <w:marRight w:val="0"/>
              <w:marTop w:val="0"/>
              <w:marBottom w:val="0"/>
              <w:divBdr>
                <w:top w:val="none" w:sz="0" w:space="0" w:color="auto"/>
                <w:left w:val="none" w:sz="0" w:space="0" w:color="auto"/>
                <w:bottom w:val="none" w:sz="0" w:space="0" w:color="auto"/>
                <w:right w:val="none" w:sz="0" w:space="0" w:color="auto"/>
              </w:divBdr>
            </w:div>
            <w:div w:id="1775980504">
              <w:marLeft w:val="0"/>
              <w:marRight w:val="0"/>
              <w:marTop w:val="0"/>
              <w:marBottom w:val="0"/>
              <w:divBdr>
                <w:top w:val="none" w:sz="0" w:space="0" w:color="auto"/>
                <w:left w:val="none" w:sz="0" w:space="0" w:color="auto"/>
                <w:bottom w:val="none" w:sz="0" w:space="0" w:color="auto"/>
                <w:right w:val="none" w:sz="0" w:space="0" w:color="auto"/>
              </w:divBdr>
            </w:div>
            <w:div w:id="764574659">
              <w:marLeft w:val="0"/>
              <w:marRight w:val="0"/>
              <w:marTop w:val="0"/>
              <w:marBottom w:val="0"/>
              <w:divBdr>
                <w:top w:val="none" w:sz="0" w:space="0" w:color="auto"/>
                <w:left w:val="none" w:sz="0" w:space="0" w:color="auto"/>
                <w:bottom w:val="none" w:sz="0" w:space="0" w:color="auto"/>
                <w:right w:val="none" w:sz="0" w:space="0" w:color="auto"/>
              </w:divBdr>
            </w:div>
            <w:div w:id="180555525">
              <w:marLeft w:val="0"/>
              <w:marRight w:val="0"/>
              <w:marTop w:val="0"/>
              <w:marBottom w:val="0"/>
              <w:divBdr>
                <w:top w:val="none" w:sz="0" w:space="0" w:color="auto"/>
                <w:left w:val="none" w:sz="0" w:space="0" w:color="auto"/>
                <w:bottom w:val="none" w:sz="0" w:space="0" w:color="auto"/>
                <w:right w:val="none" w:sz="0" w:space="0" w:color="auto"/>
              </w:divBdr>
            </w:div>
            <w:div w:id="1291396906">
              <w:marLeft w:val="0"/>
              <w:marRight w:val="0"/>
              <w:marTop w:val="0"/>
              <w:marBottom w:val="0"/>
              <w:divBdr>
                <w:top w:val="none" w:sz="0" w:space="0" w:color="auto"/>
                <w:left w:val="none" w:sz="0" w:space="0" w:color="auto"/>
                <w:bottom w:val="none" w:sz="0" w:space="0" w:color="auto"/>
                <w:right w:val="none" w:sz="0" w:space="0" w:color="auto"/>
              </w:divBdr>
            </w:div>
            <w:div w:id="11491886">
              <w:marLeft w:val="0"/>
              <w:marRight w:val="0"/>
              <w:marTop w:val="0"/>
              <w:marBottom w:val="0"/>
              <w:divBdr>
                <w:top w:val="none" w:sz="0" w:space="0" w:color="auto"/>
                <w:left w:val="none" w:sz="0" w:space="0" w:color="auto"/>
                <w:bottom w:val="none" w:sz="0" w:space="0" w:color="auto"/>
                <w:right w:val="none" w:sz="0" w:space="0" w:color="auto"/>
              </w:divBdr>
            </w:div>
            <w:div w:id="882448280">
              <w:marLeft w:val="0"/>
              <w:marRight w:val="0"/>
              <w:marTop w:val="0"/>
              <w:marBottom w:val="0"/>
              <w:divBdr>
                <w:top w:val="none" w:sz="0" w:space="0" w:color="auto"/>
                <w:left w:val="none" w:sz="0" w:space="0" w:color="auto"/>
                <w:bottom w:val="none" w:sz="0" w:space="0" w:color="auto"/>
                <w:right w:val="none" w:sz="0" w:space="0" w:color="auto"/>
              </w:divBdr>
            </w:div>
            <w:div w:id="562762362">
              <w:marLeft w:val="0"/>
              <w:marRight w:val="0"/>
              <w:marTop w:val="0"/>
              <w:marBottom w:val="0"/>
              <w:divBdr>
                <w:top w:val="none" w:sz="0" w:space="0" w:color="auto"/>
                <w:left w:val="none" w:sz="0" w:space="0" w:color="auto"/>
                <w:bottom w:val="none" w:sz="0" w:space="0" w:color="auto"/>
                <w:right w:val="none" w:sz="0" w:space="0" w:color="auto"/>
              </w:divBdr>
            </w:div>
            <w:div w:id="1687631118">
              <w:marLeft w:val="0"/>
              <w:marRight w:val="0"/>
              <w:marTop w:val="0"/>
              <w:marBottom w:val="0"/>
              <w:divBdr>
                <w:top w:val="none" w:sz="0" w:space="0" w:color="auto"/>
                <w:left w:val="none" w:sz="0" w:space="0" w:color="auto"/>
                <w:bottom w:val="none" w:sz="0" w:space="0" w:color="auto"/>
                <w:right w:val="none" w:sz="0" w:space="0" w:color="auto"/>
              </w:divBdr>
            </w:div>
            <w:div w:id="1629896803">
              <w:marLeft w:val="0"/>
              <w:marRight w:val="0"/>
              <w:marTop w:val="0"/>
              <w:marBottom w:val="0"/>
              <w:divBdr>
                <w:top w:val="none" w:sz="0" w:space="0" w:color="auto"/>
                <w:left w:val="none" w:sz="0" w:space="0" w:color="auto"/>
                <w:bottom w:val="none" w:sz="0" w:space="0" w:color="auto"/>
                <w:right w:val="none" w:sz="0" w:space="0" w:color="auto"/>
              </w:divBdr>
            </w:div>
            <w:div w:id="1033073380">
              <w:marLeft w:val="0"/>
              <w:marRight w:val="0"/>
              <w:marTop w:val="0"/>
              <w:marBottom w:val="0"/>
              <w:divBdr>
                <w:top w:val="none" w:sz="0" w:space="0" w:color="auto"/>
                <w:left w:val="none" w:sz="0" w:space="0" w:color="auto"/>
                <w:bottom w:val="none" w:sz="0" w:space="0" w:color="auto"/>
                <w:right w:val="none" w:sz="0" w:space="0" w:color="auto"/>
              </w:divBdr>
            </w:div>
            <w:div w:id="1294602262">
              <w:marLeft w:val="0"/>
              <w:marRight w:val="0"/>
              <w:marTop w:val="0"/>
              <w:marBottom w:val="0"/>
              <w:divBdr>
                <w:top w:val="none" w:sz="0" w:space="0" w:color="auto"/>
                <w:left w:val="none" w:sz="0" w:space="0" w:color="auto"/>
                <w:bottom w:val="none" w:sz="0" w:space="0" w:color="auto"/>
                <w:right w:val="none" w:sz="0" w:space="0" w:color="auto"/>
              </w:divBdr>
            </w:div>
            <w:div w:id="525599980">
              <w:marLeft w:val="0"/>
              <w:marRight w:val="0"/>
              <w:marTop w:val="0"/>
              <w:marBottom w:val="0"/>
              <w:divBdr>
                <w:top w:val="none" w:sz="0" w:space="0" w:color="auto"/>
                <w:left w:val="none" w:sz="0" w:space="0" w:color="auto"/>
                <w:bottom w:val="none" w:sz="0" w:space="0" w:color="auto"/>
                <w:right w:val="none" w:sz="0" w:space="0" w:color="auto"/>
              </w:divBdr>
            </w:div>
            <w:div w:id="1355036068">
              <w:marLeft w:val="0"/>
              <w:marRight w:val="0"/>
              <w:marTop w:val="0"/>
              <w:marBottom w:val="0"/>
              <w:divBdr>
                <w:top w:val="none" w:sz="0" w:space="0" w:color="auto"/>
                <w:left w:val="none" w:sz="0" w:space="0" w:color="auto"/>
                <w:bottom w:val="none" w:sz="0" w:space="0" w:color="auto"/>
                <w:right w:val="none" w:sz="0" w:space="0" w:color="auto"/>
              </w:divBdr>
            </w:div>
            <w:div w:id="1776436270">
              <w:marLeft w:val="0"/>
              <w:marRight w:val="0"/>
              <w:marTop w:val="0"/>
              <w:marBottom w:val="0"/>
              <w:divBdr>
                <w:top w:val="none" w:sz="0" w:space="0" w:color="auto"/>
                <w:left w:val="none" w:sz="0" w:space="0" w:color="auto"/>
                <w:bottom w:val="none" w:sz="0" w:space="0" w:color="auto"/>
                <w:right w:val="none" w:sz="0" w:space="0" w:color="auto"/>
              </w:divBdr>
            </w:div>
            <w:div w:id="711226472">
              <w:marLeft w:val="0"/>
              <w:marRight w:val="0"/>
              <w:marTop w:val="0"/>
              <w:marBottom w:val="0"/>
              <w:divBdr>
                <w:top w:val="none" w:sz="0" w:space="0" w:color="auto"/>
                <w:left w:val="none" w:sz="0" w:space="0" w:color="auto"/>
                <w:bottom w:val="none" w:sz="0" w:space="0" w:color="auto"/>
                <w:right w:val="none" w:sz="0" w:space="0" w:color="auto"/>
              </w:divBdr>
            </w:div>
            <w:div w:id="1534880585">
              <w:marLeft w:val="0"/>
              <w:marRight w:val="0"/>
              <w:marTop w:val="0"/>
              <w:marBottom w:val="0"/>
              <w:divBdr>
                <w:top w:val="none" w:sz="0" w:space="0" w:color="auto"/>
                <w:left w:val="none" w:sz="0" w:space="0" w:color="auto"/>
                <w:bottom w:val="none" w:sz="0" w:space="0" w:color="auto"/>
                <w:right w:val="none" w:sz="0" w:space="0" w:color="auto"/>
              </w:divBdr>
            </w:div>
          </w:divsChild>
        </w:div>
        <w:div w:id="1014848174">
          <w:marLeft w:val="0"/>
          <w:marRight w:val="0"/>
          <w:marTop w:val="0"/>
          <w:marBottom w:val="0"/>
          <w:divBdr>
            <w:top w:val="none" w:sz="0" w:space="0" w:color="auto"/>
            <w:left w:val="none" w:sz="0" w:space="0" w:color="auto"/>
            <w:bottom w:val="none" w:sz="0" w:space="0" w:color="auto"/>
            <w:right w:val="none" w:sz="0" w:space="0" w:color="auto"/>
          </w:divBdr>
          <w:divsChild>
            <w:div w:id="1179196340">
              <w:marLeft w:val="0"/>
              <w:marRight w:val="0"/>
              <w:marTop w:val="0"/>
              <w:marBottom w:val="0"/>
              <w:divBdr>
                <w:top w:val="none" w:sz="0" w:space="0" w:color="auto"/>
                <w:left w:val="none" w:sz="0" w:space="0" w:color="auto"/>
                <w:bottom w:val="none" w:sz="0" w:space="0" w:color="auto"/>
                <w:right w:val="none" w:sz="0" w:space="0" w:color="auto"/>
              </w:divBdr>
            </w:div>
            <w:div w:id="810755002">
              <w:marLeft w:val="0"/>
              <w:marRight w:val="0"/>
              <w:marTop w:val="0"/>
              <w:marBottom w:val="0"/>
              <w:divBdr>
                <w:top w:val="none" w:sz="0" w:space="0" w:color="auto"/>
                <w:left w:val="none" w:sz="0" w:space="0" w:color="auto"/>
                <w:bottom w:val="none" w:sz="0" w:space="0" w:color="auto"/>
                <w:right w:val="none" w:sz="0" w:space="0" w:color="auto"/>
              </w:divBdr>
            </w:div>
            <w:div w:id="671369412">
              <w:marLeft w:val="0"/>
              <w:marRight w:val="0"/>
              <w:marTop w:val="0"/>
              <w:marBottom w:val="0"/>
              <w:divBdr>
                <w:top w:val="none" w:sz="0" w:space="0" w:color="auto"/>
                <w:left w:val="none" w:sz="0" w:space="0" w:color="auto"/>
                <w:bottom w:val="none" w:sz="0" w:space="0" w:color="auto"/>
                <w:right w:val="none" w:sz="0" w:space="0" w:color="auto"/>
              </w:divBdr>
            </w:div>
            <w:div w:id="355041211">
              <w:marLeft w:val="0"/>
              <w:marRight w:val="0"/>
              <w:marTop w:val="0"/>
              <w:marBottom w:val="0"/>
              <w:divBdr>
                <w:top w:val="none" w:sz="0" w:space="0" w:color="auto"/>
                <w:left w:val="none" w:sz="0" w:space="0" w:color="auto"/>
                <w:bottom w:val="none" w:sz="0" w:space="0" w:color="auto"/>
                <w:right w:val="none" w:sz="0" w:space="0" w:color="auto"/>
              </w:divBdr>
            </w:div>
            <w:div w:id="1712656942">
              <w:marLeft w:val="0"/>
              <w:marRight w:val="0"/>
              <w:marTop w:val="0"/>
              <w:marBottom w:val="0"/>
              <w:divBdr>
                <w:top w:val="none" w:sz="0" w:space="0" w:color="auto"/>
                <w:left w:val="none" w:sz="0" w:space="0" w:color="auto"/>
                <w:bottom w:val="none" w:sz="0" w:space="0" w:color="auto"/>
                <w:right w:val="none" w:sz="0" w:space="0" w:color="auto"/>
              </w:divBdr>
            </w:div>
            <w:div w:id="217011867">
              <w:marLeft w:val="0"/>
              <w:marRight w:val="0"/>
              <w:marTop w:val="0"/>
              <w:marBottom w:val="0"/>
              <w:divBdr>
                <w:top w:val="none" w:sz="0" w:space="0" w:color="auto"/>
                <w:left w:val="none" w:sz="0" w:space="0" w:color="auto"/>
                <w:bottom w:val="none" w:sz="0" w:space="0" w:color="auto"/>
                <w:right w:val="none" w:sz="0" w:space="0" w:color="auto"/>
              </w:divBdr>
            </w:div>
            <w:div w:id="514614355">
              <w:marLeft w:val="0"/>
              <w:marRight w:val="0"/>
              <w:marTop w:val="0"/>
              <w:marBottom w:val="0"/>
              <w:divBdr>
                <w:top w:val="none" w:sz="0" w:space="0" w:color="auto"/>
                <w:left w:val="none" w:sz="0" w:space="0" w:color="auto"/>
                <w:bottom w:val="none" w:sz="0" w:space="0" w:color="auto"/>
                <w:right w:val="none" w:sz="0" w:space="0" w:color="auto"/>
              </w:divBdr>
            </w:div>
            <w:div w:id="811021882">
              <w:marLeft w:val="0"/>
              <w:marRight w:val="0"/>
              <w:marTop w:val="0"/>
              <w:marBottom w:val="0"/>
              <w:divBdr>
                <w:top w:val="none" w:sz="0" w:space="0" w:color="auto"/>
                <w:left w:val="none" w:sz="0" w:space="0" w:color="auto"/>
                <w:bottom w:val="none" w:sz="0" w:space="0" w:color="auto"/>
                <w:right w:val="none" w:sz="0" w:space="0" w:color="auto"/>
              </w:divBdr>
            </w:div>
            <w:div w:id="1782647729">
              <w:marLeft w:val="0"/>
              <w:marRight w:val="0"/>
              <w:marTop w:val="0"/>
              <w:marBottom w:val="0"/>
              <w:divBdr>
                <w:top w:val="none" w:sz="0" w:space="0" w:color="auto"/>
                <w:left w:val="none" w:sz="0" w:space="0" w:color="auto"/>
                <w:bottom w:val="none" w:sz="0" w:space="0" w:color="auto"/>
                <w:right w:val="none" w:sz="0" w:space="0" w:color="auto"/>
              </w:divBdr>
            </w:div>
            <w:div w:id="364643598">
              <w:marLeft w:val="0"/>
              <w:marRight w:val="0"/>
              <w:marTop w:val="0"/>
              <w:marBottom w:val="0"/>
              <w:divBdr>
                <w:top w:val="none" w:sz="0" w:space="0" w:color="auto"/>
                <w:left w:val="none" w:sz="0" w:space="0" w:color="auto"/>
                <w:bottom w:val="none" w:sz="0" w:space="0" w:color="auto"/>
                <w:right w:val="none" w:sz="0" w:space="0" w:color="auto"/>
              </w:divBdr>
            </w:div>
            <w:div w:id="1800227194">
              <w:marLeft w:val="0"/>
              <w:marRight w:val="0"/>
              <w:marTop w:val="0"/>
              <w:marBottom w:val="0"/>
              <w:divBdr>
                <w:top w:val="none" w:sz="0" w:space="0" w:color="auto"/>
                <w:left w:val="none" w:sz="0" w:space="0" w:color="auto"/>
                <w:bottom w:val="none" w:sz="0" w:space="0" w:color="auto"/>
                <w:right w:val="none" w:sz="0" w:space="0" w:color="auto"/>
              </w:divBdr>
            </w:div>
            <w:div w:id="1571574215">
              <w:marLeft w:val="0"/>
              <w:marRight w:val="0"/>
              <w:marTop w:val="0"/>
              <w:marBottom w:val="0"/>
              <w:divBdr>
                <w:top w:val="none" w:sz="0" w:space="0" w:color="auto"/>
                <w:left w:val="none" w:sz="0" w:space="0" w:color="auto"/>
                <w:bottom w:val="none" w:sz="0" w:space="0" w:color="auto"/>
                <w:right w:val="none" w:sz="0" w:space="0" w:color="auto"/>
              </w:divBdr>
            </w:div>
            <w:div w:id="1846436788">
              <w:marLeft w:val="0"/>
              <w:marRight w:val="0"/>
              <w:marTop w:val="0"/>
              <w:marBottom w:val="0"/>
              <w:divBdr>
                <w:top w:val="none" w:sz="0" w:space="0" w:color="auto"/>
                <w:left w:val="none" w:sz="0" w:space="0" w:color="auto"/>
                <w:bottom w:val="none" w:sz="0" w:space="0" w:color="auto"/>
                <w:right w:val="none" w:sz="0" w:space="0" w:color="auto"/>
              </w:divBdr>
            </w:div>
            <w:div w:id="470440400">
              <w:marLeft w:val="0"/>
              <w:marRight w:val="0"/>
              <w:marTop w:val="0"/>
              <w:marBottom w:val="0"/>
              <w:divBdr>
                <w:top w:val="none" w:sz="0" w:space="0" w:color="auto"/>
                <w:left w:val="none" w:sz="0" w:space="0" w:color="auto"/>
                <w:bottom w:val="none" w:sz="0" w:space="0" w:color="auto"/>
                <w:right w:val="none" w:sz="0" w:space="0" w:color="auto"/>
              </w:divBdr>
            </w:div>
            <w:div w:id="783842802">
              <w:marLeft w:val="0"/>
              <w:marRight w:val="0"/>
              <w:marTop w:val="0"/>
              <w:marBottom w:val="0"/>
              <w:divBdr>
                <w:top w:val="none" w:sz="0" w:space="0" w:color="auto"/>
                <w:left w:val="none" w:sz="0" w:space="0" w:color="auto"/>
                <w:bottom w:val="none" w:sz="0" w:space="0" w:color="auto"/>
                <w:right w:val="none" w:sz="0" w:space="0" w:color="auto"/>
              </w:divBdr>
            </w:div>
            <w:div w:id="1597444483">
              <w:marLeft w:val="0"/>
              <w:marRight w:val="0"/>
              <w:marTop w:val="0"/>
              <w:marBottom w:val="0"/>
              <w:divBdr>
                <w:top w:val="none" w:sz="0" w:space="0" w:color="auto"/>
                <w:left w:val="none" w:sz="0" w:space="0" w:color="auto"/>
                <w:bottom w:val="none" w:sz="0" w:space="0" w:color="auto"/>
                <w:right w:val="none" w:sz="0" w:space="0" w:color="auto"/>
              </w:divBdr>
            </w:div>
            <w:div w:id="1315911977">
              <w:marLeft w:val="0"/>
              <w:marRight w:val="0"/>
              <w:marTop w:val="0"/>
              <w:marBottom w:val="0"/>
              <w:divBdr>
                <w:top w:val="none" w:sz="0" w:space="0" w:color="auto"/>
                <w:left w:val="none" w:sz="0" w:space="0" w:color="auto"/>
                <w:bottom w:val="none" w:sz="0" w:space="0" w:color="auto"/>
                <w:right w:val="none" w:sz="0" w:space="0" w:color="auto"/>
              </w:divBdr>
            </w:div>
            <w:div w:id="118306388">
              <w:marLeft w:val="0"/>
              <w:marRight w:val="0"/>
              <w:marTop w:val="0"/>
              <w:marBottom w:val="0"/>
              <w:divBdr>
                <w:top w:val="none" w:sz="0" w:space="0" w:color="auto"/>
                <w:left w:val="none" w:sz="0" w:space="0" w:color="auto"/>
                <w:bottom w:val="none" w:sz="0" w:space="0" w:color="auto"/>
                <w:right w:val="none" w:sz="0" w:space="0" w:color="auto"/>
              </w:divBdr>
            </w:div>
          </w:divsChild>
        </w:div>
        <w:div w:id="1515027627">
          <w:marLeft w:val="0"/>
          <w:marRight w:val="0"/>
          <w:marTop w:val="0"/>
          <w:marBottom w:val="0"/>
          <w:divBdr>
            <w:top w:val="none" w:sz="0" w:space="0" w:color="auto"/>
            <w:left w:val="none" w:sz="0" w:space="0" w:color="auto"/>
            <w:bottom w:val="none" w:sz="0" w:space="0" w:color="auto"/>
            <w:right w:val="none" w:sz="0" w:space="0" w:color="auto"/>
          </w:divBdr>
        </w:div>
        <w:div w:id="1540245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limatechangeauthority.gov.au/sites/default/files/documents/2023-11/2023%20APR%20-%20Recommendations.pdf"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southam@reputationedge.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imatechangeauthority.gov.au/sites/default/files/documents/2023-11/2023%20AnnualProgressReport.pdf"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limatechangeauthority.gov.au/sites/default/files/documents/2023-11/2023%20AnnualProgressRepo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02ED0109D1C14384937C76BB34FC72" ma:contentTypeVersion="13" ma:contentTypeDescription="Create a new document." ma:contentTypeScope="" ma:versionID="39f3c167bfb458638abc0c3e61a3dde9">
  <xsd:schema xmlns:xsd="http://www.w3.org/2001/XMLSchema" xmlns:xs="http://www.w3.org/2001/XMLSchema" xmlns:p="http://schemas.microsoft.com/office/2006/metadata/properties" xmlns:ns2="01f85516-a783-4c10-a5da-173b0f1e4d2d" xmlns:ns3="81c01dc6-2c49-4730-b140-874c95cac377" xmlns:ns4="fa84a511-41d9-408b-aad5-c008b81df24c" targetNamespace="http://schemas.microsoft.com/office/2006/metadata/properties" ma:root="true" ma:fieldsID="a3f9553a99ccf0d41bf87936552e1909" ns2:_="" ns3:_="" ns4:_="">
    <xsd:import namespace="01f85516-a783-4c10-a5da-173b0f1e4d2d"/>
    <xsd:import namespace="81c01dc6-2c49-4730-b140-874c95cac377"/>
    <xsd:import namespace="fa84a511-41d9-408b-aad5-c008b81df2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85516-a783-4c10-a5da-173b0f1e4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1f5ee5-73a3-4f04-b3e2-6eb685fefd34}" ma:internalName="TaxCatchAll" ma:showField="CatchAllData" ma:web="b0f6630e-dd97-46ff-8841-d75486bc32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84a511-41d9-408b-aad5-c008b81df2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f85516-a783-4c10-a5da-173b0f1e4d2d">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47EC91A6-5222-4549-BA2C-4C410653A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85516-a783-4c10-a5da-173b0f1e4d2d"/>
    <ds:schemaRef ds:uri="81c01dc6-2c49-4730-b140-874c95cac377"/>
    <ds:schemaRef ds:uri="fa84a511-41d9-408b-aad5-c008b81df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25293-CE3E-4431-8C03-3CB2A92D35DA}">
  <ds:schemaRefs>
    <ds:schemaRef ds:uri="http://schemas.microsoft.com/sharepoint/v3/contenttype/forms"/>
  </ds:schemaRefs>
</ds:datastoreItem>
</file>

<file path=customXml/itemProps3.xml><?xml version="1.0" encoding="utf-8"?>
<ds:datastoreItem xmlns:ds="http://schemas.openxmlformats.org/officeDocument/2006/customXml" ds:itemID="{447FFF78-883A-4B72-82BB-A93B9FF77EFC}">
  <ds:schemaRefs>
    <ds:schemaRef ds:uri="http://schemas.openxmlformats.org/officeDocument/2006/bibliography"/>
  </ds:schemaRefs>
</ds:datastoreItem>
</file>

<file path=customXml/itemProps4.xml><?xml version="1.0" encoding="utf-8"?>
<ds:datastoreItem xmlns:ds="http://schemas.openxmlformats.org/officeDocument/2006/customXml" ds:itemID="{010263E4-C7D8-497C-9C8B-72A2FD9FD32C}">
  <ds:schemaRefs>
    <ds:schemaRef ds:uri="http://schemas.microsoft.com/office/2006/metadata/properties"/>
    <ds:schemaRef ds:uri="http://schemas.microsoft.com/office/infopath/2007/PartnerControls"/>
    <ds:schemaRef ds:uri="01f85516-a783-4c10-a5da-173b0f1e4d2d"/>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Phipps</dc:creator>
  <cp:keywords/>
  <dc:description/>
  <cp:lastModifiedBy>Papandrea, Claudia</cp:lastModifiedBy>
  <cp:revision>10</cp:revision>
  <dcterms:created xsi:type="dcterms:W3CDTF">2023-11-29T07:42:00Z</dcterms:created>
  <dcterms:modified xsi:type="dcterms:W3CDTF">2023-11-29T21:28:00Z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0x0101003202ED0109D1C14384937C76BB34FC72</vt:lpwstr>
  </property>
  <property fmtid="{D5CDD505-2E9C-101B-9397-08002B2CF9AE}" pid="3" name="_dlc_DocIdItemGuid">
    <vt:lpwstr>8ef2d1b0-bd94-4c05-ba67-e14f9da9f1d3</vt:lpwstr>
  </property>
  <property fmtid="{D5CDD505-2E9C-101B-9397-08002B2CF9AE}" pid="4" name="DocHub_Year">
    <vt:lpwstr/>
  </property>
  <property fmtid="{D5CDD505-2E9C-101B-9397-08002B2CF9AE}" pid="5" name="DocHub_DocumentType">
    <vt:lpwstr>53;#Template|9b48ba34-650a-488d-9fe8-e5181e10b797</vt:lpwstr>
  </property>
  <property fmtid="{D5CDD505-2E9C-101B-9397-08002B2CF9AE}" pid="6" name="DocHub_SecurityClassification">
    <vt:lpwstr>7;#OFFICIAL|6106d03b-a1a0-4e30-9d91-d5e9fb4314f9</vt:lpwstr>
  </property>
  <property fmtid="{D5CDD505-2E9C-101B-9397-08002B2CF9AE}" pid="7" name="DocHub_Keywords">
    <vt:lpwstr/>
  </property>
  <property fmtid="{D5CDD505-2E9C-101B-9397-08002B2CF9AE}" pid="8" name="DocHub_WorkActivity">
    <vt:lpwstr/>
  </property>
  <property fmtid="{D5CDD505-2E9C-101B-9397-08002B2CF9AE}" pid="9" name="MediaServiceImageTags">
    <vt:lpwstr/>
  </property>
</Properties>
</file>