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0588" w14:textId="5DE8C0E7" w:rsidR="008345FB" w:rsidRPr="00B21BA5" w:rsidRDefault="00B21BA5" w:rsidP="00B21BA5">
      <w:pPr>
        <w:pStyle w:val="Heading2"/>
        <w:spacing w:line="240" w:lineRule="auto"/>
        <w:rPr>
          <w:sz w:val="52"/>
          <w:szCs w:val="52"/>
        </w:rPr>
      </w:pPr>
      <w:r w:rsidRPr="00B21BA5">
        <w:rPr>
          <w:sz w:val="52"/>
          <w:szCs w:val="52"/>
        </w:rPr>
        <w:t>MEDIA RELEASE</w:t>
      </w:r>
    </w:p>
    <w:p w14:paraId="70507E7C" w14:textId="1286001D" w:rsidR="008345FB" w:rsidRDefault="008345FB" w:rsidP="00B21BA5"/>
    <w:p w14:paraId="5B114239" w14:textId="3ED19BEB" w:rsidR="008345FB" w:rsidRDefault="008345FB" w:rsidP="00B21BA5"/>
    <w:p w14:paraId="40266331" w14:textId="622A33B2" w:rsidR="008345FB" w:rsidRDefault="008345FB" w:rsidP="00B21BA5"/>
    <w:p w14:paraId="578F4240" w14:textId="70D21D2A" w:rsidR="00B21BA5" w:rsidRDefault="00B21BA5" w:rsidP="00B21BA5"/>
    <w:p w14:paraId="03004492" w14:textId="69F06769" w:rsidR="008345FB" w:rsidRPr="00B21BA5" w:rsidRDefault="004E572D" w:rsidP="00F44253">
      <w:pPr>
        <w:pStyle w:val="Heading2"/>
      </w:pPr>
      <w:r>
        <w:rPr>
          <w:color w:val="auto"/>
          <w:sz w:val="28"/>
          <w:szCs w:val="28"/>
        </w:rPr>
        <w:t xml:space="preserve">Carbon sequestration </w:t>
      </w:r>
      <w:r w:rsidR="00277F59">
        <w:rPr>
          <w:color w:val="auto"/>
          <w:sz w:val="28"/>
          <w:szCs w:val="28"/>
        </w:rPr>
        <w:t xml:space="preserve">critical for </w:t>
      </w:r>
      <w:r w:rsidR="003E0E52">
        <w:rPr>
          <w:color w:val="auto"/>
          <w:sz w:val="28"/>
          <w:szCs w:val="28"/>
        </w:rPr>
        <w:t>Australia</w:t>
      </w:r>
      <w:r w:rsidR="009A05AB">
        <w:rPr>
          <w:color w:val="auto"/>
          <w:sz w:val="28"/>
          <w:szCs w:val="28"/>
        </w:rPr>
        <w:t>: New Report</w:t>
      </w:r>
    </w:p>
    <w:p w14:paraId="20462F3B" w14:textId="267AE0D8" w:rsidR="004D0D6C" w:rsidRPr="00B21BA5" w:rsidRDefault="00C72B5E" w:rsidP="00B21BA5">
      <w:pPr>
        <w:rPr>
          <w:b/>
          <w:bCs/>
        </w:rPr>
      </w:pPr>
      <w:r>
        <w:rPr>
          <w:b/>
          <w:bCs/>
        </w:rPr>
        <w:t xml:space="preserve">17 </w:t>
      </w:r>
      <w:r w:rsidR="00071FF9">
        <w:rPr>
          <w:b/>
          <w:bCs/>
        </w:rPr>
        <w:t xml:space="preserve">April </w:t>
      </w:r>
      <w:r w:rsidR="00880550">
        <w:rPr>
          <w:b/>
          <w:bCs/>
        </w:rPr>
        <w:t>2023</w:t>
      </w:r>
      <w:r w:rsidR="004D0D6C" w:rsidRPr="00B21BA5">
        <w:rPr>
          <w:b/>
          <w:bCs/>
        </w:rPr>
        <w:t xml:space="preserve"> </w:t>
      </w:r>
    </w:p>
    <w:p w14:paraId="72612A2B" w14:textId="2E22E235" w:rsidR="00A61179" w:rsidRDefault="00DF1506" w:rsidP="00071FF9">
      <w:pPr>
        <w:spacing w:line="240" w:lineRule="auto"/>
        <w:rPr>
          <w:rFonts w:cstheme="minorHAnsi"/>
          <w:sz w:val="22"/>
        </w:rPr>
      </w:pPr>
      <w:r w:rsidRPr="00490EB5">
        <w:rPr>
          <w:rStyle w:val="normaltextrun"/>
          <w:rFonts w:cs="Calibri"/>
          <w:color w:val="000000"/>
          <w:sz w:val="22"/>
          <w:shd w:val="clear" w:color="auto" w:fill="FFFFFF"/>
        </w:rPr>
        <w:t>Sequestration is a necessary part of any rapid, urgent decarbonisation, and t</w:t>
      </w:r>
      <w:r>
        <w:t xml:space="preserve">he </w:t>
      </w:r>
      <w:r w:rsidRPr="00A61179">
        <w:rPr>
          <w:sz w:val="22"/>
        </w:rPr>
        <w:t>sequestration industry represents a huge opportunity for Australia if we get it right,</w:t>
      </w:r>
      <w:r w:rsidRPr="00FB499F">
        <w:rPr>
          <w:sz w:val="22"/>
        </w:rPr>
        <w:t xml:space="preserve"> </w:t>
      </w:r>
      <w:r>
        <w:rPr>
          <w:sz w:val="22"/>
        </w:rPr>
        <w:t xml:space="preserve">according to a new Insights Report released today by the Climate Change Authority. </w:t>
      </w:r>
    </w:p>
    <w:p w14:paraId="4F9E25C0" w14:textId="4F58F00B" w:rsidR="001D1FDF" w:rsidRDefault="00BA256C" w:rsidP="00071FF9">
      <w:pPr>
        <w:rPr>
          <w:rFonts w:cstheme="minorHAnsi"/>
          <w:sz w:val="22"/>
        </w:rPr>
      </w:pPr>
      <w:r w:rsidRPr="00F44253">
        <w:rPr>
          <w:sz w:val="22"/>
        </w:rPr>
        <w:t>The</w:t>
      </w:r>
      <w:r w:rsidR="001D1FDF" w:rsidRPr="00F44253">
        <w:rPr>
          <w:sz w:val="22"/>
        </w:rPr>
        <w:t xml:space="preserve"> </w:t>
      </w:r>
      <w:r w:rsidRPr="00F44253">
        <w:rPr>
          <w:sz w:val="22"/>
        </w:rPr>
        <w:t xml:space="preserve">paper </w:t>
      </w:r>
      <w:r w:rsidRPr="00F44253">
        <w:rPr>
          <w:rFonts w:cstheme="minorHAnsi"/>
          <w:i/>
          <w:iCs/>
          <w:sz w:val="22"/>
          <w:lang w:val="en-AU"/>
        </w:rPr>
        <w:t>Reduce, remove and store: The role of carbon sequestration in accelerating Australia’s decarbonisation</w:t>
      </w:r>
      <w:r w:rsidR="00C35E69">
        <w:rPr>
          <w:rFonts w:cstheme="minorHAnsi"/>
          <w:sz w:val="22"/>
          <w:lang w:val="en-AU"/>
        </w:rPr>
        <w:t>,</w:t>
      </w:r>
      <w:r w:rsidRPr="00F44253" w:rsidDel="002775CF">
        <w:rPr>
          <w:sz w:val="22"/>
        </w:rPr>
        <w:t xml:space="preserve"> </w:t>
      </w:r>
      <w:r w:rsidR="00071FF9" w:rsidRPr="00A61179">
        <w:rPr>
          <w:sz w:val="22"/>
        </w:rPr>
        <w:t>contains</w:t>
      </w:r>
      <w:r w:rsidR="001D1FDF" w:rsidRPr="00A61179">
        <w:rPr>
          <w:rFonts w:cstheme="minorHAnsi"/>
          <w:sz w:val="22"/>
        </w:rPr>
        <w:t xml:space="preserve"> 2</w:t>
      </w:r>
      <w:r w:rsidR="00CF1ABC" w:rsidRPr="00A61179">
        <w:rPr>
          <w:rFonts w:cstheme="minorHAnsi"/>
          <w:sz w:val="22"/>
        </w:rPr>
        <w:t>3</w:t>
      </w:r>
      <w:r w:rsidR="001D1FDF" w:rsidRPr="00A61179">
        <w:rPr>
          <w:rFonts w:cstheme="minorHAnsi"/>
          <w:sz w:val="22"/>
        </w:rPr>
        <w:t xml:space="preserve"> </w:t>
      </w:r>
      <w:r w:rsidR="001762B8" w:rsidRPr="00A61179">
        <w:rPr>
          <w:rFonts w:cstheme="minorHAnsi"/>
          <w:sz w:val="22"/>
        </w:rPr>
        <w:t xml:space="preserve">policy </w:t>
      </w:r>
      <w:r w:rsidR="001D1FDF" w:rsidRPr="00A61179">
        <w:rPr>
          <w:rFonts w:cstheme="minorHAnsi"/>
          <w:sz w:val="22"/>
        </w:rPr>
        <w:t>insights</w:t>
      </w:r>
      <w:r w:rsidR="001D1FDF" w:rsidRPr="00F44253">
        <w:rPr>
          <w:rFonts w:cstheme="minorHAnsi"/>
          <w:sz w:val="22"/>
        </w:rPr>
        <w:t xml:space="preserve"> </w:t>
      </w:r>
      <w:r w:rsidR="006014CB">
        <w:rPr>
          <w:rFonts w:cstheme="minorHAnsi"/>
          <w:sz w:val="22"/>
        </w:rPr>
        <w:t>as part of a “deep dive”</w:t>
      </w:r>
      <w:r w:rsidR="00071FF9" w:rsidRPr="00071FF9">
        <w:rPr>
          <w:rFonts w:cstheme="minorHAnsi"/>
          <w:sz w:val="22"/>
        </w:rPr>
        <w:t xml:space="preserve"> </w:t>
      </w:r>
      <w:r w:rsidR="00071FF9">
        <w:rPr>
          <w:rFonts w:cstheme="minorHAnsi"/>
          <w:sz w:val="22"/>
        </w:rPr>
        <w:t xml:space="preserve">designed to </w:t>
      </w:r>
      <w:r w:rsidR="00071FF9" w:rsidRPr="00490EB5">
        <w:rPr>
          <w:rFonts w:cs="Calibri"/>
          <w:sz w:val="22"/>
        </w:rPr>
        <w:t xml:space="preserve">help policymakers, emitters and markets to better understand how </w:t>
      </w:r>
      <w:r w:rsidR="00071FF9">
        <w:rPr>
          <w:rFonts w:cs="Calibri"/>
          <w:sz w:val="22"/>
        </w:rPr>
        <w:t>sequestration</w:t>
      </w:r>
      <w:r w:rsidR="00071FF9" w:rsidRPr="00490EB5">
        <w:rPr>
          <w:rFonts w:cs="Calibri"/>
          <w:sz w:val="22"/>
        </w:rPr>
        <w:t xml:space="preserve"> can be scaled</w:t>
      </w:r>
      <w:r w:rsidR="00E2555C">
        <w:rPr>
          <w:rFonts w:cs="Calibri"/>
          <w:sz w:val="22"/>
        </w:rPr>
        <w:t>-up</w:t>
      </w:r>
      <w:r w:rsidR="00071FF9" w:rsidRPr="00490EB5">
        <w:rPr>
          <w:rFonts w:cs="Calibri"/>
          <w:sz w:val="22"/>
        </w:rPr>
        <w:t>, accelerated and used responsibly</w:t>
      </w:r>
      <w:r w:rsidR="00071FF9">
        <w:rPr>
          <w:rFonts w:cstheme="minorHAnsi"/>
          <w:sz w:val="22"/>
        </w:rPr>
        <w:t xml:space="preserve">. </w:t>
      </w:r>
    </w:p>
    <w:p w14:paraId="14F8818B" w14:textId="77777777" w:rsidR="006014CB" w:rsidRPr="00D27504" w:rsidRDefault="006014CB" w:rsidP="0060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 w:rsidRPr="00D27504">
        <w:rPr>
          <w:b/>
          <w:bCs/>
          <w:sz w:val="22"/>
        </w:rPr>
        <w:t>What is Carbon sequestration?</w:t>
      </w:r>
    </w:p>
    <w:p w14:paraId="2D466033" w14:textId="52650068" w:rsidR="00D27504" w:rsidRDefault="006014CB" w:rsidP="0060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D27504">
        <w:rPr>
          <w:sz w:val="22"/>
        </w:rPr>
        <w:t xml:space="preserve">Carbon sequestration is the capture and storage of carbon. </w:t>
      </w:r>
      <w:r w:rsidR="00D27504" w:rsidRPr="00D27504">
        <w:rPr>
          <w:sz w:val="22"/>
        </w:rPr>
        <w:t xml:space="preserve">Carbon can be captured from the atmosphere or from point sources of emissions. </w:t>
      </w:r>
      <w:r w:rsidR="00706B6E" w:rsidRPr="00D27504">
        <w:rPr>
          <w:sz w:val="22"/>
        </w:rPr>
        <w:t>Once captured</w:t>
      </w:r>
      <w:r w:rsidR="00D27504">
        <w:rPr>
          <w:sz w:val="22"/>
        </w:rPr>
        <w:t xml:space="preserve">, </w:t>
      </w:r>
      <w:r w:rsidR="00706B6E" w:rsidRPr="00D27504">
        <w:rPr>
          <w:sz w:val="22"/>
        </w:rPr>
        <w:t xml:space="preserve">carbon </w:t>
      </w:r>
      <w:r w:rsidR="00D27504">
        <w:rPr>
          <w:sz w:val="22"/>
        </w:rPr>
        <w:t>can be</w:t>
      </w:r>
      <w:r w:rsidR="00706B6E" w:rsidRPr="00D27504">
        <w:rPr>
          <w:sz w:val="22"/>
        </w:rPr>
        <w:t xml:space="preserve"> stored in geological formations, biological material, minerals, </w:t>
      </w:r>
      <w:r w:rsidR="00D27504">
        <w:rPr>
          <w:sz w:val="22"/>
        </w:rPr>
        <w:t xml:space="preserve">the ocean or </w:t>
      </w:r>
      <w:r w:rsidR="00706B6E" w:rsidRPr="00D27504">
        <w:rPr>
          <w:sz w:val="22"/>
        </w:rPr>
        <w:t>long-lived products.</w:t>
      </w:r>
    </w:p>
    <w:p w14:paraId="79224CED" w14:textId="1CD64DAA" w:rsidR="006014CB" w:rsidRDefault="006014CB" w:rsidP="006014CB">
      <w:pPr>
        <w:rPr>
          <w:sz w:val="22"/>
        </w:rPr>
      </w:pPr>
      <w:r>
        <w:rPr>
          <w:sz w:val="22"/>
        </w:rPr>
        <w:t>“</w:t>
      </w:r>
      <w:r w:rsidRPr="00663EF5">
        <w:rPr>
          <w:sz w:val="22"/>
        </w:rPr>
        <w:t>Meeting the Paris Agreement objectives for limiting global warming is only possible with both rapid</w:t>
      </w:r>
      <w:r>
        <w:rPr>
          <w:sz w:val="22"/>
        </w:rPr>
        <w:t xml:space="preserve"> </w:t>
      </w:r>
      <w:r w:rsidRPr="00663EF5">
        <w:rPr>
          <w:sz w:val="22"/>
        </w:rPr>
        <w:t>reductions in global greenhouse gas emissions and the removal of emissions from the</w:t>
      </w:r>
      <w:r>
        <w:rPr>
          <w:sz w:val="22"/>
        </w:rPr>
        <w:t xml:space="preserve"> </w:t>
      </w:r>
      <w:r w:rsidRPr="00663EF5">
        <w:rPr>
          <w:sz w:val="22"/>
        </w:rPr>
        <w:t>atmosphere.</w:t>
      </w:r>
      <w:r>
        <w:rPr>
          <w:sz w:val="22"/>
        </w:rPr>
        <w:t xml:space="preserve"> </w:t>
      </w:r>
      <w:r w:rsidRPr="00663EF5">
        <w:rPr>
          <w:sz w:val="22"/>
        </w:rPr>
        <w:t>The I</w:t>
      </w:r>
      <w:r w:rsidR="002607DB">
        <w:rPr>
          <w:sz w:val="22"/>
        </w:rPr>
        <w:t xml:space="preserve">ntergovernmental </w:t>
      </w:r>
      <w:r w:rsidRPr="00663EF5">
        <w:rPr>
          <w:sz w:val="22"/>
        </w:rPr>
        <w:t>P</w:t>
      </w:r>
      <w:r w:rsidR="002607DB">
        <w:rPr>
          <w:sz w:val="22"/>
        </w:rPr>
        <w:t xml:space="preserve">anel on </w:t>
      </w:r>
      <w:r w:rsidRPr="00663EF5">
        <w:rPr>
          <w:sz w:val="22"/>
        </w:rPr>
        <w:t>C</w:t>
      </w:r>
      <w:r w:rsidR="002607DB">
        <w:rPr>
          <w:sz w:val="22"/>
        </w:rPr>
        <w:t xml:space="preserve">limate </w:t>
      </w:r>
      <w:r w:rsidRPr="00663EF5">
        <w:rPr>
          <w:sz w:val="22"/>
        </w:rPr>
        <w:t>C</w:t>
      </w:r>
      <w:r w:rsidR="002607DB">
        <w:rPr>
          <w:sz w:val="22"/>
        </w:rPr>
        <w:t>hange</w:t>
      </w:r>
      <w:r w:rsidRPr="00663EF5">
        <w:rPr>
          <w:sz w:val="22"/>
        </w:rPr>
        <w:t xml:space="preserve"> and I</w:t>
      </w:r>
      <w:r w:rsidR="002607DB">
        <w:rPr>
          <w:sz w:val="22"/>
        </w:rPr>
        <w:t xml:space="preserve">nternational </w:t>
      </w:r>
      <w:r w:rsidRPr="00663EF5">
        <w:rPr>
          <w:sz w:val="22"/>
        </w:rPr>
        <w:t>E</w:t>
      </w:r>
      <w:r w:rsidR="002607DB">
        <w:rPr>
          <w:sz w:val="22"/>
        </w:rPr>
        <w:t xml:space="preserve">nergy </w:t>
      </w:r>
      <w:r w:rsidRPr="00663EF5">
        <w:rPr>
          <w:sz w:val="22"/>
        </w:rPr>
        <w:t>A</w:t>
      </w:r>
      <w:r w:rsidR="002607DB">
        <w:rPr>
          <w:sz w:val="22"/>
        </w:rPr>
        <w:t>gency</w:t>
      </w:r>
      <w:r w:rsidRPr="00663EF5">
        <w:rPr>
          <w:sz w:val="22"/>
        </w:rPr>
        <w:t xml:space="preserve"> indicate the only technically feasible, cost effective and socially </w:t>
      </w:r>
      <w:r>
        <w:rPr>
          <w:sz w:val="22"/>
        </w:rPr>
        <w:t>a</w:t>
      </w:r>
      <w:r w:rsidRPr="00663EF5">
        <w:rPr>
          <w:sz w:val="22"/>
        </w:rPr>
        <w:t>cceptable</w:t>
      </w:r>
      <w:r>
        <w:rPr>
          <w:sz w:val="22"/>
        </w:rPr>
        <w:t xml:space="preserve"> </w:t>
      </w:r>
      <w:r w:rsidRPr="00663EF5">
        <w:rPr>
          <w:sz w:val="22"/>
        </w:rPr>
        <w:t>pathways to net zero by 2050 combine ambitious emissions reductions with carbon dioxide</w:t>
      </w:r>
      <w:r>
        <w:rPr>
          <w:sz w:val="22"/>
        </w:rPr>
        <w:t xml:space="preserve"> </w:t>
      </w:r>
      <w:r w:rsidRPr="00663EF5">
        <w:rPr>
          <w:sz w:val="22"/>
        </w:rPr>
        <w:t>removals at far greater scale than at present</w:t>
      </w:r>
      <w:r>
        <w:rPr>
          <w:sz w:val="22"/>
        </w:rPr>
        <w:t>,</w:t>
      </w:r>
      <w:r w:rsidR="002607DB">
        <w:rPr>
          <w:sz w:val="22"/>
        </w:rPr>
        <w:t>”</w:t>
      </w:r>
      <w:r w:rsidR="00D854ED">
        <w:rPr>
          <w:sz w:val="22"/>
        </w:rPr>
        <w:t xml:space="preserve"> </w:t>
      </w:r>
      <w:r w:rsidR="00DF1506">
        <w:rPr>
          <w:sz w:val="22"/>
        </w:rPr>
        <w:t>Mr Brad Archer, CEO of the Climate Change Authority said</w:t>
      </w:r>
      <w:r w:rsidR="00DF1506">
        <w:t>.</w:t>
      </w:r>
    </w:p>
    <w:p w14:paraId="33EE2AB7" w14:textId="7253F732" w:rsidR="006014CB" w:rsidRDefault="006014CB" w:rsidP="006014CB">
      <w:pPr>
        <w:rPr>
          <w:sz w:val="22"/>
        </w:rPr>
      </w:pPr>
      <w:r w:rsidRPr="00663EF5">
        <w:rPr>
          <w:sz w:val="22"/>
        </w:rPr>
        <w:t>The I</w:t>
      </w:r>
      <w:r w:rsidR="00DE2818">
        <w:rPr>
          <w:sz w:val="22"/>
        </w:rPr>
        <w:t xml:space="preserve">ntergovernmental </w:t>
      </w:r>
      <w:r w:rsidRPr="00663EF5">
        <w:rPr>
          <w:sz w:val="22"/>
        </w:rPr>
        <w:t>P</w:t>
      </w:r>
      <w:r w:rsidR="00DE2818">
        <w:rPr>
          <w:sz w:val="22"/>
        </w:rPr>
        <w:t xml:space="preserve">anel on </w:t>
      </w:r>
      <w:r w:rsidRPr="00663EF5">
        <w:rPr>
          <w:sz w:val="22"/>
        </w:rPr>
        <w:t>C</w:t>
      </w:r>
      <w:r w:rsidR="00DE2818">
        <w:rPr>
          <w:sz w:val="22"/>
        </w:rPr>
        <w:t xml:space="preserve">limate </w:t>
      </w:r>
      <w:r w:rsidRPr="00663EF5">
        <w:rPr>
          <w:sz w:val="22"/>
        </w:rPr>
        <w:t>C</w:t>
      </w:r>
      <w:r w:rsidR="00DE2818">
        <w:rPr>
          <w:sz w:val="22"/>
        </w:rPr>
        <w:t>hange</w:t>
      </w:r>
      <w:r w:rsidRPr="00663EF5">
        <w:rPr>
          <w:sz w:val="22"/>
        </w:rPr>
        <w:t xml:space="preserve"> estimates that for a 50 per cent chance of limiting global warming to below 1.5°C, around 6</w:t>
      </w:r>
      <w:r>
        <w:rPr>
          <w:sz w:val="22"/>
        </w:rPr>
        <w:t xml:space="preserve"> </w:t>
      </w:r>
      <w:r w:rsidRPr="00663EF5">
        <w:rPr>
          <w:sz w:val="22"/>
        </w:rPr>
        <w:t>billion tonnes of CO</w:t>
      </w:r>
      <w:r w:rsidRPr="00312D2E">
        <w:rPr>
          <w:sz w:val="22"/>
          <w:vertAlign w:val="subscript"/>
        </w:rPr>
        <w:t>2</w:t>
      </w:r>
      <w:r w:rsidRPr="00663EF5">
        <w:rPr>
          <w:sz w:val="22"/>
        </w:rPr>
        <w:t xml:space="preserve"> would have to be removed per year by 2050 globally, and about 14 billion</w:t>
      </w:r>
      <w:r>
        <w:rPr>
          <w:sz w:val="22"/>
        </w:rPr>
        <w:t xml:space="preserve"> </w:t>
      </w:r>
      <w:r w:rsidRPr="00663EF5">
        <w:rPr>
          <w:sz w:val="22"/>
        </w:rPr>
        <w:t>tonnes per year by 2100.</w:t>
      </w:r>
    </w:p>
    <w:p w14:paraId="52E989D1" w14:textId="55C5B5A5" w:rsidR="006014CB" w:rsidRDefault="006014CB" w:rsidP="006014CB">
      <w:pPr>
        <w:rPr>
          <w:sz w:val="22"/>
        </w:rPr>
      </w:pPr>
      <w:r>
        <w:rPr>
          <w:sz w:val="22"/>
        </w:rPr>
        <w:t>“</w:t>
      </w:r>
      <w:r w:rsidR="009D39B9">
        <w:rPr>
          <w:sz w:val="22"/>
        </w:rPr>
        <w:t>T</w:t>
      </w:r>
      <w:r w:rsidR="00D27504" w:rsidRPr="00E5666B">
        <w:rPr>
          <w:rFonts w:cstheme="minorHAnsi"/>
          <w:sz w:val="22"/>
        </w:rPr>
        <w:t xml:space="preserve">he </w:t>
      </w:r>
      <w:r w:rsidR="009D39B9">
        <w:rPr>
          <w:rFonts w:cstheme="minorHAnsi"/>
          <w:sz w:val="22"/>
        </w:rPr>
        <w:t xml:space="preserve">Authority’s </w:t>
      </w:r>
      <w:r w:rsidR="00D27504" w:rsidRPr="00E5666B">
        <w:rPr>
          <w:rFonts w:cstheme="minorHAnsi"/>
          <w:sz w:val="22"/>
        </w:rPr>
        <w:t xml:space="preserve">Report </w:t>
      </w:r>
      <w:r w:rsidR="00D27504">
        <w:rPr>
          <w:rFonts w:cstheme="minorHAnsi"/>
          <w:sz w:val="22"/>
        </w:rPr>
        <w:t xml:space="preserve">highlights that </w:t>
      </w:r>
      <w:r w:rsidR="00D27504" w:rsidRPr="00E5666B">
        <w:rPr>
          <w:rFonts w:cstheme="minorHAnsi"/>
          <w:sz w:val="22"/>
        </w:rPr>
        <w:t>more work</w:t>
      </w:r>
      <w:r w:rsidR="00D27504">
        <w:rPr>
          <w:rFonts w:cstheme="minorHAnsi"/>
          <w:sz w:val="22"/>
        </w:rPr>
        <w:t xml:space="preserve"> is</w:t>
      </w:r>
      <w:r w:rsidR="00D27504" w:rsidRPr="00E5666B">
        <w:rPr>
          <w:rFonts w:cstheme="minorHAnsi"/>
          <w:sz w:val="22"/>
        </w:rPr>
        <w:t xml:space="preserve"> required to map </w:t>
      </w:r>
      <w:r w:rsidRPr="00B61738">
        <w:rPr>
          <w:sz w:val="22"/>
        </w:rPr>
        <w:t>and understand</w:t>
      </w:r>
      <w:r w:rsidR="00254A74">
        <w:rPr>
          <w:sz w:val="22"/>
        </w:rPr>
        <w:t xml:space="preserve"> just how much of </w:t>
      </w:r>
      <w:r w:rsidR="00D27504">
        <w:rPr>
          <w:sz w:val="22"/>
        </w:rPr>
        <w:t>Australia’s sequestration</w:t>
      </w:r>
      <w:r w:rsidR="00254A74">
        <w:rPr>
          <w:sz w:val="22"/>
        </w:rPr>
        <w:t xml:space="preserve"> potential can be </w:t>
      </w:r>
      <w:proofErr w:type="spellStart"/>
      <w:r w:rsidR="00254A74">
        <w:rPr>
          <w:sz w:val="22"/>
        </w:rPr>
        <w:t>realised</w:t>
      </w:r>
      <w:proofErr w:type="spellEnd"/>
      <w:r>
        <w:rPr>
          <w:sz w:val="22"/>
        </w:rPr>
        <w:t xml:space="preserve">,” </w:t>
      </w:r>
      <w:r w:rsidR="00DF1506">
        <w:rPr>
          <w:sz w:val="22"/>
        </w:rPr>
        <w:t xml:space="preserve">said </w:t>
      </w:r>
      <w:proofErr w:type="spellStart"/>
      <w:r w:rsidR="00DF1506">
        <w:rPr>
          <w:sz w:val="22"/>
        </w:rPr>
        <w:t>Mr</w:t>
      </w:r>
      <w:proofErr w:type="spellEnd"/>
      <w:r w:rsidR="00DF1506">
        <w:rPr>
          <w:sz w:val="22"/>
        </w:rPr>
        <w:t> Archer</w:t>
      </w:r>
      <w:r>
        <w:rPr>
          <w:sz w:val="22"/>
        </w:rPr>
        <w:t>.</w:t>
      </w:r>
    </w:p>
    <w:p w14:paraId="72F70891" w14:textId="60FD29F7" w:rsidR="00310DE8" w:rsidRPr="00312D2E" w:rsidRDefault="00D27504" w:rsidP="00F44253">
      <w:pPr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“While reducing emissions at source is critical, the extent of the climate challenge means there must be </w:t>
      </w:r>
      <w:bookmarkStart w:id="0" w:name="_Hlk132172664"/>
      <w:r>
        <w:rPr>
          <w:rFonts w:cstheme="minorHAnsi"/>
          <w:sz w:val="22"/>
        </w:rPr>
        <w:t xml:space="preserve">effort </w:t>
      </w:r>
      <w:r w:rsidR="0006339F">
        <w:rPr>
          <w:rFonts w:cstheme="minorHAnsi"/>
          <w:sz w:val="22"/>
        </w:rPr>
        <w:t xml:space="preserve">directed to </w:t>
      </w:r>
      <w:r>
        <w:rPr>
          <w:rFonts w:cstheme="minorHAnsi"/>
          <w:sz w:val="22"/>
        </w:rPr>
        <w:t>sequestration</w:t>
      </w:r>
      <w:bookmarkEnd w:id="0"/>
      <w:r>
        <w:rPr>
          <w:rFonts w:cstheme="minorHAnsi"/>
          <w:sz w:val="22"/>
        </w:rPr>
        <w:t xml:space="preserve">. </w:t>
      </w:r>
      <w:r w:rsidR="00B401F3">
        <w:rPr>
          <w:rFonts w:cstheme="minorHAnsi"/>
          <w:sz w:val="22"/>
        </w:rPr>
        <w:t>We need to use all the tools in the</w:t>
      </w:r>
      <w:r w:rsidR="00286556">
        <w:rPr>
          <w:rFonts w:cstheme="minorHAnsi"/>
          <w:sz w:val="22"/>
        </w:rPr>
        <w:t xml:space="preserve"> </w:t>
      </w:r>
      <w:r w:rsidR="00B401F3">
        <w:rPr>
          <w:rFonts w:cstheme="minorHAnsi"/>
          <w:sz w:val="22"/>
        </w:rPr>
        <w:t>toolkit</w:t>
      </w:r>
      <w:r w:rsidR="00033F7D">
        <w:rPr>
          <w:rFonts w:cstheme="minorHAnsi"/>
          <w:sz w:val="22"/>
        </w:rPr>
        <w:t xml:space="preserve">. That includes </w:t>
      </w:r>
      <w:r w:rsidR="00312D2E" w:rsidRPr="00490EB5">
        <w:rPr>
          <w:rFonts w:cs="Calibri"/>
          <w:sz w:val="22"/>
        </w:rPr>
        <w:t xml:space="preserve">developing a carefully designed portfolio of approaches, as no single technology can achieve the levels </w:t>
      </w:r>
      <w:r w:rsidR="00033F7D">
        <w:rPr>
          <w:rFonts w:cs="Calibri"/>
          <w:sz w:val="22"/>
        </w:rPr>
        <w:t xml:space="preserve">of sequestration </w:t>
      </w:r>
      <w:r w:rsidR="00312D2E" w:rsidRPr="00490EB5">
        <w:rPr>
          <w:rFonts w:cs="Calibri"/>
          <w:sz w:val="22"/>
        </w:rPr>
        <w:t>likely to be needed.</w:t>
      </w:r>
      <w:r w:rsidRPr="00E5666B">
        <w:rPr>
          <w:rFonts w:cstheme="minorHAnsi"/>
          <w:sz w:val="22"/>
        </w:rPr>
        <w:t>”</w:t>
      </w:r>
    </w:p>
    <w:p w14:paraId="58BA3657" w14:textId="4B092C30" w:rsidR="00991024" w:rsidRPr="00F44253" w:rsidRDefault="00D27504" w:rsidP="00F44253">
      <w:pPr>
        <w:spacing w:line="240" w:lineRule="auto"/>
        <w:rPr>
          <w:sz w:val="22"/>
        </w:rPr>
      </w:pPr>
      <w:r>
        <w:rPr>
          <w:sz w:val="22"/>
        </w:rPr>
        <w:t xml:space="preserve">Other key policy </w:t>
      </w:r>
      <w:r w:rsidR="009315CB" w:rsidRPr="00F44253">
        <w:rPr>
          <w:sz w:val="22"/>
        </w:rPr>
        <w:t>insights</w:t>
      </w:r>
      <w:r w:rsidR="00991024" w:rsidRPr="00F44253">
        <w:rPr>
          <w:sz w:val="22"/>
        </w:rPr>
        <w:t xml:space="preserve"> </w:t>
      </w:r>
      <w:r>
        <w:rPr>
          <w:sz w:val="22"/>
        </w:rPr>
        <w:t xml:space="preserve">from the report </w:t>
      </w:r>
      <w:r w:rsidR="00991024" w:rsidRPr="00F44253">
        <w:rPr>
          <w:sz w:val="22"/>
        </w:rPr>
        <w:t>include:</w:t>
      </w:r>
    </w:p>
    <w:p w14:paraId="165296E2" w14:textId="67C87B36" w:rsidR="00A54435" w:rsidRPr="00E67110" w:rsidRDefault="00A54435" w:rsidP="00A54435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The </w:t>
      </w:r>
      <w:r w:rsidR="00440A60">
        <w:rPr>
          <w:sz w:val="22"/>
        </w:rPr>
        <w:t>G</w:t>
      </w:r>
      <w:r w:rsidR="00440A60" w:rsidRPr="00A61179">
        <w:rPr>
          <w:sz w:val="22"/>
        </w:rPr>
        <w:t xml:space="preserve">overnment’s </w:t>
      </w:r>
      <w:r w:rsidR="00440A60">
        <w:rPr>
          <w:sz w:val="22"/>
        </w:rPr>
        <w:t xml:space="preserve">forthcoming </w:t>
      </w:r>
      <w:r w:rsidRPr="00A61179">
        <w:rPr>
          <w:sz w:val="22"/>
        </w:rPr>
        <w:t>net zero plan and the Authority’s Annual Progress Reports should include sequestration and identify how it will be delivered and used over</w:t>
      </w:r>
      <w:r w:rsidR="00286556">
        <w:rPr>
          <w:sz w:val="22"/>
        </w:rPr>
        <w:t xml:space="preserve"> </w:t>
      </w:r>
      <w:r w:rsidRPr="00A61179">
        <w:rPr>
          <w:sz w:val="22"/>
        </w:rPr>
        <w:t>time.</w:t>
      </w:r>
    </w:p>
    <w:p w14:paraId="39F35F3E" w14:textId="78C8C14F" w:rsidR="00A54435" w:rsidRPr="00E67110" w:rsidRDefault="00A54435" w:rsidP="00A54435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Separate targets for emissions reduction and </w:t>
      </w:r>
      <w:r w:rsidR="00440A60">
        <w:rPr>
          <w:sz w:val="22"/>
        </w:rPr>
        <w:t xml:space="preserve">carbon </w:t>
      </w:r>
      <w:r w:rsidRPr="00A61179">
        <w:rPr>
          <w:sz w:val="22"/>
        </w:rPr>
        <w:t>removal</w:t>
      </w:r>
      <w:r w:rsidR="00440A60">
        <w:rPr>
          <w:sz w:val="22"/>
        </w:rPr>
        <w:t>s</w:t>
      </w:r>
      <w:r w:rsidRPr="00A61179">
        <w:rPr>
          <w:sz w:val="22"/>
        </w:rPr>
        <w:t xml:space="preserve"> should be set to help </w:t>
      </w:r>
      <w:proofErr w:type="spellStart"/>
      <w:r w:rsidRPr="00A61179">
        <w:rPr>
          <w:sz w:val="22"/>
        </w:rPr>
        <w:t>incentivise</w:t>
      </w:r>
      <w:proofErr w:type="spellEnd"/>
      <w:r w:rsidRPr="00A61179">
        <w:rPr>
          <w:sz w:val="22"/>
        </w:rPr>
        <w:t xml:space="preserve"> future demand and help guard against sequestration being used to delay emissions reductions.</w:t>
      </w:r>
    </w:p>
    <w:p w14:paraId="1AA29389" w14:textId="5B9C6BC4" w:rsidR="00A54435" w:rsidRPr="00E67110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Sectoral pathways and targets for decarbonisation would </w:t>
      </w:r>
      <w:r w:rsidR="00440A60">
        <w:rPr>
          <w:sz w:val="22"/>
        </w:rPr>
        <w:t xml:space="preserve">improve understanding of the likely </w:t>
      </w:r>
      <w:r w:rsidRPr="00A61179">
        <w:rPr>
          <w:sz w:val="22"/>
        </w:rPr>
        <w:t xml:space="preserve">future </w:t>
      </w:r>
      <w:r w:rsidR="00440A60">
        <w:rPr>
          <w:sz w:val="22"/>
        </w:rPr>
        <w:t xml:space="preserve">demand for </w:t>
      </w:r>
      <w:r w:rsidRPr="00A61179">
        <w:rPr>
          <w:sz w:val="22"/>
        </w:rPr>
        <w:t xml:space="preserve">sequestration, by clarifying the extent to which mitigation is likely to be possible, particularly from production processes in the agriculture and industrial sectors. </w:t>
      </w:r>
    </w:p>
    <w:p w14:paraId="05B26FFB" w14:textId="1FAAD089" w:rsidR="00A54435" w:rsidRPr="00E67110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bookmarkStart w:id="1" w:name="_Hlk132172969"/>
      <w:r w:rsidRPr="00A61179">
        <w:rPr>
          <w:sz w:val="22"/>
        </w:rPr>
        <w:t xml:space="preserve">Governments should pursue policies that help ensure there is adequate supply of sequestration </w:t>
      </w:r>
      <w:r w:rsidRPr="00A61179">
        <w:rPr>
          <w:sz w:val="22"/>
        </w:rPr>
        <w:lastRenderedPageBreak/>
        <w:t>to meet demand</w:t>
      </w:r>
      <w:r w:rsidR="00B2437C">
        <w:rPr>
          <w:sz w:val="22"/>
        </w:rPr>
        <w:t>,</w:t>
      </w:r>
      <w:r w:rsidRPr="00A61179">
        <w:rPr>
          <w:sz w:val="22"/>
        </w:rPr>
        <w:t xml:space="preserve"> including policies that: 1) </w:t>
      </w:r>
      <w:proofErr w:type="spellStart"/>
      <w:r w:rsidRPr="00A61179">
        <w:rPr>
          <w:sz w:val="22"/>
        </w:rPr>
        <w:t>prioritise</w:t>
      </w:r>
      <w:proofErr w:type="spellEnd"/>
      <w:r w:rsidRPr="00A61179">
        <w:rPr>
          <w:sz w:val="22"/>
        </w:rPr>
        <w:t xml:space="preserve"> direct emissions reductions where economically feasible; 2) protect, increase, and renew biological sequestration; and 3) scale-up engineered and geological sequestration, both onshore and offshore.</w:t>
      </w:r>
    </w:p>
    <w:bookmarkEnd w:id="1"/>
    <w:p w14:paraId="140D6CAA" w14:textId="6AD1C4BE" w:rsidR="00A54435" w:rsidRPr="00E67110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Australia should </w:t>
      </w:r>
      <w:proofErr w:type="spellStart"/>
      <w:r w:rsidRPr="00A61179">
        <w:rPr>
          <w:sz w:val="22"/>
        </w:rPr>
        <w:t>prioritise</w:t>
      </w:r>
      <w:proofErr w:type="spellEnd"/>
      <w:r w:rsidRPr="00A61179">
        <w:rPr>
          <w:sz w:val="22"/>
        </w:rPr>
        <w:t xml:space="preserve"> sequestration approaches that make optimum use of resources (land, energy, and water) for the volume of carbon stored. Addressing market imperfections would enable markets to better resolve trade-offs in an economically efficient way.</w:t>
      </w:r>
    </w:p>
    <w:p w14:paraId="1D11178F" w14:textId="241653B5" w:rsidR="00A54435" w:rsidRDefault="00A54435" w:rsidP="00F44253">
      <w:pPr>
        <w:pStyle w:val="ListParagraph"/>
        <w:numPr>
          <w:ilvl w:val="0"/>
          <w:numId w:val="15"/>
        </w:numPr>
        <w:spacing w:line="240" w:lineRule="auto"/>
        <w:rPr>
          <w:sz w:val="22"/>
        </w:rPr>
      </w:pPr>
      <w:r w:rsidRPr="00A61179">
        <w:rPr>
          <w:sz w:val="22"/>
        </w:rPr>
        <w:t xml:space="preserve">Global demand for sequestration and low emissions energy is expected to grow rapidly over the coming decades, presenting economic opportunities for Australia to </w:t>
      </w:r>
      <w:r w:rsidR="00B2437C">
        <w:rPr>
          <w:sz w:val="22"/>
        </w:rPr>
        <w:t xml:space="preserve">support increasing </w:t>
      </w:r>
      <w:r w:rsidRPr="00A61179">
        <w:rPr>
          <w:sz w:val="22"/>
        </w:rPr>
        <w:t>global ambition, establish new industries and reinvent existing ones.</w:t>
      </w:r>
    </w:p>
    <w:p w14:paraId="111750F3" w14:textId="5D9D4321" w:rsidR="007B24DE" w:rsidRDefault="008641E7" w:rsidP="00F44253">
      <w:pPr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The policy insights presented in this paper</w:t>
      </w:r>
      <w:r w:rsidR="0052449D" w:rsidRPr="00F44253">
        <w:rPr>
          <w:rFonts w:cstheme="minorHAnsi"/>
          <w:sz w:val="22"/>
        </w:rPr>
        <w:t xml:space="preserve"> will inform the Authority’s </w:t>
      </w:r>
      <w:r>
        <w:rPr>
          <w:rFonts w:cstheme="minorHAnsi"/>
          <w:sz w:val="22"/>
        </w:rPr>
        <w:t>upcoming</w:t>
      </w:r>
      <w:r w:rsidR="0052449D" w:rsidRPr="00F44253">
        <w:rPr>
          <w:rFonts w:cstheme="minorHAnsi"/>
          <w:sz w:val="22"/>
        </w:rPr>
        <w:t xml:space="preserve"> work</w:t>
      </w:r>
      <w:r w:rsidR="007B24DE">
        <w:rPr>
          <w:rFonts w:cstheme="minorHAnsi"/>
          <w:sz w:val="22"/>
        </w:rPr>
        <w:t>, including advice for the Minister</w:t>
      </w:r>
      <w:r>
        <w:rPr>
          <w:rFonts w:cstheme="minorHAnsi"/>
          <w:sz w:val="22"/>
        </w:rPr>
        <w:t xml:space="preserve"> for Climate Change and Energy</w:t>
      </w:r>
      <w:r w:rsidR="007B24DE">
        <w:rPr>
          <w:rFonts w:cstheme="minorHAnsi"/>
          <w:sz w:val="22"/>
        </w:rPr>
        <w:t xml:space="preserve">’s second Annual Climate Change Statement and Australia’s next Nationally Determined Contribution. </w:t>
      </w:r>
    </w:p>
    <w:p w14:paraId="34F3F342" w14:textId="22B478E2" w:rsidR="009B23AC" w:rsidRPr="00F44253" w:rsidRDefault="00B92CDE" w:rsidP="00F44253">
      <w:pPr>
        <w:spacing w:line="240" w:lineRule="auto"/>
        <w:rPr>
          <w:rFonts w:cstheme="minorHAnsi"/>
          <w:sz w:val="22"/>
        </w:rPr>
      </w:pPr>
      <w:r w:rsidRPr="00F44253">
        <w:rPr>
          <w:rFonts w:cstheme="minorHAnsi"/>
          <w:sz w:val="22"/>
        </w:rPr>
        <w:t xml:space="preserve">To learn more: </w:t>
      </w:r>
      <w:r w:rsidRPr="00651C7B">
        <w:rPr>
          <w:rFonts w:cstheme="minorHAnsi"/>
          <w:sz w:val="22"/>
        </w:rPr>
        <w:t xml:space="preserve">click </w:t>
      </w:r>
      <w:hyperlink r:id="rId12" w:history="1">
        <w:r w:rsidRPr="008002C9">
          <w:rPr>
            <w:rStyle w:val="Hyperlink"/>
            <w:rFonts w:cstheme="minorHAnsi"/>
            <w:sz w:val="22"/>
          </w:rPr>
          <w:t>here</w:t>
        </w:r>
      </w:hyperlink>
      <w:r w:rsidR="00F86CC4" w:rsidRPr="00651C7B">
        <w:rPr>
          <w:rFonts w:cstheme="minorHAnsi"/>
          <w:sz w:val="22"/>
        </w:rPr>
        <w:t>.</w:t>
      </w:r>
    </w:p>
    <w:p w14:paraId="29AA90E6" w14:textId="3B2DD318" w:rsidR="00B903B0" w:rsidRPr="00F44253" w:rsidRDefault="002E2AC5" w:rsidP="00F44253">
      <w:pPr>
        <w:spacing w:line="240" w:lineRule="auto"/>
        <w:rPr>
          <w:b/>
          <w:bCs/>
          <w:sz w:val="22"/>
        </w:rPr>
      </w:pPr>
      <w:r w:rsidRPr="00F44253">
        <w:rPr>
          <w:i/>
          <w:iCs/>
          <w:sz w:val="22"/>
        </w:rPr>
        <w:t xml:space="preserve">Media Inquiries to </w:t>
      </w:r>
      <w:hyperlink r:id="rId13" w:history="1">
        <w:r w:rsidR="00421DE8" w:rsidRPr="009923B7">
          <w:rPr>
            <w:rStyle w:val="Hyperlink"/>
            <w:i/>
            <w:iCs/>
            <w:sz w:val="22"/>
          </w:rPr>
          <w:t>commsandmedia@climatechangeauthority.gov.a</w:t>
        </w:r>
        <w:r w:rsidR="00421DE8" w:rsidRPr="009923B7">
          <w:rPr>
            <w:rStyle w:val="Hyperlink"/>
            <w:i/>
            <w:iCs/>
            <w:sz w:val="22"/>
          </w:rPr>
          <w:t>u</w:t>
        </w:r>
      </w:hyperlink>
      <w:r w:rsidR="00421DE8">
        <w:rPr>
          <w:i/>
          <w:iCs/>
          <w:sz w:val="22"/>
        </w:rPr>
        <w:t xml:space="preserve">. </w:t>
      </w:r>
    </w:p>
    <w:sectPr w:rsidR="00B903B0" w:rsidRPr="00F44253" w:rsidSect="001A3C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39"/>
      <w:pgMar w:top="1701" w:right="1588" w:bottom="1021" w:left="102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909D" w14:textId="77777777" w:rsidR="000A669A" w:rsidRDefault="000A669A" w:rsidP="00FA1E33">
      <w:r>
        <w:separator/>
      </w:r>
    </w:p>
  </w:endnote>
  <w:endnote w:type="continuationSeparator" w:id="0">
    <w:p w14:paraId="0DDA67BE" w14:textId="77777777" w:rsidR="000A669A" w:rsidRDefault="000A669A" w:rsidP="00FA1E33">
      <w:r>
        <w:continuationSeparator/>
      </w:r>
    </w:p>
  </w:endnote>
  <w:endnote w:type="continuationNotice" w:id="1">
    <w:p w14:paraId="0E2B4F47" w14:textId="77777777" w:rsidR="000A669A" w:rsidRDefault="000A6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TLAK+Calibri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166" w14:textId="77777777" w:rsidR="003A582C" w:rsidRDefault="003A5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309B" w14:textId="3761BDEE" w:rsidR="00B07D4C" w:rsidRDefault="00B07D4C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56704" behindDoc="0" locked="0" layoutInCell="1" allowOverlap="1" wp14:anchorId="3BC012B3" wp14:editId="0A6A6CE1">
          <wp:simplePos x="0" y="0"/>
          <wp:positionH relativeFrom="page">
            <wp:posOffset>184382</wp:posOffset>
          </wp:positionH>
          <wp:positionV relativeFrom="page">
            <wp:posOffset>9698636</wp:posOffset>
          </wp:positionV>
          <wp:extent cx="7191000" cy="846000"/>
          <wp:effectExtent l="0" t="0" r="0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6243 AGCCA Footer+We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1000" cy="84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0914" w14:textId="514322C0" w:rsidR="00752820" w:rsidRDefault="00752820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58752" behindDoc="0" locked="0" layoutInCell="1" allowOverlap="1" wp14:anchorId="25E0550F" wp14:editId="432F19F4">
          <wp:simplePos x="0" y="0"/>
          <wp:positionH relativeFrom="page">
            <wp:align>center</wp:align>
          </wp:positionH>
          <wp:positionV relativeFrom="page">
            <wp:posOffset>9787890</wp:posOffset>
          </wp:positionV>
          <wp:extent cx="7194550" cy="795020"/>
          <wp:effectExtent l="0" t="0" r="635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6243 AGCCA Footer+Crest+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5CDD0" w14:textId="79587310" w:rsidR="00B07D4C" w:rsidRDefault="00B07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52AE" w14:textId="77777777" w:rsidR="000A669A" w:rsidRDefault="000A669A" w:rsidP="00FA1E33">
      <w:r>
        <w:separator/>
      </w:r>
    </w:p>
  </w:footnote>
  <w:footnote w:type="continuationSeparator" w:id="0">
    <w:p w14:paraId="395D4DF0" w14:textId="77777777" w:rsidR="000A669A" w:rsidRDefault="000A669A" w:rsidP="00FA1E33">
      <w:r>
        <w:continuationSeparator/>
      </w:r>
    </w:p>
  </w:footnote>
  <w:footnote w:type="continuationNotice" w:id="1">
    <w:p w14:paraId="16F9221A" w14:textId="77777777" w:rsidR="000A669A" w:rsidRDefault="000A6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D8F" w14:textId="77777777" w:rsidR="003A582C" w:rsidRDefault="003A5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A5B7" w14:textId="2FB6C461" w:rsidR="00B07D4C" w:rsidRDefault="00B07D4C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5680" behindDoc="0" locked="0" layoutInCell="1" allowOverlap="1" wp14:anchorId="11989668" wp14:editId="413DB9E6">
          <wp:simplePos x="0" y="0"/>
          <wp:positionH relativeFrom="page">
            <wp:posOffset>174812</wp:posOffset>
          </wp:positionH>
          <wp:positionV relativeFrom="page">
            <wp:posOffset>174812</wp:posOffset>
          </wp:positionV>
          <wp:extent cx="7074195" cy="360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6243 AGCCA Header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0588"/>
                  <a:stretch/>
                </pic:blipFill>
                <pic:spPr bwMode="auto">
                  <a:xfrm>
                    <a:off x="0" y="0"/>
                    <a:ext cx="7196400" cy="366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9114" w14:textId="5CE00B8E" w:rsidR="00B07D4C" w:rsidRDefault="00310DE8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57728" behindDoc="0" locked="0" layoutInCell="1" allowOverlap="1" wp14:anchorId="092B8341" wp14:editId="117C10F1">
          <wp:simplePos x="0" y="0"/>
          <wp:positionH relativeFrom="page">
            <wp:posOffset>182880</wp:posOffset>
          </wp:positionH>
          <wp:positionV relativeFrom="page">
            <wp:posOffset>182881</wp:posOffset>
          </wp:positionV>
          <wp:extent cx="7199630" cy="2143354"/>
          <wp:effectExtent l="0" t="0" r="1270" b="9525"/>
          <wp:wrapNone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6243 AGCCA 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1126" cy="214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B86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06BD5"/>
    <w:multiLevelType w:val="hybridMultilevel"/>
    <w:tmpl w:val="6DEA3078"/>
    <w:lvl w:ilvl="0" w:tplc="37A6443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004C"/>
    <w:multiLevelType w:val="hybridMultilevel"/>
    <w:tmpl w:val="088E9744"/>
    <w:lvl w:ilvl="0" w:tplc="89E0D0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4190"/>
    <w:multiLevelType w:val="hybridMultilevel"/>
    <w:tmpl w:val="FECC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26C4"/>
    <w:multiLevelType w:val="hybridMultilevel"/>
    <w:tmpl w:val="AAC24F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423"/>
    <w:multiLevelType w:val="hybridMultilevel"/>
    <w:tmpl w:val="ADDC6B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A6E7E5A"/>
    <w:multiLevelType w:val="hybridMultilevel"/>
    <w:tmpl w:val="27F42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AA3"/>
    <w:multiLevelType w:val="hybridMultilevel"/>
    <w:tmpl w:val="B73C2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C01F4"/>
    <w:multiLevelType w:val="hybridMultilevel"/>
    <w:tmpl w:val="A94EA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5F1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7386F"/>
    <w:multiLevelType w:val="hybridMultilevel"/>
    <w:tmpl w:val="44C0E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10FD"/>
    <w:multiLevelType w:val="hybridMultilevel"/>
    <w:tmpl w:val="84FC2698"/>
    <w:lvl w:ilvl="0" w:tplc="78888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6611883"/>
    <w:multiLevelType w:val="hybridMultilevel"/>
    <w:tmpl w:val="21F07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A0063"/>
    <w:multiLevelType w:val="hybridMultilevel"/>
    <w:tmpl w:val="F58A4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C3C7A"/>
    <w:multiLevelType w:val="hybridMultilevel"/>
    <w:tmpl w:val="B3D237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84DEB"/>
    <w:multiLevelType w:val="hybridMultilevel"/>
    <w:tmpl w:val="199E3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89731">
    <w:abstractNumId w:val="0"/>
  </w:num>
  <w:num w:numId="2" w16cid:durableId="993220910">
    <w:abstractNumId w:val="0"/>
  </w:num>
  <w:num w:numId="3" w16cid:durableId="1882282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170437">
    <w:abstractNumId w:val="11"/>
  </w:num>
  <w:num w:numId="5" w16cid:durableId="1618367808">
    <w:abstractNumId w:val="9"/>
  </w:num>
  <w:num w:numId="6" w16cid:durableId="1574313060">
    <w:abstractNumId w:val="4"/>
  </w:num>
  <w:num w:numId="7" w16cid:durableId="76094787">
    <w:abstractNumId w:val="8"/>
  </w:num>
  <w:num w:numId="8" w16cid:durableId="905996545">
    <w:abstractNumId w:val="1"/>
  </w:num>
  <w:num w:numId="9" w16cid:durableId="239871702">
    <w:abstractNumId w:val="3"/>
  </w:num>
  <w:num w:numId="10" w16cid:durableId="541209127">
    <w:abstractNumId w:val="6"/>
  </w:num>
  <w:num w:numId="11" w16cid:durableId="18702299">
    <w:abstractNumId w:val="5"/>
  </w:num>
  <w:num w:numId="12" w16cid:durableId="651831740">
    <w:abstractNumId w:val="14"/>
  </w:num>
  <w:num w:numId="13" w16cid:durableId="340089108">
    <w:abstractNumId w:val="12"/>
  </w:num>
  <w:num w:numId="14" w16cid:durableId="2100788278">
    <w:abstractNumId w:val="13"/>
  </w:num>
  <w:num w:numId="15" w16cid:durableId="80610230">
    <w:abstractNumId w:val="7"/>
  </w:num>
  <w:num w:numId="16" w16cid:durableId="283273703">
    <w:abstractNumId w:val="10"/>
  </w:num>
  <w:num w:numId="17" w16cid:durableId="129506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33"/>
    <w:rsid w:val="00006440"/>
    <w:rsid w:val="00006DCC"/>
    <w:rsid w:val="0001680D"/>
    <w:rsid w:val="00027C32"/>
    <w:rsid w:val="00033F7D"/>
    <w:rsid w:val="00036BCF"/>
    <w:rsid w:val="000464D9"/>
    <w:rsid w:val="00053F69"/>
    <w:rsid w:val="00054566"/>
    <w:rsid w:val="0006143C"/>
    <w:rsid w:val="0006339F"/>
    <w:rsid w:val="000650BF"/>
    <w:rsid w:val="00071FF9"/>
    <w:rsid w:val="00084DBF"/>
    <w:rsid w:val="000853E1"/>
    <w:rsid w:val="0009120B"/>
    <w:rsid w:val="000A669A"/>
    <w:rsid w:val="000C194F"/>
    <w:rsid w:val="000F6FB4"/>
    <w:rsid w:val="00101931"/>
    <w:rsid w:val="00103767"/>
    <w:rsid w:val="00134D68"/>
    <w:rsid w:val="00140770"/>
    <w:rsid w:val="00141C2C"/>
    <w:rsid w:val="0014350E"/>
    <w:rsid w:val="001542DE"/>
    <w:rsid w:val="001568C7"/>
    <w:rsid w:val="001634D8"/>
    <w:rsid w:val="001762B8"/>
    <w:rsid w:val="00195911"/>
    <w:rsid w:val="001A2C6A"/>
    <w:rsid w:val="001A3C1A"/>
    <w:rsid w:val="001A4D6E"/>
    <w:rsid w:val="001D1FDF"/>
    <w:rsid w:val="001D368A"/>
    <w:rsid w:val="001E4500"/>
    <w:rsid w:val="001F6F2E"/>
    <w:rsid w:val="002031E4"/>
    <w:rsid w:val="0020546A"/>
    <w:rsid w:val="00206081"/>
    <w:rsid w:val="00224C11"/>
    <w:rsid w:val="00227DD4"/>
    <w:rsid w:val="00243333"/>
    <w:rsid w:val="0025103B"/>
    <w:rsid w:val="00254A74"/>
    <w:rsid w:val="002607DB"/>
    <w:rsid w:val="00267AC6"/>
    <w:rsid w:val="002775CF"/>
    <w:rsid w:val="002775D4"/>
    <w:rsid w:val="00277F59"/>
    <w:rsid w:val="002838AE"/>
    <w:rsid w:val="002850E3"/>
    <w:rsid w:val="00286556"/>
    <w:rsid w:val="002874B5"/>
    <w:rsid w:val="002921FB"/>
    <w:rsid w:val="002936CF"/>
    <w:rsid w:val="002B7C53"/>
    <w:rsid w:val="002C40DD"/>
    <w:rsid w:val="002D01A5"/>
    <w:rsid w:val="002E2AC5"/>
    <w:rsid w:val="002E43AB"/>
    <w:rsid w:val="002E6351"/>
    <w:rsid w:val="00307E6E"/>
    <w:rsid w:val="00310DE8"/>
    <w:rsid w:val="00312D2E"/>
    <w:rsid w:val="00321ACF"/>
    <w:rsid w:val="0035634B"/>
    <w:rsid w:val="00361CB9"/>
    <w:rsid w:val="00373EDA"/>
    <w:rsid w:val="00393124"/>
    <w:rsid w:val="003A50E4"/>
    <w:rsid w:val="003A582C"/>
    <w:rsid w:val="003A654C"/>
    <w:rsid w:val="003B472F"/>
    <w:rsid w:val="003C56DC"/>
    <w:rsid w:val="003D3F86"/>
    <w:rsid w:val="003E03E1"/>
    <w:rsid w:val="003E0E52"/>
    <w:rsid w:val="003F0F9F"/>
    <w:rsid w:val="003F53EA"/>
    <w:rsid w:val="00405EB6"/>
    <w:rsid w:val="004071A3"/>
    <w:rsid w:val="00421DE8"/>
    <w:rsid w:val="0042406B"/>
    <w:rsid w:val="00440A60"/>
    <w:rsid w:val="00444453"/>
    <w:rsid w:val="00447B9A"/>
    <w:rsid w:val="00464A44"/>
    <w:rsid w:val="00471B7B"/>
    <w:rsid w:val="004727DF"/>
    <w:rsid w:val="00485835"/>
    <w:rsid w:val="004A2950"/>
    <w:rsid w:val="004A452C"/>
    <w:rsid w:val="004A6919"/>
    <w:rsid w:val="004B07B7"/>
    <w:rsid w:val="004B367F"/>
    <w:rsid w:val="004D0D6C"/>
    <w:rsid w:val="004D57D7"/>
    <w:rsid w:val="004E26C2"/>
    <w:rsid w:val="004E572D"/>
    <w:rsid w:val="005058C7"/>
    <w:rsid w:val="0051074C"/>
    <w:rsid w:val="00512179"/>
    <w:rsid w:val="005217BD"/>
    <w:rsid w:val="0052224D"/>
    <w:rsid w:val="0052449D"/>
    <w:rsid w:val="005262D3"/>
    <w:rsid w:val="00527E6F"/>
    <w:rsid w:val="00534508"/>
    <w:rsid w:val="00540810"/>
    <w:rsid w:val="00560F7A"/>
    <w:rsid w:val="00576624"/>
    <w:rsid w:val="00580DAC"/>
    <w:rsid w:val="00597BCC"/>
    <w:rsid w:val="005B2CB7"/>
    <w:rsid w:val="005D525E"/>
    <w:rsid w:val="005D7155"/>
    <w:rsid w:val="005F201A"/>
    <w:rsid w:val="005F3B37"/>
    <w:rsid w:val="006014CB"/>
    <w:rsid w:val="0061702A"/>
    <w:rsid w:val="00623BAF"/>
    <w:rsid w:val="00632B6B"/>
    <w:rsid w:val="0063463A"/>
    <w:rsid w:val="006349CD"/>
    <w:rsid w:val="0064114A"/>
    <w:rsid w:val="006445F6"/>
    <w:rsid w:val="00644C86"/>
    <w:rsid w:val="00651C7B"/>
    <w:rsid w:val="00663EF5"/>
    <w:rsid w:val="00664FF7"/>
    <w:rsid w:val="0067517C"/>
    <w:rsid w:val="00677EA1"/>
    <w:rsid w:val="00686F79"/>
    <w:rsid w:val="00690F86"/>
    <w:rsid w:val="00696B6C"/>
    <w:rsid w:val="006A6E9A"/>
    <w:rsid w:val="006C7751"/>
    <w:rsid w:val="006D3BD8"/>
    <w:rsid w:val="006D5AFB"/>
    <w:rsid w:val="006E0E9D"/>
    <w:rsid w:val="006E7D4E"/>
    <w:rsid w:val="00706B6E"/>
    <w:rsid w:val="00734756"/>
    <w:rsid w:val="00744B08"/>
    <w:rsid w:val="00752820"/>
    <w:rsid w:val="00753EBF"/>
    <w:rsid w:val="007644A8"/>
    <w:rsid w:val="0079166D"/>
    <w:rsid w:val="00797BAF"/>
    <w:rsid w:val="00797CC2"/>
    <w:rsid w:val="007B24DE"/>
    <w:rsid w:val="007C55AB"/>
    <w:rsid w:val="007D3090"/>
    <w:rsid w:val="007E319F"/>
    <w:rsid w:val="008002C9"/>
    <w:rsid w:val="008022F4"/>
    <w:rsid w:val="008041AA"/>
    <w:rsid w:val="008270D0"/>
    <w:rsid w:val="00833E5F"/>
    <w:rsid w:val="008345CD"/>
    <w:rsid w:val="008345FB"/>
    <w:rsid w:val="00842067"/>
    <w:rsid w:val="008511B7"/>
    <w:rsid w:val="008641E7"/>
    <w:rsid w:val="00864526"/>
    <w:rsid w:val="0087097F"/>
    <w:rsid w:val="00872AB0"/>
    <w:rsid w:val="008767AD"/>
    <w:rsid w:val="00880550"/>
    <w:rsid w:val="0088536B"/>
    <w:rsid w:val="00895B02"/>
    <w:rsid w:val="008A36FE"/>
    <w:rsid w:val="008A4E49"/>
    <w:rsid w:val="008B0B9F"/>
    <w:rsid w:val="008B78F0"/>
    <w:rsid w:val="008C19C0"/>
    <w:rsid w:val="008C62BE"/>
    <w:rsid w:val="008D78D2"/>
    <w:rsid w:val="009037B5"/>
    <w:rsid w:val="0091047C"/>
    <w:rsid w:val="009315CB"/>
    <w:rsid w:val="009444DC"/>
    <w:rsid w:val="0094774B"/>
    <w:rsid w:val="00964BDD"/>
    <w:rsid w:val="00982755"/>
    <w:rsid w:val="00991024"/>
    <w:rsid w:val="009925E3"/>
    <w:rsid w:val="0099372E"/>
    <w:rsid w:val="00997459"/>
    <w:rsid w:val="009A05AB"/>
    <w:rsid w:val="009A7471"/>
    <w:rsid w:val="009B23AC"/>
    <w:rsid w:val="009B75AC"/>
    <w:rsid w:val="009C5860"/>
    <w:rsid w:val="009D2EDC"/>
    <w:rsid w:val="009D39B9"/>
    <w:rsid w:val="009D5074"/>
    <w:rsid w:val="00A05348"/>
    <w:rsid w:val="00A15AF4"/>
    <w:rsid w:val="00A16D8E"/>
    <w:rsid w:val="00A400F7"/>
    <w:rsid w:val="00A40666"/>
    <w:rsid w:val="00A41830"/>
    <w:rsid w:val="00A431A7"/>
    <w:rsid w:val="00A54435"/>
    <w:rsid w:val="00A5725D"/>
    <w:rsid w:val="00A61179"/>
    <w:rsid w:val="00A61CB0"/>
    <w:rsid w:val="00A752D1"/>
    <w:rsid w:val="00A75E5F"/>
    <w:rsid w:val="00A76BB5"/>
    <w:rsid w:val="00A91C5C"/>
    <w:rsid w:val="00AC0D95"/>
    <w:rsid w:val="00AC31E1"/>
    <w:rsid w:val="00AC483C"/>
    <w:rsid w:val="00B07D4C"/>
    <w:rsid w:val="00B1139F"/>
    <w:rsid w:val="00B115C7"/>
    <w:rsid w:val="00B208A1"/>
    <w:rsid w:val="00B2162B"/>
    <w:rsid w:val="00B21BA5"/>
    <w:rsid w:val="00B2437C"/>
    <w:rsid w:val="00B35AF1"/>
    <w:rsid w:val="00B401F3"/>
    <w:rsid w:val="00B42551"/>
    <w:rsid w:val="00B53563"/>
    <w:rsid w:val="00B57D59"/>
    <w:rsid w:val="00B61738"/>
    <w:rsid w:val="00B618E6"/>
    <w:rsid w:val="00B660A3"/>
    <w:rsid w:val="00B758AC"/>
    <w:rsid w:val="00B75BA1"/>
    <w:rsid w:val="00B76ADA"/>
    <w:rsid w:val="00B842A6"/>
    <w:rsid w:val="00B85D83"/>
    <w:rsid w:val="00B903B0"/>
    <w:rsid w:val="00B91849"/>
    <w:rsid w:val="00B92CDE"/>
    <w:rsid w:val="00B9486C"/>
    <w:rsid w:val="00B9519D"/>
    <w:rsid w:val="00B953C3"/>
    <w:rsid w:val="00BA256C"/>
    <w:rsid w:val="00BA5FBA"/>
    <w:rsid w:val="00BB263F"/>
    <w:rsid w:val="00BB68B1"/>
    <w:rsid w:val="00BD6899"/>
    <w:rsid w:val="00BD78AA"/>
    <w:rsid w:val="00BE3FE1"/>
    <w:rsid w:val="00BE67DC"/>
    <w:rsid w:val="00BF596F"/>
    <w:rsid w:val="00C040A6"/>
    <w:rsid w:val="00C13330"/>
    <w:rsid w:val="00C239C2"/>
    <w:rsid w:val="00C32E27"/>
    <w:rsid w:val="00C3340A"/>
    <w:rsid w:val="00C34E1A"/>
    <w:rsid w:val="00C35E69"/>
    <w:rsid w:val="00C47D14"/>
    <w:rsid w:val="00C51C41"/>
    <w:rsid w:val="00C61281"/>
    <w:rsid w:val="00C72524"/>
    <w:rsid w:val="00C72B5E"/>
    <w:rsid w:val="00C817C4"/>
    <w:rsid w:val="00C84225"/>
    <w:rsid w:val="00C903A1"/>
    <w:rsid w:val="00CA228C"/>
    <w:rsid w:val="00CA75F6"/>
    <w:rsid w:val="00CB6862"/>
    <w:rsid w:val="00CC381F"/>
    <w:rsid w:val="00CD2201"/>
    <w:rsid w:val="00CF1ABC"/>
    <w:rsid w:val="00D21F8F"/>
    <w:rsid w:val="00D27504"/>
    <w:rsid w:val="00D4268A"/>
    <w:rsid w:val="00D50469"/>
    <w:rsid w:val="00D50757"/>
    <w:rsid w:val="00D55D8A"/>
    <w:rsid w:val="00D85171"/>
    <w:rsid w:val="00D854ED"/>
    <w:rsid w:val="00D91284"/>
    <w:rsid w:val="00D973FB"/>
    <w:rsid w:val="00DB48F3"/>
    <w:rsid w:val="00DB7955"/>
    <w:rsid w:val="00DD117A"/>
    <w:rsid w:val="00DD4C1C"/>
    <w:rsid w:val="00DE2818"/>
    <w:rsid w:val="00DF1506"/>
    <w:rsid w:val="00E01434"/>
    <w:rsid w:val="00E0237C"/>
    <w:rsid w:val="00E22EAD"/>
    <w:rsid w:val="00E23393"/>
    <w:rsid w:val="00E2555C"/>
    <w:rsid w:val="00E5666B"/>
    <w:rsid w:val="00E57918"/>
    <w:rsid w:val="00E64CF4"/>
    <w:rsid w:val="00E67110"/>
    <w:rsid w:val="00E73CF7"/>
    <w:rsid w:val="00E83E58"/>
    <w:rsid w:val="00E9105C"/>
    <w:rsid w:val="00EA475C"/>
    <w:rsid w:val="00EB51DA"/>
    <w:rsid w:val="00EB739B"/>
    <w:rsid w:val="00EC3827"/>
    <w:rsid w:val="00ED54F6"/>
    <w:rsid w:val="00EE636E"/>
    <w:rsid w:val="00F0700B"/>
    <w:rsid w:val="00F23999"/>
    <w:rsid w:val="00F30284"/>
    <w:rsid w:val="00F30CF9"/>
    <w:rsid w:val="00F37ECB"/>
    <w:rsid w:val="00F44253"/>
    <w:rsid w:val="00F50C3C"/>
    <w:rsid w:val="00F77692"/>
    <w:rsid w:val="00F86CC4"/>
    <w:rsid w:val="00FA1E33"/>
    <w:rsid w:val="00FA3A48"/>
    <w:rsid w:val="00FA76DA"/>
    <w:rsid w:val="00FB499F"/>
    <w:rsid w:val="00FB56D3"/>
    <w:rsid w:val="00FC1F5E"/>
    <w:rsid w:val="00FD2ADA"/>
    <w:rsid w:val="00FD2DA5"/>
    <w:rsid w:val="00FE4181"/>
    <w:rsid w:val="00FE5C0E"/>
    <w:rsid w:val="00FF1398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2E31"/>
  <w14:defaultImageDpi w14:val="32767"/>
  <w15:chartTrackingRefBased/>
  <w15:docId w15:val="{88CAA6E6-4874-3E49-94D1-1F8E3C3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uiPriority w:val="1"/>
    <w:qFormat/>
    <w:rsid w:val="00527E6F"/>
    <w:pPr>
      <w:spacing w:after="120" w:line="240" w:lineRule="exact"/>
    </w:pPr>
    <w:rPr>
      <w:rFonts w:ascii="Calibri" w:hAnsi="Calibri" w:cs="Myriad Pro"/>
      <w:sz w:val="21"/>
      <w:lang w:bidi="en-US"/>
    </w:rPr>
  </w:style>
  <w:style w:type="paragraph" w:styleId="Heading1">
    <w:name w:val="heading 1"/>
    <w:aliases w:val="HPV Heading 1"/>
    <w:basedOn w:val="Normal"/>
    <w:next w:val="Normal"/>
    <w:link w:val="Heading1Char"/>
    <w:uiPriority w:val="9"/>
    <w:qFormat/>
    <w:rsid w:val="00FA1E33"/>
    <w:pPr>
      <w:keepNext/>
      <w:keepLines/>
      <w:spacing w:before="240"/>
      <w:outlineLvl w:val="0"/>
    </w:pPr>
    <w:rPr>
      <w:rFonts w:ascii="Arial" w:eastAsiaTheme="majorEastAsia" w:hAnsi="Arial" w:cs="Times New Roman (Headings CS)"/>
      <w:b/>
      <w:color w:val="FFFFFF" w:themeColor="background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67F"/>
    <w:pPr>
      <w:keepNext/>
      <w:keepLines/>
      <w:spacing w:before="160" w:line="200" w:lineRule="exact"/>
      <w:outlineLvl w:val="1"/>
    </w:pPr>
    <w:rPr>
      <w:rFonts w:ascii="Arial" w:eastAsiaTheme="majorEastAsia" w:hAnsi="Arial" w:cs="Times New Roman (Headings CS)"/>
      <w:b/>
      <w:color w:val="FFFFFF" w:themeColor="background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E6F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color w:val="00B6D9"/>
      <w:sz w:val="2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PV Heading 1 Char"/>
    <w:basedOn w:val="DefaultParagraphFont"/>
    <w:link w:val="Heading1"/>
    <w:uiPriority w:val="9"/>
    <w:rsid w:val="00FA1E33"/>
    <w:rPr>
      <w:rFonts w:ascii="Arial" w:eastAsiaTheme="majorEastAsia" w:hAnsi="Arial" w:cs="Times New Roman (Headings CS)"/>
      <w:b/>
      <w:color w:val="FFFFFF" w:themeColor="background1"/>
      <w:sz w:val="60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563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4B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aliases w:val="HPV Subtitle"/>
    <w:basedOn w:val="Normal"/>
    <w:next w:val="Normal"/>
    <w:link w:val="SubtitleChar"/>
    <w:uiPriority w:val="11"/>
    <w:qFormat/>
    <w:rsid w:val="003563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aliases w:val="HPV Subtitle Char"/>
    <w:basedOn w:val="DefaultParagraphFont"/>
    <w:link w:val="Subtitle"/>
    <w:uiPriority w:val="11"/>
    <w:rsid w:val="0035634B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NoteLevel2">
    <w:name w:val="Note Level 2"/>
    <w:basedOn w:val="Normal"/>
    <w:uiPriority w:val="1"/>
    <w:rsid w:val="0035634B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TableParagraph">
    <w:name w:val="Table Paragraph"/>
    <w:basedOn w:val="Normal"/>
    <w:uiPriority w:val="1"/>
    <w:qFormat/>
    <w:rsid w:val="00623BAF"/>
  </w:style>
  <w:style w:type="paragraph" w:styleId="BodyText">
    <w:name w:val="Body Text"/>
    <w:basedOn w:val="Normal"/>
    <w:link w:val="BodyTextChar"/>
    <w:uiPriority w:val="1"/>
    <w:qFormat/>
    <w:rsid w:val="00C903A1"/>
    <w:pPr>
      <w:pBdr>
        <w:bottom w:val="single" w:sz="4" w:space="0" w:color="auto"/>
        <w:between w:val="single" w:sz="4" w:space="2" w:color="auto"/>
      </w:pBdr>
      <w:tabs>
        <w:tab w:val="left" w:pos="1134"/>
      </w:tabs>
      <w:spacing w:before="120"/>
      <w:textboxTightWrap w:val="allLines"/>
    </w:pPr>
    <w:rPr>
      <w:noProof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03A1"/>
    <w:rPr>
      <w:rFonts w:ascii="Calibri" w:hAnsi="Calibri" w:cs="Myriad Pro"/>
      <w:noProof/>
      <w:color w:val="000000" w:themeColor="text1"/>
      <w:sz w:val="21"/>
      <w:szCs w:val="20"/>
      <w:lang w:bidi="en-US"/>
    </w:rPr>
  </w:style>
  <w:style w:type="paragraph" w:styleId="ListParagraph">
    <w:name w:val="List Paragraph"/>
    <w:aliases w:val="1 heading,DDM Gen Text,List Paragraph1,List Paragraph11,Recommendation,Bullet 1,Bullet list,List 1,L,bullet point list,Bullet point,Dot point 1.5 line spacing,List Paragraph - bullets,NFP GP Bulleted List,Bulleted Para,FooterText,numbered"/>
    <w:basedOn w:val="Normal"/>
    <w:link w:val="ListParagraphChar"/>
    <w:uiPriority w:val="34"/>
    <w:qFormat/>
    <w:rsid w:val="00623BAF"/>
  </w:style>
  <w:style w:type="paragraph" w:styleId="Header">
    <w:name w:val="header"/>
    <w:basedOn w:val="Normal"/>
    <w:link w:val="Head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33"/>
    <w:rPr>
      <w:rFonts w:ascii="Myriad Pro" w:hAnsi="Myriad Pro" w:cs="Myriad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33"/>
    <w:rPr>
      <w:rFonts w:ascii="Myriad Pro" w:hAnsi="Myriad Pro" w:cs="Myriad Pro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B367F"/>
    <w:rPr>
      <w:rFonts w:ascii="Arial" w:eastAsiaTheme="majorEastAsia" w:hAnsi="Arial" w:cs="Times New Roman (Headings CS)"/>
      <w:b/>
      <w:color w:val="FFFFFF" w:themeColor="background1"/>
      <w:sz w:val="20"/>
      <w:szCs w:val="26"/>
      <w:lang w:bidi="en-US"/>
    </w:rPr>
  </w:style>
  <w:style w:type="paragraph" w:styleId="NoSpacing">
    <w:name w:val="No Spacing"/>
    <w:uiPriority w:val="1"/>
    <w:qFormat/>
    <w:rsid w:val="00E64CF4"/>
    <w:rPr>
      <w:rFonts w:ascii="Myriad Pro" w:hAnsi="Myriad Pro" w:cs="Myriad Pro"/>
      <w:lang w:bidi="en-US"/>
    </w:rPr>
  </w:style>
  <w:style w:type="paragraph" w:customStyle="1" w:styleId="Default">
    <w:name w:val="Default"/>
    <w:rsid w:val="00527E6F"/>
    <w:pPr>
      <w:widowControl/>
      <w:adjustRightInd w:val="0"/>
    </w:pPr>
    <w:rPr>
      <w:rFonts w:ascii="GATLAK+Calibri" w:hAnsi="GATLAK+Calibri" w:cs="GATLAK+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27E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7E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7E6F"/>
    <w:rPr>
      <w:rFonts w:eastAsiaTheme="majorEastAsia" w:cstheme="majorBidi"/>
      <w:color w:val="00B6D9"/>
      <w:sz w:val="29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568C7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6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8C7"/>
    <w:rPr>
      <w:rFonts w:ascii="Calibri" w:hAnsi="Calibri" w:cs="Myriad Pr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C7"/>
    <w:rPr>
      <w:rFonts w:ascii="Calibri" w:hAnsi="Calibri" w:cs="Myriad Pro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C7"/>
    <w:rPr>
      <w:rFonts w:ascii="Segoe U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7644A8"/>
    <w:pPr>
      <w:widowControl/>
      <w:autoSpaceDE/>
      <w:autoSpaceDN/>
    </w:pPr>
    <w:rPr>
      <w:rFonts w:ascii="Calibri" w:hAnsi="Calibri" w:cs="Myriad Pro"/>
      <w:sz w:val="21"/>
      <w:lang w:bidi="en-US"/>
    </w:rPr>
  </w:style>
  <w:style w:type="character" w:customStyle="1" w:styleId="ListParagraphChar">
    <w:name w:val="List Paragraph Char"/>
    <w:aliases w:val="1 heading Char,DDM Gen Text Char,List Paragraph1 Char,List Paragraph11 Char,Recommendation Char,Bullet 1 Char,Bullet list Char,List 1 Char,L Char,bullet point list Char,Bullet point Char,Dot point 1.5 line spacing Char,numbered Char"/>
    <w:basedOn w:val="DefaultParagraphFont"/>
    <w:link w:val="ListParagraph"/>
    <w:uiPriority w:val="34"/>
    <w:locked/>
    <w:rsid w:val="00A05348"/>
    <w:rPr>
      <w:rFonts w:ascii="Calibri" w:hAnsi="Calibri" w:cs="Myriad Pro"/>
      <w:sz w:val="21"/>
      <w:lang w:bidi="en-US"/>
    </w:rPr>
  </w:style>
  <w:style w:type="paragraph" w:customStyle="1" w:styleId="gmail-m-2872383471117846732msolistparagraph">
    <w:name w:val="gmail-m_-2872383471117846732msolistparagraph"/>
    <w:basedOn w:val="Normal"/>
    <w:rsid w:val="008345FB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2224D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686F79"/>
    <w:rPr>
      <w:color w:val="FF0000"/>
    </w:rPr>
  </w:style>
  <w:style w:type="character" w:customStyle="1" w:styleId="normaltextrun">
    <w:name w:val="normaltextrun"/>
    <w:basedOn w:val="DefaultParagraphFont"/>
    <w:rsid w:val="00D854ED"/>
  </w:style>
  <w:style w:type="character" w:styleId="FollowedHyperlink">
    <w:name w:val="FollowedHyperlink"/>
    <w:basedOn w:val="DefaultParagraphFont"/>
    <w:uiPriority w:val="99"/>
    <w:semiHidden/>
    <w:unhideWhenUsed/>
    <w:rsid w:val="00526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sandmedia@climatechangeauthority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ca.govcms.gov.au/publications/reduce-remove-and-store-role-carbon-sequestration-accelerating-australias-decarbonis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adb9bed2e36e4a93af574aeb444da63e xmlns="a36bd50b-1532-4c22-b385-5c082c960938">
      <Terms xmlns="http://schemas.microsoft.com/office/infopath/2007/PartnerControls"/>
    </adb9bed2e36e4a93af574aeb444da63e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release</TermName>
          <TermId xmlns="http://schemas.microsoft.com/office/infopath/2007/PartnerControls">632745da-6f29-47b9-805a-03f18ac39074</TermId>
        </TermInfo>
      </Terms>
    </pe2555c81638466f9eb614edb9ecde52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Management</TermName>
          <TermId xmlns="http://schemas.microsoft.com/office/infopath/2007/PartnerControls">1ff2768e-150a-4c03-9ce5-3419f1f7ba08</TermId>
        </TermInfo>
      </Terms>
    </g7bcb40ba23249a78edca7d43a67c1c9>
    <TaxCatchAll xmlns="a36bd50b-1532-4c22-b385-5c082c960938">
      <Value>302</Value>
      <Value>30</Value>
      <Value>106</Value>
      <Value>7</Value>
    </TaxCatchAll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a36bd50b-1532-4c22-b385-5c082c960938">ZMC7FXQ5CY32-162109550-95</_dlc_DocId>
    <_dlc_DocIdUrl xmlns="a36bd50b-1532-4c22-b385-5c082c960938">
      <Url>https://dochub/div/climateauthority/_layouts/15/DocIdRedir.aspx?ID=ZMC7FXQ5CY32-162109550-95</Url>
      <Description>ZMC7FXQ5CY32-162109550-95</Description>
    </_dlc_DocIdUrl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4" ma:contentTypeDescription="Create a new document." ma:contentTypeScope="" ma:versionID="65275a4a2d40c400bfb81c951b79697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1163f4f9-692f-40b4-b1ce-ab809b5572aa" xmlns:ns4="http://schemas.microsoft.com/sharepoint/v4" targetNamespace="http://schemas.microsoft.com/office/2006/metadata/properties" ma:root="true" ma:fieldsID="9d74331d94ac2049c4516cba3757fb24" ns1:_="" ns2:_="" ns3:_="" ns4:_="">
    <xsd:import namespace="http://schemas.microsoft.com/sharepoint/v3"/>
    <xsd:import namespace="a36bd50b-1532-4c22-b385-5c082c960938"/>
    <xsd:import namespace="1163f4f9-692f-40b4-b1ce-ab809b5572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6a68bf9-5dab-4c66-910d-a7955f2e3ae5}" ma:internalName="TaxCatchAll" ma:showField="CatchAllData" ma:web="01bdaa01-5807-4828-8c99-6323bf093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4ac3cb2d-9e18-4152-a41f-9163e72b54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3f4f9-692f-40b4-b1ce-ab809b5572a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0263E4-C7D8-497C-9C8B-72A2FD9FD3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6bd50b-1532-4c22-b385-5c082c96093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E903F7E-AFFB-468D-AACF-109DCBD6C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25293-CE3E-4431-8C03-3CB2A92D3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8F67F-B2E0-4ACF-9E35-B584C5A5F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1163f4f9-692f-40b4-b1ce-ab809b5572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3BDF63-8F44-4462-AA47-5417909972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Phipps</dc:creator>
  <cp:keywords/>
  <dc:description/>
  <cp:lastModifiedBy>Berryman, Rebecca</cp:lastModifiedBy>
  <cp:revision>2</cp:revision>
  <cp:lastPrinted>2023-04-13T23:45:00Z</cp:lastPrinted>
  <dcterms:created xsi:type="dcterms:W3CDTF">2023-08-15T00:05:00Z</dcterms:created>
  <dcterms:modified xsi:type="dcterms:W3CDTF">2023-08-15T00:05:00Z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_dlc_DocIdItemGuid">
    <vt:lpwstr>8ef2d1b0-bd94-4c05-ba67-e14f9da9f1d3</vt:lpwstr>
  </property>
  <property fmtid="{D5CDD505-2E9C-101B-9397-08002B2CF9AE}" pid="4" name="DocHub_Year">
    <vt:lpwstr>302;#2022|4a777a70-2aa9-481e-a746-cca47d761c8e</vt:lpwstr>
  </property>
  <property fmtid="{D5CDD505-2E9C-101B-9397-08002B2CF9AE}" pid="5" name="DocHub_DocumentType">
    <vt:lpwstr>30;#Media release|632745da-6f29-47b9-805a-03f18ac39074</vt:lpwstr>
  </property>
  <property fmtid="{D5CDD505-2E9C-101B-9397-08002B2CF9AE}" pid="6" name="DocHub_SecurityClassification">
    <vt:lpwstr>7;#OFFICIAL|6106d03b-a1a0-4e30-9d91-d5e9fb4314f9</vt:lpwstr>
  </property>
  <property fmtid="{D5CDD505-2E9C-101B-9397-08002B2CF9AE}" pid="7" name="DocHub_Keywords">
    <vt:lpwstr/>
  </property>
  <property fmtid="{D5CDD505-2E9C-101B-9397-08002B2CF9AE}" pid="8" name="DocHub_WorkActivity">
    <vt:lpwstr>106;#Media Management|1ff2768e-150a-4c03-9ce5-3419f1f7ba08</vt:lpwstr>
  </property>
  <property fmtid="{D5CDD505-2E9C-101B-9397-08002B2CF9AE}" pid="9" name="DocHub_ResearchReports">
    <vt:lpwstr>100;#Trade ＆ Investment|181b2be3-3e15-43d7-86c9-670831d8430f</vt:lpwstr>
  </property>
  <property fmtid="{D5CDD505-2E9C-101B-9397-08002B2CF9AE}" pid="10" name="DocHub_ClimateChangeReview">
    <vt:lpwstr>63;#Special Reviews|ad771858-fbda-4c8f-bbf9-d58546463dab</vt:lpwstr>
  </property>
</Properties>
</file>