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AF8C7" w14:textId="77777777" w:rsidR="00000000" w:rsidRDefault="007E6CF5">
      <w:pPr>
        <w:pStyle w:val="Heading1"/>
        <w:divId w:val="1439061288"/>
        <w:rPr>
          <w:rFonts w:eastAsia="Times New Roman"/>
          <w:lang w:val="en-GB"/>
        </w:rPr>
      </w:pPr>
      <w:r>
        <w:rPr>
          <w:rFonts w:eastAsia="Times New Roman"/>
          <w:lang w:val="en-GB"/>
        </w:rPr>
        <w:t xml:space="preserve">Introduction </w:t>
      </w:r>
    </w:p>
    <w:p w14:paraId="1906A5CA" w14:textId="77777777" w:rsidR="00000000" w:rsidRDefault="007E6CF5">
      <w:pPr>
        <w:pStyle w:val="NormalWeb"/>
        <w:divId w:val="1439061288"/>
        <w:rPr>
          <w:lang w:val="en-GB"/>
        </w:rPr>
      </w:pPr>
      <w:r>
        <w:rPr>
          <w:lang w:val="en-GB"/>
        </w:rPr>
        <w:t xml:space="preserve">I am pleased to introduce the third corporate plan for the Climate Change Authority. </w:t>
      </w:r>
    </w:p>
    <w:p w14:paraId="2F12F267" w14:textId="77777777" w:rsidR="00000000" w:rsidRDefault="007E6CF5">
      <w:pPr>
        <w:pStyle w:val="NormalWeb"/>
        <w:divId w:val="1439061288"/>
        <w:rPr>
          <w:lang w:val="en-GB"/>
        </w:rPr>
      </w:pPr>
      <w:r>
        <w:rPr>
          <w:lang w:val="en-GB"/>
        </w:rPr>
        <w:t xml:space="preserve">The Climate Change Authority </w:t>
      </w:r>
      <w:r>
        <w:rPr>
          <w:rStyle w:val="Emphasis"/>
          <w:lang w:val="en-GB"/>
        </w:rPr>
        <w:t>Corporate Plan 2016–17</w:t>
      </w:r>
      <w:r>
        <w:rPr>
          <w:lang w:val="en-GB"/>
        </w:rPr>
        <w:t xml:space="preserve"> has been prepared to meet the requirements of paragraph 35(1)(b) of the </w:t>
      </w:r>
      <w:r>
        <w:rPr>
          <w:rStyle w:val="Emphasis"/>
          <w:lang w:val="en-GB"/>
        </w:rPr>
        <w:t>Public Governance, Performance and Accountability Act 2013</w:t>
      </w:r>
      <w:r>
        <w:rPr>
          <w:lang w:val="en-GB"/>
        </w:rPr>
        <w:t xml:space="preserve"> and Division 8 of the </w:t>
      </w:r>
      <w:r>
        <w:rPr>
          <w:rStyle w:val="Emphasis"/>
          <w:lang w:val="en-GB"/>
        </w:rPr>
        <w:t>Climate Change Authority Act 2011</w:t>
      </w:r>
      <w:r>
        <w:rPr>
          <w:lang w:val="en-GB"/>
        </w:rPr>
        <w:t>. The plan covers the periods 2016–17 to 2019–20.</w:t>
      </w:r>
    </w:p>
    <w:p w14:paraId="04EA1FDB" w14:textId="77777777" w:rsidR="00000000" w:rsidRDefault="007E6CF5">
      <w:pPr>
        <w:pStyle w:val="NormalWeb"/>
        <w:divId w:val="1439061288"/>
        <w:rPr>
          <w:lang w:val="en-GB"/>
        </w:rPr>
      </w:pPr>
      <w:r>
        <w:rPr>
          <w:lang w:val="en-GB"/>
        </w:rPr>
        <w:t>The Authority’s role is to provide independent, relevant, insightful and practical advice to</w:t>
      </w:r>
      <w:r>
        <w:rPr>
          <w:lang w:val="en-GB"/>
        </w:rPr>
        <w:t xml:space="preserve"> the Minister for the Environment and Energy, and the Australian Parliament, on climate change policy by undertaking reviews and other research tasks.</w:t>
      </w:r>
    </w:p>
    <w:p w14:paraId="24D4BE25" w14:textId="77777777" w:rsidR="00000000" w:rsidRDefault="007E6CF5">
      <w:pPr>
        <w:pStyle w:val="NormalWeb"/>
        <w:divId w:val="1439061288"/>
        <w:rPr>
          <w:lang w:val="en-GB"/>
        </w:rPr>
      </w:pPr>
      <w:r>
        <w:rPr>
          <w:lang w:val="en-GB"/>
        </w:rPr>
        <w:t>This is the Authority’s fourth year of operation and it has achieved a significant amount in that time, i</w:t>
      </w:r>
      <w:r>
        <w:rPr>
          <w:lang w:val="en-GB"/>
        </w:rPr>
        <w:t>ncluding:</w:t>
      </w:r>
    </w:p>
    <w:p w14:paraId="108F6404" w14:textId="77777777" w:rsidR="00000000" w:rsidRDefault="007E6CF5">
      <w:pPr>
        <w:numPr>
          <w:ilvl w:val="0"/>
          <w:numId w:val="1"/>
        </w:numPr>
        <w:spacing w:before="100" w:beforeAutospacing="1" w:after="100" w:afterAutospacing="1"/>
        <w:divId w:val="1439061288"/>
        <w:rPr>
          <w:rFonts w:eastAsia="Times New Roman"/>
          <w:lang w:val="en-GB"/>
        </w:rPr>
      </w:pPr>
      <w:r>
        <w:rPr>
          <w:rFonts w:eastAsia="Times New Roman"/>
          <w:lang w:val="en-GB"/>
        </w:rPr>
        <w:t>the first report of the Special Review on climate action recommending future emissions reduction targets for Australia, with a draft report released in April and final report in July 2015</w:t>
      </w:r>
    </w:p>
    <w:p w14:paraId="67FCA75F" w14:textId="77777777" w:rsidR="00000000" w:rsidRDefault="007E6CF5">
      <w:pPr>
        <w:numPr>
          <w:ilvl w:val="0"/>
          <w:numId w:val="1"/>
        </w:numPr>
        <w:spacing w:before="100" w:beforeAutospacing="1" w:after="100" w:afterAutospacing="1"/>
        <w:divId w:val="1439061288"/>
        <w:rPr>
          <w:rFonts w:eastAsia="Times New Roman"/>
          <w:lang w:val="en-GB"/>
        </w:rPr>
      </w:pPr>
      <w:r>
        <w:rPr>
          <w:rFonts w:eastAsia="Times New Roman"/>
          <w:lang w:val="en-GB"/>
        </w:rPr>
        <w:t>a draft report in the form of an options paper on emission</w:t>
      </w:r>
      <w:r>
        <w:rPr>
          <w:rFonts w:eastAsia="Times New Roman"/>
          <w:lang w:val="en-GB"/>
        </w:rPr>
        <w:t xml:space="preserve"> reduction policies, including emissions trading schemes that could be used to meet the requirements of the Paris Agreement on climate change</w:t>
      </w:r>
    </w:p>
    <w:p w14:paraId="62ADD102" w14:textId="77777777" w:rsidR="00000000" w:rsidRDefault="007E6CF5">
      <w:pPr>
        <w:numPr>
          <w:ilvl w:val="0"/>
          <w:numId w:val="1"/>
        </w:numPr>
        <w:spacing w:before="100" w:beforeAutospacing="1" w:after="100" w:afterAutospacing="1"/>
        <w:divId w:val="1439061288"/>
        <w:rPr>
          <w:rFonts w:eastAsia="Times New Roman"/>
          <w:lang w:val="en-GB"/>
        </w:rPr>
      </w:pPr>
      <w:r>
        <w:rPr>
          <w:rFonts w:eastAsia="Times New Roman"/>
          <w:lang w:val="en-GB"/>
        </w:rPr>
        <w:t>recommendations about Australia’s greenhouse gas emissions reduction targets and progress towards achieving them (</w:t>
      </w:r>
      <w:r>
        <w:rPr>
          <w:rStyle w:val="Emphasis"/>
          <w:rFonts w:eastAsia="Times New Roman"/>
          <w:lang w:val="en-GB"/>
        </w:rPr>
        <w:t>Targets and Progress Report</w:t>
      </w:r>
      <w:r>
        <w:rPr>
          <w:rFonts w:eastAsia="Times New Roman"/>
          <w:lang w:val="en-GB"/>
        </w:rPr>
        <w:t>, February 2014)</w:t>
      </w:r>
    </w:p>
    <w:p w14:paraId="41383057" w14:textId="77777777" w:rsidR="00000000" w:rsidRDefault="007E6CF5">
      <w:pPr>
        <w:numPr>
          <w:ilvl w:val="0"/>
          <w:numId w:val="1"/>
        </w:numPr>
        <w:spacing w:before="100" w:beforeAutospacing="1" w:after="100" w:afterAutospacing="1"/>
        <w:divId w:val="1439061288"/>
        <w:rPr>
          <w:rFonts w:eastAsia="Times New Roman"/>
          <w:lang w:val="en-GB"/>
        </w:rPr>
      </w:pPr>
      <w:r>
        <w:rPr>
          <w:rFonts w:eastAsia="Times New Roman"/>
          <w:lang w:val="en-GB"/>
        </w:rPr>
        <w:t>two reviews of the Renewable Energy Target (RET) (December 2012 and December 2014)</w:t>
      </w:r>
    </w:p>
    <w:p w14:paraId="23A341B0" w14:textId="77777777" w:rsidR="00000000" w:rsidRDefault="007E6CF5">
      <w:pPr>
        <w:numPr>
          <w:ilvl w:val="0"/>
          <w:numId w:val="1"/>
        </w:numPr>
        <w:spacing w:before="100" w:beforeAutospacing="1" w:after="100" w:afterAutospacing="1"/>
        <w:divId w:val="1439061288"/>
        <w:rPr>
          <w:rFonts w:eastAsia="Times New Roman"/>
          <w:lang w:val="en-GB"/>
        </w:rPr>
      </w:pPr>
      <w:r>
        <w:rPr>
          <w:rFonts w:eastAsia="Times New Roman"/>
          <w:lang w:val="en-GB"/>
        </w:rPr>
        <w:t>a review of the Carbon Farming Initiative (CFI) (December 2014).</w:t>
      </w:r>
    </w:p>
    <w:p w14:paraId="491BCCBC" w14:textId="77777777" w:rsidR="00000000" w:rsidRDefault="007E6CF5">
      <w:pPr>
        <w:pStyle w:val="NormalWeb"/>
        <w:divId w:val="1439061288"/>
        <w:rPr>
          <w:lang w:val="en-GB"/>
        </w:rPr>
      </w:pPr>
      <w:r>
        <w:rPr>
          <w:lang w:val="en-GB"/>
        </w:rPr>
        <w:t>In 2014, the Authority also conducted independent research and r</w:t>
      </w:r>
      <w:r>
        <w:rPr>
          <w:lang w:val="en-GB"/>
        </w:rPr>
        <w:t xml:space="preserve">eleased papers on vehicle emissions standards, international climate action and international carbon markets, and a guide to comparing countries’ emissions reduction efforts. </w:t>
      </w:r>
    </w:p>
    <w:p w14:paraId="4A8A334B" w14:textId="77777777" w:rsidR="00000000" w:rsidRDefault="007E6CF5">
      <w:pPr>
        <w:pStyle w:val="NormalWeb"/>
        <w:divId w:val="1439061288"/>
        <w:rPr>
          <w:lang w:val="en-GB"/>
        </w:rPr>
      </w:pPr>
      <w:r>
        <w:rPr>
          <w:lang w:val="en-GB"/>
        </w:rPr>
        <w:t>In 2015–16, the Authority progressed its Special Review on Australia’s climate p</w:t>
      </w:r>
      <w:r>
        <w:rPr>
          <w:lang w:val="en-GB"/>
        </w:rPr>
        <w:t>olicy as requested by the then Minister for the Environment. This review included reports on Australia’s future emissions targets and the policies that Australia could adopt to reduce emissions, including an assessment of the various possible forms of emis</w:t>
      </w:r>
      <w:r>
        <w:rPr>
          <w:lang w:val="en-GB"/>
        </w:rPr>
        <w:t xml:space="preserve">sions trading schemes. The Authority will deliver its final report of this Special Review in August 2016, including an analysis of policies that could be used to reduce emissions in the electricity generation sector. </w:t>
      </w:r>
    </w:p>
    <w:p w14:paraId="32DEACC6" w14:textId="77777777" w:rsidR="00000000" w:rsidRDefault="007E6CF5">
      <w:pPr>
        <w:pStyle w:val="NormalWeb"/>
        <w:divId w:val="1439061288"/>
        <w:rPr>
          <w:lang w:val="en-GB"/>
        </w:rPr>
      </w:pPr>
      <w:r>
        <w:rPr>
          <w:lang w:val="en-GB"/>
        </w:rPr>
        <w:t>In 2016–17, the Authority plans to und</w:t>
      </w:r>
      <w:r>
        <w:rPr>
          <w:lang w:val="en-GB"/>
        </w:rPr>
        <w:t xml:space="preserve">ertake research reports in line with recommendations for further work resulting from the Special Review into climate change policies. The Authority also plans to commence its second review of the </w:t>
      </w:r>
      <w:r>
        <w:rPr>
          <w:rStyle w:val="Emphasis"/>
          <w:lang w:val="en-GB"/>
        </w:rPr>
        <w:t>Carbon Farming Initiative Act 2011</w:t>
      </w:r>
      <w:r>
        <w:rPr>
          <w:lang w:val="en-GB"/>
        </w:rPr>
        <w:t>, which is due to be compl</w:t>
      </w:r>
      <w:r>
        <w:rPr>
          <w:lang w:val="en-GB"/>
        </w:rPr>
        <w:t xml:space="preserve">eted by 31 December 2017. Looking further ahead, the Authority is required to complete a review of the </w:t>
      </w:r>
      <w:r>
        <w:rPr>
          <w:rStyle w:val="Emphasis"/>
          <w:lang w:val="en-GB"/>
        </w:rPr>
        <w:t>National Greenhouse and Reporting Act 2007</w:t>
      </w:r>
      <w:r>
        <w:rPr>
          <w:lang w:val="en-GB"/>
        </w:rPr>
        <w:t xml:space="preserve"> by 31 December 2018. </w:t>
      </w:r>
    </w:p>
    <w:p w14:paraId="2396EA51" w14:textId="77777777" w:rsidR="00000000" w:rsidRDefault="007E6CF5">
      <w:pPr>
        <w:pStyle w:val="NormalWeb"/>
        <w:divId w:val="1439061288"/>
        <w:rPr>
          <w:lang w:val="en-GB"/>
        </w:rPr>
      </w:pPr>
      <w:r>
        <w:rPr>
          <w:lang w:val="en-GB"/>
        </w:rPr>
        <w:t>In all of its work, the Authority seeks to embody its core principles and values of inde</w:t>
      </w:r>
      <w:r>
        <w:rPr>
          <w:lang w:val="en-GB"/>
        </w:rPr>
        <w:t xml:space="preserve">pendence, broad stakeholder engagement, excellence in research and analysis, </w:t>
      </w:r>
      <w:r>
        <w:rPr>
          <w:lang w:val="en-GB"/>
        </w:rPr>
        <w:lastRenderedPageBreak/>
        <w:t>transparency, good governance and accountability, and high-quality staff development. These core principles and values are set out in more detail in this plan.</w:t>
      </w:r>
    </w:p>
    <w:p w14:paraId="6FA7FCB7" w14:textId="77777777" w:rsidR="00000000" w:rsidRDefault="007E6CF5">
      <w:pPr>
        <w:pStyle w:val="NormalWeb"/>
        <w:divId w:val="1439061288"/>
        <w:rPr>
          <w:lang w:val="en-GB"/>
        </w:rPr>
      </w:pPr>
      <w:r>
        <w:rPr>
          <w:lang w:val="en-GB"/>
        </w:rPr>
        <w:t>The Authority is su</w:t>
      </w:r>
      <w:r>
        <w:rPr>
          <w:lang w:val="en-GB"/>
        </w:rPr>
        <w:t>pported by an expert secretariat. The calibre of our staff is particularly impressive given the challenges of the past four years. I thank the team for its hard work and continued commitment to excellence.</w:t>
      </w:r>
    </w:p>
    <w:p w14:paraId="1A96E9C6" w14:textId="77777777" w:rsidR="00000000" w:rsidRDefault="007E6CF5">
      <w:pPr>
        <w:pStyle w:val="NormalWeb"/>
        <w:divId w:val="1439061288"/>
        <w:rPr>
          <w:lang w:val="en-GB"/>
        </w:rPr>
      </w:pPr>
      <w:r>
        <w:rPr>
          <w:rStyle w:val="Strong"/>
          <w:lang w:val="en-GB"/>
        </w:rPr>
        <w:t>Shayleen Thompson</w:t>
      </w:r>
      <w:r>
        <w:rPr>
          <w:b/>
          <w:bCs/>
          <w:lang w:val="en-GB"/>
        </w:rPr>
        <w:br/>
      </w:r>
      <w:r>
        <w:rPr>
          <w:lang w:val="en-GB"/>
        </w:rPr>
        <w:t>Acting Chief Executive Officer</w:t>
      </w:r>
    </w:p>
    <w:p w14:paraId="2A931CFC" w14:textId="77777777" w:rsidR="00000000" w:rsidRDefault="007E6CF5">
      <w:pPr>
        <w:pStyle w:val="Heading1"/>
        <w:divId w:val="1439061288"/>
        <w:rPr>
          <w:rFonts w:eastAsia="Times New Roman"/>
          <w:lang w:val="en-GB"/>
        </w:rPr>
      </w:pPr>
      <w:r>
        <w:rPr>
          <w:rFonts w:eastAsia="Times New Roman"/>
          <w:lang w:val="en-GB"/>
        </w:rPr>
        <w:t>P</w:t>
      </w:r>
      <w:r>
        <w:rPr>
          <w:rFonts w:eastAsia="Times New Roman"/>
          <w:lang w:val="en-GB"/>
        </w:rPr>
        <w:t>urpose</w:t>
      </w:r>
    </w:p>
    <w:p w14:paraId="68CBB108" w14:textId="77777777" w:rsidR="00000000" w:rsidRDefault="007E6CF5">
      <w:pPr>
        <w:pStyle w:val="Heading2"/>
        <w:divId w:val="1439061288"/>
        <w:rPr>
          <w:rFonts w:eastAsia="Times New Roman"/>
          <w:lang w:val="en-GB"/>
        </w:rPr>
      </w:pPr>
      <w:r>
        <w:rPr>
          <w:rFonts w:eastAsia="Times New Roman"/>
          <w:lang w:val="en-GB"/>
        </w:rPr>
        <w:t>Objective and role</w:t>
      </w:r>
    </w:p>
    <w:p w14:paraId="695376AA" w14:textId="77777777" w:rsidR="00000000" w:rsidRDefault="007E6CF5">
      <w:pPr>
        <w:pStyle w:val="NormalWeb"/>
        <w:divId w:val="1439061288"/>
        <w:rPr>
          <w:lang w:val="en-GB"/>
        </w:rPr>
      </w:pPr>
      <w:r>
        <w:rPr>
          <w:lang w:val="en-GB"/>
        </w:rPr>
        <w:t>The Climate Change Authority’s objective is to provide rigorous, independent and balanced advice to the Minister for the Environment and Energy, and the Australian Parliament, on climate change policy, in order to improve the qual</w:t>
      </w:r>
      <w:r>
        <w:rPr>
          <w:lang w:val="en-GB"/>
        </w:rPr>
        <w:t>ity of life for all Australians.</w:t>
      </w:r>
    </w:p>
    <w:p w14:paraId="41FC5424" w14:textId="77777777" w:rsidR="00000000" w:rsidRDefault="007E6CF5">
      <w:pPr>
        <w:pStyle w:val="NormalWeb"/>
        <w:divId w:val="1439061288"/>
        <w:rPr>
          <w:lang w:val="en-GB"/>
        </w:rPr>
      </w:pPr>
      <w:r>
        <w:rPr>
          <w:lang w:val="en-GB"/>
        </w:rPr>
        <w:t>The Authority does this by conducting regular and specifically commissioned reviews, and by undertaking climate change research.</w:t>
      </w:r>
    </w:p>
    <w:p w14:paraId="0834B0A3" w14:textId="77777777" w:rsidR="00000000" w:rsidRDefault="007E6CF5">
      <w:pPr>
        <w:pStyle w:val="Heading2"/>
        <w:divId w:val="1439061288"/>
        <w:rPr>
          <w:rFonts w:eastAsia="Times New Roman"/>
          <w:lang w:val="en-GB"/>
        </w:rPr>
      </w:pPr>
      <w:r>
        <w:rPr>
          <w:rFonts w:eastAsia="Times New Roman"/>
          <w:lang w:val="en-GB"/>
        </w:rPr>
        <w:t>Functions</w:t>
      </w:r>
    </w:p>
    <w:p w14:paraId="68692299" w14:textId="77777777" w:rsidR="00000000" w:rsidRDefault="007E6CF5">
      <w:pPr>
        <w:pStyle w:val="NormalWeb"/>
        <w:divId w:val="1439061288"/>
        <w:rPr>
          <w:lang w:val="en-GB"/>
        </w:rPr>
      </w:pPr>
      <w:r>
        <w:rPr>
          <w:lang w:val="en-GB"/>
        </w:rPr>
        <w:t xml:space="preserve">The Authority’s functions are set out in its enabling legislation, the </w:t>
      </w:r>
      <w:r>
        <w:rPr>
          <w:rStyle w:val="Emphasis"/>
          <w:lang w:val="en-GB"/>
        </w:rPr>
        <w:t>Climate Chang</w:t>
      </w:r>
      <w:r>
        <w:rPr>
          <w:rStyle w:val="Emphasis"/>
          <w:lang w:val="en-GB"/>
        </w:rPr>
        <w:t>e Authority Act 2011</w:t>
      </w:r>
      <w:r>
        <w:rPr>
          <w:lang w:val="en-GB"/>
        </w:rPr>
        <w:t>. These include conducting:</w:t>
      </w:r>
    </w:p>
    <w:p w14:paraId="24612911" w14:textId="77777777" w:rsidR="00000000" w:rsidRDefault="007E6CF5">
      <w:pPr>
        <w:numPr>
          <w:ilvl w:val="0"/>
          <w:numId w:val="2"/>
        </w:numPr>
        <w:spacing w:before="100" w:beforeAutospacing="1" w:after="100" w:afterAutospacing="1"/>
        <w:divId w:val="1439061288"/>
        <w:rPr>
          <w:rFonts w:eastAsia="Times New Roman"/>
          <w:lang w:val="en-GB"/>
        </w:rPr>
      </w:pPr>
      <w:r>
        <w:rPr>
          <w:rFonts w:eastAsia="Times New Roman"/>
          <w:lang w:val="en-GB"/>
        </w:rPr>
        <w:t>reviews and making recommendations on the Carbon Farming Initiative (CFI) and National Greenhouse and Energy Report (NGER) system—these review requirements are established in legislation</w:t>
      </w:r>
    </w:p>
    <w:p w14:paraId="3E7130B7" w14:textId="77777777" w:rsidR="00000000" w:rsidRDefault="007E6CF5">
      <w:pPr>
        <w:numPr>
          <w:ilvl w:val="0"/>
          <w:numId w:val="2"/>
        </w:numPr>
        <w:spacing w:before="100" w:beforeAutospacing="1" w:after="100" w:afterAutospacing="1"/>
        <w:divId w:val="1439061288"/>
        <w:rPr>
          <w:rFonts w:eastAsia="Times New Roman"/>
          <w:lang w:val="en-GB"/>
        </w:rPr>
      </w:pPr>
      <w:r>
        <w:rPr>
          <w:rFonts w:eastAsia="Times New Roman"/>
          <w:lang w:val="en-GB"/>
        </w:rPr>
        <w:t>reviews and making re</w:t>
      </w:r>
      <w:r>
        <w:rPr>
          <w:rFonts w:eastAsia="Times New Roman"/>
          <w:lang w:val="en-GB"/>
        </w:rPr>
        <w:t>commendations on other matters as requested by the Minister for the Environment and Energy, or the Australian Parliament</w:t>
      </w:r>
    </w:p>
    <w:p w14:paraId="1766B785" w14:textId="77777777" w:rsidR="00000000" w:rsidRDefault="007E6CF5">
      <w:pPr>
        <w:numPr>
          <w:ilvl w:val="0"/>
          <w:numId w:val="2"/>
        </w:numPr>
        <w:spacing w:before="100" w:beforeAutospacing="1" w:after="100" w:afterAutospacing="1"/>
        <w:divId w:val="1439061288"/>
        <w:rPr>
          <w:rFonts w:eastAsia="Times New Roman"/>
          <w:lang w:val="en-GB"/>
        </w:rPr>
      </w:pPr>
      <w:r>
        <w:rPr>
          <w:rFonts w:eastAsia="Times New Roman"/>
          <w:lang w:val="en-GB"/>
        </w:rPr>
        <w:t>its own independent research and analysis into climate change and other matters relevant to its functions.</w:t>
      </w:r>
    </w:p>
    <w:p w14:paraId="5A9B3764" w14:textId="77777777" w:rsidR="00000000" w:rsidRDefault="007E6CF5">
      <w:pPr>
        <w:pStyle w:val="NormalWeb"/>
        <w:divId w:val="1439061288"/>
        <w:rPr>
          <w:lang w:val="en-GB"/>
        </w:rPr>
      </w:pPr>
      <w:r>
        <w:rPr>
          <w:lang w:val="en-GB"/>
        </w:rPr>
        <w:t>The Authority’s purpose will</w:t>
      </w:r>
      <w:r>
        <w:rPr>
          <w:lang w:val="en-GB"/>
        </w:rPr>
        <w:t xml:space="preserve"> be pursued through:</w:t>
      </w:r>
    </w:p>
    <w:p w14:paraId="0FA8DB83" w14:textId="77777777" w:rsidR="00000000" w:rsidRDefault="007E6CF5">
      <w:pPr>
        <w:numPr>
          <w:ilvl w:val="0"/>
          <w:numId w:val="3"/>
        </w:numPr>
        <w:spacing w:before="100" w:beforeAutospacing="1" w:after="100" w:afterAutospacing="1"/>
        <w:divId w:val="1439061288"/>
        <w:rPr>
          <w:rFonts w:eastAsia="Times New Roman"/>
          <w:lang w:val="en-GB"/>
        </w:rPr>
      </w:pPr>
      <w:r>
        <w:rPr>
          <w:rFonts w:eastAsia="Times New Roman"/>
          <w:lang w:val="en-GB"/>
        </w:rPr>
        <w:t>policy, research and analysis that is high-quality and fit-for-purpose;</w:t>
      </w:r>
    </w:p>
    <w:p w14:paraId="5BF9DE72" w14:textId="77777777" w:rsidR="00000000" w:rsidRDefault="007E6CF5">
      <w:pPr>
        <w:numPr>
          <w:ilvl w:val="0"/>
          <w:numId w:val="3"/>
        </w:numPr>
        <w:spacing w:before="100" w:beforeAutospacing="1" w:after="100" w:afterAutospacing="1"/>
        <w:divId w:val="1439061288"/>
        <w:rPr>
          <w:rFonts w:eastAsia="Times New Roman"/>
          <w:lang w:val="en-GB"/>
        </w:rPr>
      </w:pPr>
      <w:r>
        <w:rPr>
          <w:rFonts w:eastAsia="Times New Roman"/>
          <w:lang w:val="en-GB"/>
        </w:rPr>
        <w:t>effective secretariat support to the Authority’s Chair and members</w:t>
      </w:r>
    </w:p>
    <w:p w14:paraId="1BD79B8D" w14:textId="77777777" w:rsidR="00000000" w:rsidRDefault="007E6CF5">
      <w:pPr>
        <w:numPr>
          <w:ilvl w:val="0"/>
          <w:numId w:val="3"/>
        </w:numPr>
        <w:spacing w:before="100" w:beforeAutospacing="1" w:after="100" w:afterAutospacing="1"/>
        <w:divId w:val="1439061288"/>
        <w:rPr>
          <w:rFonts w:eastAsia="Times New Roman"/>
          <w:lang w:val="en-GB"/>
        </w:rPr>
      </w:pPr>
      <w:r>
        <w:rPr>
          <w:rFonts w:eastAsia="Times New Roman"/>
          <w:lang w:val="en-GB"/>
        </w:rPr>
        <w:t>sound corporate governance and financial management.</w:t>
      </w:r>
    </w:p>
    <w:p w14:paraId="3977256C" w14:textId="77777777" w:rsidR="00000000" w:rsidRDefault="007E6CF5">
      <w:pPr>
        <w:pStyle w:val="NormalWeb"/>
        <w:divId w:val="1439061288"/>
        <w:rPr>
          <w:lang w:val="en-GB"/>
        </w:rPr>
      </w:pPr>
      <w:r>
        <w:rPr>
          <w:lang w:val="en-GB"/>
        </w:rPr>
        <w:t>In December 2014, the then Minister for the Environment, the Hon Greg Hunt MP, requested that the Authority undertake a Special Review into Australia’s policies and future targets for reducing greenhouse gas emissions (see the appendix for the terms of ref</w:t>
      </w:r>
      <w:r>
        <w:rPr>
          <w:lang w:val="en-GB"/>
        </w:rPr>
        <w:t>erence). The Authority requested that the time frame be extended for the completion of the Special Review until after the federal election. The then Minister agreed to this request. The third report of the Special Review will be released at the end of Augu</w:t>
      </w:r>
      <w:r>
        <w:rPr>
          <w:lang w:val="en-GB"/>
        </w:rPr>
        <w:t>st 2016, at the same time as a separate research paper on policies that could be used to reduce emissions in the electricity generation sector.</w:t>
      </w:r>
    </w:p>
    <w:p w14:paraId="2AE378BA" w14:textId="77777777" w:rsidR="00000000" w:rsidRDefault="007E6CF5">
      <w:pPr>
        <w:pStyle w:val="Heading2"/>
        <w:divId w:val="1439061288"/>
        <w:rPr>
          <w:rFonts w:eastAsia="Times New Roman"/>
          <w:lang w:val="en-GB"/>
        </w:rPr>
      </w:pPr>
      <w:r>
        <w:rPr>
          <w:rFonts w:eastAsia="Times New Roman"/>
          <w:lang w:val="en-GB"/>
        </w:rPr>
        <w:t>Period of corporate plan</w:t>
      </w:r>
    </w:p>
    <w:p w14:paraId="739B3EE6" w14:textId="77777777" w:rsidR="00000000" w:rsidRDefault="007E6CF5">
      <w:pPr>
        <w:pStyle w:val="NormalWeb"/>
        <w:divId w:val="1439061288"/>
        <w:rPr>
          <w:lang w:val="en-GB"/>
        </w:rPr>
      </w:pPr>
      <w:r>
        <w:rPr>
          <w:lang w:val="en-GB"/>
        </w:rPr>
        <w:t>The third report of the Special Review is expected to include recommendations for furth</w:t>
      </w:r>
      <w:r>
        <w:rPr>
          <w:lang w:val="en-GB"/>
        </w:rPr>
        <w:t>er research and analytical work on emissions reduction policies. The Authority plans to progress research tasks recommended in the Special Review as part of its work plan in 2016–17. Further information on the Special Review and the Authority’s work plan c</w:t>
      </w:r>
      <w:r>
        <w:rPr>
          <w:lang w:val="en-GB"/>
        </w:rPr>
        <w:t xml:space="preserve">an be found under </w:t>
      </w:r>
      <w:r>
        <w:rPr>
          <w:rStyle w:val="Emphasis"/>
          <w:lang w:val="en-GB"/>
        </w:rPr>
        <w:t>Performance</w:t>
      </w:r>
      <w:r>
        <w:rPr>
          <w:lang w:val="en-GB"/>
        </w:rPr>
        <w:t>.</w:t>
      </w:r>
    </w:p>
    <w:p w14:paraId="25C8FAC3" w14:textId="77777777" w:rsidR="00000000" w:rsidRDefault="007E6CF5">
      <w:pPr>
        <w:pStyle w:val="NormalWeb"/>
        <w:divId w:val="1439061288"/>
        <w:rPr>
          <w:lang w:val="en-GB"/>
        </w:rPr>
      </w:pPr>
      <w:r>
        <w:rPr>
          <w:lang w:val="en-GB"/>
        </w:rPr>
        <w:t>In 2016–17, the Authority also plans to commence work on its second review of the Carbon Credits (Carbon Farming Initiative) Act, which is due to be completed by 31 December 2017.</w:t>
      </w:r>
    </w:p>
    <w:p w14:paraId="2A48D266" w14:textId="77777777" w:rsidR="00000000" w:rsidRDefault="007E6CF5">
      <w:pPr>
        <w:pStyle w:val="NormalWeb"/>
        <w:divId w:val="1439061288"/>
        <w:rPr>
          <w:lang w:val="en-GB"/>
        </w:rPr>
      </w:pPr>
      <w:r>
        <w:rPr>
          <w:lang w:val="en-GB"/>
        </w:rPr>
        <w:t>In 2017–18, the Authority plans to commence w</w:t>
      </w:r>
      <w:r>
        <w:rPr>
          <w:lang w:val="en-GB"/>
        </w:rPr>
        <w:t xml:space="preserve">ork on its review of the </w:t>
      </w:r>
      <w:r>
        <w:rPr>
          <w:rStyle w:val="Emphasis"/>
          <w:lang w:val="en-GB"/>
        </w:rPr>
        <w:t>National Greenhouse and Reporting Act 2007</w:t>
      </w:r>
      <w:r>
        <w:rPr>
          <w:lang w:val="en-GB"/>
        </w:rPr>
        <w:t>, which is due to be completed by 31 December 2018.</w:t>
      </w:r>
    </w:p>
    <w:p w14:paraId="46BC5870" w14:textId="77777777" w:rsidR="00000000" w:rsidRDefault="007E6CF5">
      <w:pPr>
        <w:pStyle w:val="NormalWeb"/>
        <w:divId w:val="1439061288"/>
        <w:rPr>
          <w:lang w:val="en-GB"/>
        </w:rPr>
      </w:pPr>
      <w:r>
        <w:rPr>
          <w:lang w:val="en-GB"/>
        </w:rPr>
        <w:t xml:space="preserve">As noted below in the </w:t>
      </w:r>
      <w:r>
        <w:rPr>
          <w:rStyle w:val="Emphasis"/>
          <w:lang w:val="en-GB"/>
        </w:rPr>
        <w:t>Environment</w:t>
      </w:r>
      <w:r>
        <w:rPr>
          <w:lang w:val="en-GB"/>
        </w:rPr>
        <w:t xml:space="preserve"> section, government policy is that the Authority be wound up. This plan therefore focuses mainly on the</w:t>
      </w:r>
      <w:r>
        <w:rPr>
          <w:lang w:val="en-GB"/>
        </w:rPr>
        <w:t xml:space="preserve"> 2016–17 and 2017–18 financial years, as it is difficult to plan for the remaining years in the context of this uncertainty.</w:t>
      </w:r>
    </w:p>
    <w:p w14:paraId="4299A22B" w14:textId="77777777" w:rsidR="00000000" w:rsidRDefault="007E6CF5">
      <w:pPr>
        <w:pStyle w:val="Heading2"/>
        <w:divId w:val="1439061288"/>
        <w:rPr>
          <w:rFonts w:eastAsia="Times New Roman"/>
          <w:lang w:val="en-GB"/>
        </w:rPr>
      </w:pPr>
      <w:r>
        <w:rPr>
          <w:rFonts w:eastAsia="Times New Roman"/>
          <w:lang w:val="en-GB"/>
        </w:rPr>
        <w:t>Authority members</w:t>
      </w:r>
    </w:p>
    <w:p w14:paraId="1AEF3187" w14:textId="77777777" w:rsidR="00000000" w:rsidRDefault="007E6CF5">
      <w:pPr>
        <w:pStyle w:val="NormalWeb"/>
        <w:divId w:val="1439061288"/>
        <w:rPr>
          <w:lang w:val="en-GB"/>
        </w:rPr>
      </w:pPr>
      <w:r>
        <w:rPr>
          <w:lang w:val="en-GB"/>
        </w:rPr>
        <w:t>The Climate Change Authority is an independent statutory authority comprising a Chair, the Chief Scientist and up</w:t>
      </w:r>
      <w:r>
        <w:rPr>
          <w:lang w:val="en-GB"/>
        </w:rPr>
        <w:t xml:space="preserve"> to seven members appointed by the Minister for the Environment and Energy.</w:t>
      </w:r>
    </w:p>
    <w:p w14:paraId="654BBCB7" w14:textId="77777777" w:rsidR="00000000" w:rsidRDefault="007E6CF5">
      <w:pPr>
        <w:pStyle w:val="NormalWeb"/>
        <w:divId w:val="1439061288"/>
        <w:rPr>
          <w:lang w:val="en-GB"/>
        </w:rPr>
      </w:pPr>
      <w:r>
        <w:rPr>
          <w:lang w:val="en-GB"/>
        </w:rPr>
        <w:t>The members of the Authority are:</w:t>
      </w:r>
    </w:p>
    <w:p w14:paraId="2593ACEC" w14:textId="77777777" w:rsidR="00000000" w:rsidRDefault="007E6CF5">
      <w:pPr>
        <w:numPr>
          <w:ilvl w:val="0"/>
          <w:numId w:val="4"/>
        </w:numPr>
        <w:spacing w:before="100" w:beforeAutospacing="1" w:after="100" w:afterAutospacing="1"/>
        <w:divId w:val="1439061288"/>
        <w:rPr>
          <w:rFonts w:eastAsia="Times New Roman"/>
          <w:lang w:val="en-GB"/>
        </w:rPr>
      </w:pPr>
      <w:r>
        <w:rPr>
          <w:rFonts w:eastAsia="Times New Roman"/>
          <w:lang w:val="en-GB"/>
        </w:rPr>
        <w:t>Chair: Ms Wendy Craik</w:t>
      </w:r>
    </w:p>
    <w:p w14:paraId="2D5D978D" w14:textId="77777777" w:rsidR="00000000" w:rsidRDefault="007E6CF5">
      <w:pPr>
        <w:numPr>
          <w:ilvl w:val="0"/>
          <w:numId w:val="4"/>
        </w:numPr>
        <w:spacing w:before="100" w:beforeAutospacing="1" w:after="100" w:afterAutospacing="1"/>
        <w:divId w:val="1439061288"/>
        <w:rPr>
          <w:rFonts w:eastAsia="Times New Roman"/>
          <w:lang w:val="en-GB"/>
        </w:rPr>
      </w:pPr>
      <w:r>
        <w:rPr>
          <w:rFonts w:eastAsia="Times New Roman"/>
          <w:lang w:val="en-GB"/>
        </w:rPr>
        <w:t xml:space="preserve">Chief Scientist: Dr Alan Finkel </w:t>
      </w:r>
    </w:p>
    <w:p w14:paraId="7A8BD070" w14:textId="77777777" w:rsidR="00000000" w:rsidRDefault="007E6CF5">
      <w:pPr>
        <w:numPr>
          <w:ilvl w:val="0"/>
          <w:numId w:val="4"/>
        </w:numPr>
        <w:spacing w:before="100" w:beforeAutospacing="1" w:after="100" w:afterAutospacing="1"/>
        <w:divId w:val="1439061288"/>
        <w:rPr>
          <w:rFonts w:eastAsia="Times New Roman"/>
          <w:lang w:val="en-GB"/>
        </w:rPr>
      </w:pPr>
      <w:r>
        <w:rPr>
          <w:rFonts w:eastAsia="Times New Roman"/>
          <w:lang w:val="en-GB"/>
        </w:rPr>
        <w:t>Mr Stuart Allinson</w:t>
      </w:r>
    </w:p>
    <w:p w14:paraId="60C85F2F" w14:textId="77777777" w:rsidR="00000000" w:rsidRDefault="007E6CF5">
      <w:pPr>
        <w:numPr>
          <w:ilvl w:val="0"/>
          <w:numId w:val="4"/>
        </w:numPr>
        <w:spacing w:before="100" w:beforeAutospacing="1" w:after="100" w:afterAutospacing="1"/>
        <w:divId w:val="1439061288"/>
        <w:rPr>
          <w:rFonts w:eastAsia="Times New Roman"/>
          <w:lang w:val="en-GB"/>
        </w:rPr>
      </w:pPr>
      <w:r>
        <w:rPr>
          <w:rFonts w:eastAsia="Times New Roman"/>
          <w:lang w:val="en-GB"/>
        </w:rPr>
        <w:t>Ms Kate Carnell</w:t>
      </w:r>
    </w:p>
    <w:p w14:paraId="01F869B7" w14:textId="77777777" w:rsidR="00000000" w:rsidRDefault="007E6CF5">
      <w:pPr>
        <w:numPr>
          <w:ilvl w:val="0"/>
          <w:numId w:val="4"/>
        </w:numPr>
        <w:spacing w:before="100" w:beforeAutospacing="1" w:after="100" w:afterAutospacing="1"/>
        <w:divId w:val="1439061288"/>
        <w:rPr>
          <w:rFonts w:eastAsia="Times New Roman"/>
          <w:lang w:val="en-GB"/>
        </w:rPr>
      </w:pPr>
      <w:r>
        <w:rPr>
          <w:rFonts w:eastAsia="Times New Roman"/>
          <w:lang w:val="en-GB"/>
        </w:rPr>
        <w:t>Professor Clive Hamilton</w:t>
      </w:r>
    </w:p>
    <w:p w14:paraId="31FC4A94" w14:textId="77777777" w:rsidR="00000000" w:rsidRDefault="007E6CF5">
      <w:pPr>
        <w:numPr>
          <w:ilvl w:val="0"/>
          <w:numId w:val="4"/>
        </w:numPr>
        <w:spacing w:before="100" w:beforeAutospacing="1" w:after="100" w:afterAutospacing="1"/>
        <w:divId w:val="1439061288"/>
        <w:rPr>
          <w:rFonts w:eastAsia="Times New Roman"/>
          <w:lang w:val="en-GB"/>
        </w:rPr>
      </w:pPr>
      <w:r>
        <w:rPr>
          <w:rFonts w:eastAsia="Times New Roman"/>
          <w:lang w:val="en-GB"/>
        </w:rPr>
        <w:t>Professor David Karoly</w:t>
      </w:r>
    </w:p>
    <w:p w14:paraId="36C5D2FB" w14:textId="77777777" w:rsidR="00000000" w:rsidRDefault="007E6CF5">
      <w:pPr>
        <w:numPr>
          <w:ilvl w:val="0"/>
          <w:numId w:val="4"/>
        </w:numPr>
        <w:spacing w:before="100" w:beforeAutospacing="1" w:after="100" w:afterAutospacing="1"/>
        <w:divId w:val="1439061288"/>
        <w:rPr>
          <w:rFonts w:eastAsia="Times New Roman"/>
          <w:lang w:val="en-GB"/>
        </w:rPr>
      </w:pPr>
      <w:r>
        <w:rPr>
          <w:rFonts w:eastAsia="Times New Roman"/>
          <w:lang w:val="en-GB"/>
        </w:rPr>
        <w:t>Mr Danny</w:t>
      </w:r>
      <w:r>
        <w:rPr>
          <w:rFonts w:eastAsia="Times New Roman"/>
          <w:lang w:val="en-GB"/>
        </w:rPr>
        <w:t xml:space="preserve"> Price</w:t>
      </w:r>
    </w:p>
    <w:p w14:paraId="5E3BAF0A" w14:textId="77777777" w:rsidR="00000000" w:rsidRDefault="007E6CF5">
      <w:pPr>
        <w:numPr>
          <w:ilvl w:val="0"/>
          <w:numId w:val="4"/>
        </w:numPr>
        <w:spacing w:before="100" w:beforeAutospacing="1" w:after="100" w:afterAutospacing="1"/>
        <w:divId w:val="1439061288"/>
        <w:rPr>
          <w:rFonts w:eastAsia="Times New Roman"/>
          <w:lang w:val="en-GB"/>
        </w:rPr>
      </w:pPr>
      <w:r>
        <w:rPr>
          <w:rFonts w:eastAsia="Times New Roman"/>
          <w:lang w:val="en-GB"/>
        </w:rPr>
        <w:t>Professor John Quiggin</w:t>
      </w:r>
    </w:p>
    <w:p w14:paraId="32B6F3E4" w14:textId="77777777" w:rsidR="00000000" w:rsidRDefault="007E6CF5">
      <w:pPr>
        <w:numPr>
          <w:ilvl w:val="0"/>
          <w:numId w:val="4"/>
        </w:numPr>
        <w:spacing w:before="100" w:beforeAutospacing="1" w:after="100" w:afterAutospacing="1"/>
        <w:divId w:val="1439061288"/>
        <w:rPr>
          <w:rFonts w:eastAsia="Times New Roman"/>
          <w:lang w:val="en-GB"/>
        </w:rPr>
      </w:pPr>
      <w:r>
        <w:rPr>
          <w:rFonts w:eastAsia="Times New Roman"/>
          <w:lang w:val="en-GB"/>
        </w:rPr>
        <w:t>the Hon John Sharp.</w:t>
      </w:r>
    </w:p>
    <w:p w14:paraId="2FB742D4" w14:textId="77777777" w:rsidR="00000000" w:rsidRDefault="007E6CF5">
      <w:pPr>
        <w:pStyle w:val="NormalWeb"/>
        <w:divId w:val="1439061288"/>
        <w:rPr>
          <w:lang w:val="en-GB"/>
        </w:rPr>
      </w:pPr>
      <w:r>
        <w:rPr>
          <w:lang w:val="en-GB"/>
        </w:rPr>
        <w:t xml:space="preserve">There is also an associate member, Mr Andrew Macintosh, who is appointed for the duration of the Special Review. </w:t>
      </w:r>
    </w:p>
    <w:p w14:paraId="248B800E" w14:textId="77777777" w:rsidR="00000000" w:rsidRDefault="007E6CF5">
      <w:pPr>
        <w:pStyle w:val="NormalWeb"/>
        <w:divId w:val="1439061288"/>
        <w:rPr>
          <w:lang w:val="en-GB"/>
        </w:rPr>
      </w:pPr>
      <w:r>
        <w:rPr>
          <w:lang w:val="en-GB"/>
        </w:rPr>
        <w:t>Details of Authority members’ qualifications and expertise can be found on the Authority’s w</w:t>
      </w:r>
      <w:r>
        <w:rPr>
          <w:lang w:val="en-GB"/>
        </w:rPr>
        <w:t xml:space="preserve">ebsite at </w:t>
      </w:r>
      <w:hyperlink r:id="rId5" w:history="1">
        <w:r>
          <w:rPr>
            <w:rStyle w:val="Hyperlink"/>
            <w:lang w:val="en-GB"/>
          </w:rPr>
          <w:t>www.climatechangeauthority.gov.au</w:t>
        </w:r>
      </w:hyperlink>
      <w:r>
        <w:rPr>
          <w:lang w:val="en-GB"/>
        </w:rPr>
        <w:t>.</w:t>
      </w:r>
    </w:p>
    <w:p w14:paraId="16BC660A" w14:textId="77777777" w:rsidR="00000000" w:rsidRDefault="007E6CF5">
      <w:pPr>
        <w:pStyle w:val="NormalWeb"/>
        <w:divId w:val="1439061288"/>
        <w:rPr>
          <w:lang w:val="en-GB"/>
        </w:rPr>
      </w:pPr>
      <w:r>
        <w:rPr>
          <w:lang w:val="en-GB"/>
        </w:rPr>
        <w:t>The Authority is supported by the Acting Chief Executive Officer, Ms Shayleen Thompson, and secretariat staff.</w:t>
      </w:r>
    </w:p>
    <w:p w14:paraId="54A35603" w14:textId="77777777" w:rsidR="00000000" w:rsidRDefault="007E6CF5">
      <w:pPr>
        <w:pStyle w:val="Heading2"/>
        <w:divId w:val="1439061288"/>
        <w:rPr>
          <w:rFonts w:eastAsia="Times New Roman"/>
          <w:lang w:val="en-GB"/>
        </w:rPr>
      </w:pPr>
      <w:r>
        <w:rPr>
          <w:rFonts w:eastAsia="Times New Roman"/>
          <w:lang w:val="en-GB"/>
        </w:rPr>
        <w:t>The Authority’s core principles and values</w:t>
      </w:r>
    </w:p>
    <w:p w14:paraId="19279CC4" w14:textId="77777777" w:rsidR="00000000" w:rsidRDefault="007E6CF5">
      <w:pPr>
        <w:pStyle w:val="NormalWeb"/>
        <w:divId w:val="1439061288"/>
        <w:rPr>
          <w:lang w:val="en-GB"/>
        </w:rPr>
      </w:pPr>
      <w:r>
        <w:rPr>
          <w:lang w:val="en-GB"/>
        </w:rPr>
        <w:t>The Authority has identified the following organisational principles and values, which guide how it conducts its business.</w:t>
      </w:r>
    </w:p>
    <w:p w14:paraId="1FB5BF5B" w14:textId="77777777" w:rsidR="00000000" w:rsidRDefault="007E6CF5">
      <w:pPr>
        <w:pStyle w:val="Heading3"/>
        <w:divId w:val="1439061288"/>
        <w:rPr>
          <w:rFonts w:eastAsia="Times New Roman"/>
          <w:lang w:val="en-GB"/>
        </w:rPr>
      </w:pPr>
      <w:r>
        <w:rPr>
          <w:rFonts w:eastAsia="Times New Roman"/>
          <w:lang w:val="en-GB"/>
        </w:rPr>
        <w:t>Independence</w:t>
      </w:r>
    </w:p>
    <w:p w14:paraId="1A7AC9B9" w14:textId="77777777" w:rsidR="00000000" w:rsidRDefault="007E6CF5">
      <w:pPr>
        <w:pStyle w:val="NormalWeb"/>
        <w:divId w:val="1439061288"/>
        <w:rPr>
          <w:lang w:val="en-GB"/>
        </w:rPr>
      </w:pPr>
      <w:r>
        <w:rPr>
          <w:lang w:val="en-GB"/>
        </w:rPr>
        <w:t xml:space="preserve">The Authority is an independent statutory authority. To build and maintain credibility as the provider of rigorous climate policy analysis and recommendations on future directions, it demonstrates independence and balance in thinking and action. </w:t>
      </w:r>
    </w:p>
    <w:p w14:paraId="73997281" w14:textId="77777777" w:rsidR="00000000" w:rsidRDefault="007E6CF5">
      <w:pPr>
        <w:pStyle w:val="Heading3"/>
        <w:divId w:val="1439061288"/>
        <w:rPr>
          <w:rFonts w:eastAsia="Times New Roman"/>
          <w:lang w:val="en-GB"/>
        </w:rPr>
      </w:pPr>
      <w:r>
        <w:rPr>
          <w:rFonts w:eastAsia="Times New Roman"/>
          <w:lang w:val="en-GB"/>
        </w:rPr>
        <w:t>Broad and</w:t>
      </w:r>
      <w:r>
        <w:rPr>
          <w:rFonts w:eastAsia="Times New Roman"/>
          <w:lang w:val="en-GB"/>
        </w:rPr>
        <w:t xml:space="preserve"> positive stakeholder engagement</w:t>
      </w:r>
    </w:p>
    <w:p w14:paraId="60CAB6D2" w14:textId="77777777" w:rsidR="00000000" w:rsidRDefault="007E6CF5">
      <w:pPr>
        <w:pStyle w:val="NormalWeb"/>
        <w:divId w:val="1439061288"/>
        <w:rPr>
          <w:lang w:val="en-GB"/>
        </w:rPr>
      </w:pPr>
      <w:r>
        <w:rPr>
          <w:lang w:val="en-GB"/>
        </w:rPr>
        <w:t>New and divergent ideas contribute to healthy debate. The Authority will take account of all available inputs by engaging with a wide range of stakeholders and other contributors with an interest in climate change policy an</w:t>
      </w:r>
      <w:r>
        <w:rPr>
          <w:lang w:val="en-GB"/>
        </w:rPr>
        <w:t>d related matters.</w:t>
      </w:r>
    </w:p>
    <w:p w14:paraId="5BD48F26" w14:textId="77777777" w:rsidR="00000000" w:rsidRDefault="007E6CF5">
      <w:pPr>
        <w:pStyle w:val="NormalWeb"/>
        <w:divId w:val="1439061288"/>
        <w:rPr>
          <w:lang w:val="en-GB"/>
        </w:rPr>
      </w:pPr>
      <w:r>
        <w:rPr>
          <w:lang w:val="en-GB"/>
        </w:rPr>
        <w:t>The Authority will consult the public on every review, consistent with the requirements of its legislation.</w:t>
      </w:r>
    </w:p>
    <w:p w14:paraId="04847E20" w14:textId="77777777" w:rsidR="00000000" w:rsidRDefault="007E6CF5">
      <w:pPr>
        <w:pStyle w:val="Heading3"/>
        <w:divId w:val="1439061288"/>
        <w:rPr>
          <w:rFonts w:eastAsia="Times New Roman"/>
          <w:lang w:val="en-GB"/>
        </w:rPr>
      </w:pPr>
      <w:r>
        <w:rPr>
          <w:rFonts w:eastAsia="Times New Roman"/>
          <w:lang w:val="en-GB"/>
        </w:rPr>
        <w:t>Excellence in research and analysis</w:t>
      </w:r>
    </w:p>
    <w:p w14:paraId="69E73284" w14:textId="77777777" w:rsidR="00000000" w:rsidRDefault="007E6CF5">
      <w:pPr>
        <w:pStyle w:val="NormalWeb"/>
        <w:divId w:val="1439061288"/>
        <w:rPr>
          <w:lang w:val="en-GB"/>
        </w:rPr>
      </w:pPr>
      <w:r>
        <w:rPr>
          <w:lang w:val="en-GB"/>
        </w:rPr>
        <w:t>The credibility of the Authority relies on the quality of its research, analysis and reportin</w:t>
      </w:r>
      <w:r>
        <w:rPr>
          <w:lang w:val="en-GB"/>
        </w:rPr>
        <w:t>g. The Authority will undertake thorough research and analysis through detailed planning and applying highly skilled resources to the task.</w:t>
      </w:r>
    </w:p>
    <w:p w14:paraId="6589E830" w14:textId="77777777" w:rsidR="00000000" w:rsidRDefault="007E6CF5">
      <w:pPr>
        <w:pStyle w:val="NormalWeb"/>
        <w:divId w:val="1439061288"/>
        <w:rPr>
          <w:lang w:val="en-GB"/>
        </w:rPr>
      </w:pPr>
      <w:r>
        <w:rPr>
          <w:lang w:val="en-GB"/>
        </w:rPr>
        <w:t>The Authority has a skilled workforce with a broad range of experience and established links to relevant expert loca</w:t>
      </w:r>
      <w:r>
        <w:rPr>
          <w:lang w:val="en-GB"/>
        </w:rPr>
        <w:t>l and international organisations.</w:t>
      </w:r>
    </w:p>
    <w:p w14:paraId="769D6B67" w14:textId="77777777" w:rsidR="00000000" w:rsidRDefault="007E6CF5">
      <w:pPr>
        <w:pStyle w:val="Heading3"/>
        <w:divId w:val="1439061288"/>
        <w:rPr>
          <w:rFonts w:eastAsia="Times New Roman"/>
          <w:lang w:val="en-GB"/>
        </w:rPr>
      </w:pPr>
      <w:r>
        <w:rPr>
          <w:rFonts w:eastAsia="Times New Roman"/>
          <w:lang w:val="en-GB"/>
        </w:rPr>
        <w:t>Transparency</w:t>
      </w:r>
    </w:p>
    <w:p w14:paraId="102E32D3" w14:textId="77777777" w:rsidR="00000000" w:rsidRDefault="007E6CF5">
      <w:pPr>
        <w:pStyle w:val="NormalWeb"/>
        <w:divId w:val="1439061288"/>
        <w:rPr>
          <w:lang w:val="en-GB"/>
        </w:rPr>
      </w:pPr>
      <w:r>
        <w:rPr>
          <w:lang w:val="en-GB"/>
        </w:rPr>
        <w:t>The Authority will share its knowledge and operate in an open and transparent way.</w:t>
      </w:r>
    </w:p>
    <w:p w14:paraId="57608B6A" w14:textId="77777777" w:rsidR="00000000" w:rsidRDefault="007E6CF5">
      <w:pPr>
        <w:pStyle w:val="NormalWeb"/>
        <w:divId w:val="1439061288"/>
        <w:rPr>
          <w:lang w:val="en-GB"/>
        </w:rPr>
      </w:pPr>
      <w:r>
        <w:rPr>
          <w:lang w:val="en-GB"/>
        </w:rPr>
        <w:t xml:space="preserve">The Authority has an obligation to publish its reports under the Climate Change Authority Act. Those reports are a result of </w:t>
      </w:r>
      <w:r>
        <w:rPr>
          <w:lang w:val="en-GB"/>
        </w:rPr>
        <w:t>reviewing and synthesising existing materials, engaging stakeholders and undertaking research to generate original reporting, analysis and advice.</w:t>
      </w:r>
    </w:p>
    <w:p w14:paraId="2DD13547" w14:textId="77777777" w:rsidR="00000000" w:rsidRDefault="007E6CF5">
      <w:pPr>
        <w:pStyle w:val="Heading3"/>
        <w:divId w:val="1439061288"/>
        <w:rPr>
          <w:rFonts w:eastAsia="Times New Roman"/>
          <w:lang w:val="en-GB"/>
        </w:rPr>
      </w:pPr>
      <w:r>
        <w:rPr>
          <w:rFonts w:eastAsia="Times New Roman"/>
          <w:lang w:val="en-GB"/>
        </w:rPr>
        <w:t>Good governance and accountability</w:t>
      </w:r>
    </w:p>
    <w:p w14:paraId="4DF5C17B" w14:textId="77777777" w:rsidR="00000000" w:rsidRDefault="007E6CF5">
      <w:pPr>
        <w:pStyle w:val="NormalWeb"/>
        <w:divId w:val="1439061288"/>
        <w:rPr>
          <w:lang w:val="en-GB"/>
        </w:rPr>
      </w:pPr>
      <w:r>
        <w:rPr>
          <w:lang w:val="en-GB"/>
        </w:rPr>
        <w:t>Good governance is an essential element of all successful organisations. T</w:t>
      </w:r>
      <w:r>
        <w:rPr>
          <w:lang w:val="en-GB"/>
        </w:rPr>
        <w:t xml:space="preserve">he Authority is subject to the Public Governance, Performance and Reporting Act and the </w:t>
      </w:r>
      <w:r>
        <w:rPr>
          <w:rStyle w:val="Emphasis"/>
          <w:lang w:val="en-GB"/>
        </w:rPr>
        <w:t>Public Service Act 1999</w:t>
      </w:r>
      <w:r>
        <w:rPr>
          <w:lang w:val="en-GB"/>
        </w:rPr>
        <w:t>, and has specific additional governance requirements under the Climate Change Authority Act.</w:t>
      </w:r>
    </w:p>
    <w:p w14:paraId="680C599B" w14:textId="77777777" w:rsidR="00000000" w:rsidRDefault="007E6CF5">
      <w:pPr>
        <w:pStyle w:val="NormalWeb"/>
        <w:divId w:val="1439061288"/>
        <w:rPr>
          <w:lang w:val="en-GB"/>
        </w:rPr>
      </w:pPr>
      <w:r>
        <w:rPr>
          <w:lang w:val="en-GB"/>
        </w:rPr>
        <w:t>The Authority maintains the highest standards of ac</w:t>
      </w:r>
      <w:r>
        <w:rPr>
          <w:lang w:val="en-GB"/>
        </w:rPr>
        <w:t>countability and governance.</w:t>
      </w:r>
    </w:p>
    <w:p w14:paraId="3CD68BEA" w14:textId="77777777" w:rsidR="00000000" w:rsidRDefault="007E6CF5">
      <w:pPr>
        <w:pStyle w:val="Heading3"/>
        <w:divId w:val="1439061288"/>
        <w:rPr>
          <w:rFonts w:eastAsia="Times New Roman"/>
          <w:lang w:val="en-GB"/>
        </w:rPr>
      </w:pPr>
      <w:r>
        <w:rPr>
          <w:rFonts w:eastAsia="Times New Roman"/>
          <w:lang w:val="en-GB"/>
        </w:rPr>
        <w:t>Build staff capacity and development</w:t>
      </w:r>
    </w:p>
    <w:p w14:paraId="0DC26C79" w14:textId="77777777" w:rsidR="00000000" w:rsidRDefault="007E6CF5">
      <w:pPr>
        <w:pStyle w:val="NormalWeb"/>
        <w:divId w:val="1439061288"/>
        <w:rPr>
          <w:lang w:val="en-GB"/>
        </w:rPr>
      </w:pPr>
      <w:r>
        <w:rPr>
          <w:lang w:val="en-GB"/>
        </w:rPr>
        <w:t>Staff is the Authority’s most valuable resource. For the Authority to succeed, the staff must also develop.</w:t>
      </w:r>
    </w:p>
    <w:p w14:paraId="76C816F9" w14:textId="77777777" w:rsidR="00000000" w:rsidRDefault="007E6CF5">
      <w:pPr>
        <w:pStyle w:val="NormalWeb"/>
        <w:divId w:val="1439061288"/>
        <w:rPr>
          <w:lang w:val="en-GB"/>
        </w:rPr>
      </w:pPr>
      <w:r>
        <w:rPr>
          <w:lang w:val="en-GB"/>
        </w:rPr>
        <w:t>The Authority will provide all staff with the opportunity to develop skills and kn</w:t>
      </w:r>
      <w:r>
        <w:rPr>
          <w:lang w:val="en-GB"/>
        </w:rPr>
        <w:t>owledge through formal training and other development opportunities.</w:t>
      </w:r>
    </w:p>
    <w:p w14:paraId="7526576C" w14:textId="77777777" w:rsidR="00000000" w:rsidRDefault="007E6CF5">
      <w:pPr>
        <w:pStyle w:val="Heading2"/>
        <w:divId w:val="1439061288"/>
        <w:rPr>
          <w:rFonts w:eastAsia="Times New Roman"/>
          <w:lang w:val="en-GB"/>
        </w:rPr>
      </w:pPr>
      <w:r>
        <w:rPr>
          <w:rFonts w:eastAsia="Times New Roman"/>
          <w:lang w:val="en-GB"/>
        </w:rPr>
        <w:t>Environment</w:t>
      </w:r>
    </w:p>
    <w:p w14:paraId="5AF4CBEF" w14:textId="77777777" w:rsidR="00000000" w:rsidRDefault="007E6CF5">
      <w:pPr>
        <w:pStyle w:val="NormalWeb"/>
        <w:divId w:val="1439061288"/>
        <w:rPr>
          <w:lang w:val="en-GB"/>
        </w:rPr>
      </w:pPr>
      <w:r>
        <w:rPr>
          <w:lang w:val="en-GB"/>
        </w:rPr>
        <w:t>The environment in which the Authority is operating has shifted significantly since its establishment in 2012 and it continues to change.</w:t>
      </w:r>
    </w:p>
    <w:p w14:paraId="7C4079D8" w14:textId="77777777" w:rsidR="00000000" w:rsidRDefault="007E6CF5">
      <w:pPr>
        <w:pStyle w:val="NormalWeb"/>
        <w:divId w:val="1439061288"/>
        <w:rPr>
          <w:lang w:val="en-GB"/>
        </w:rPr>
      </w:pPr>
      <w:r>
        <w:rPr>
          <w:lang w:val="en-GB"/>
        </w:rPr>
        <w:t>The Authority is funded until the end</w:t>
      </w:r>
      <w:r>
        <w:rPr>
          <w:lang w:val="en-GB"/>
        </w:rPr>
        <w:t xml:space="preserve"> of the 2016 calendar year. Government policy is to wind up the Authority. This would require changes to the Authority’s enabling legislation and it is unclear when this would occur. </w:t>
      </w:r>
    </w:p>
    <w:p w14:paraId="508F547F" w14:textId="77777777" w:rsidR="00000000" w:rsidRDefault="007E6CF5">
      <w:pPr>
        <w:pStyle w:val="NormalWeb"/>
        <w:divId w:val="1439061288"/>
        <w:rPr>
          <w:lang w:val="en-GB"/>
        </w:rPr>
      </w:pPr>
      <w:r>
        <w:rPr>
          <w:lang w:val="en-GB"/>
        </w:rPr>
        <w:t>The Authority is therefore operating in an environment of some uncertain</w:t>
      </w:r>
      <w:r>
        <w:rPr>
          <w:lang w:val="en-GB"/>
        </w:rPr>
        <w:t xml:space="preserve">ty. Some of the implications of this uncertainty are outlined in the </w:t>
      </w:r>
      <w:r>
        <w:rPr>
          <w:rStyle w:val="Emphasis"/>
          <w:lang w:val="en-GB"/>
        </w:rPr>
        <w:t>Capability</w:t>
      </w:r>
      <w:r>
        <w:rPr>
          <w:lang w:val="en-GB"/>
        </w:rPr>
        <w:t xml:space="preserve"> and </w:t>
      </w:r>
      <w:r>
        <w:rPr>
          <w:rStyle w:val="Emphasis"/>
          <w:lang w:val="en-GB"/>
        </w:rPr>
        <w:t>Risk</w:t>
      </w:r>
      <w:r>
        <w:rPr>
          <w:lang w:val="en-GB"/>
        </w:rPr>
        <w:t xml:space="preserve"> sections below.</w:t>
      </w:r>
    </w:p>
    <w:p w14:paraId="25A95DE3" w14:textId="77777777" w:rsidR="00000000" w:rsidRDefault="007E6CF5">
      <w:pPr>
        <w:pStyle w:val="Heading1"/>
        <w:divId w:val="1439061288"/>
        <w:rPr>
          <w:rFonts w:eastAsia="Times New Roman"/>
          <w:lang w:val="en-GB"/>
        </w:rPr>
      </w:pPr>
      <w:r>
        <w:rPr>
          <w:rFonts w:eastAsia="Times New Roman"/>
          <w:lang w:val="en-GB"/>
        </w:rPr>
        <w:t>Performance</w:t>
      </w:r>
    </w:p>
    <w:p w14:paraId="6D838775" w14:textId="77777777" w:rsidR="00000000" w:rsidRDefault="007E6CF5">
      <w:pPr>
        <w:pStyle w:val="Heading2"/>
        <w:divId w:val="1439061288"/>
        <w:rPr>
          <w:rFonts w:eastAsia="Times New Roman"/>
          <w:lang w:val="en-GB"/>
        </w:rPr>
      </w:pPr>
      <w:r>
        <w:rPr>
          <w:rFonts w:eastAsia="Times New Roman"/>
          <w:lang w:val="en-GB"/>
        </w:rPr>
        <w:t xml:space="preserve">Outcomes and performance information </w:t>
      </w:r>
    </w:p>
    <w:p w14:paraId="69F083F8" w14:textId="77777777" w:rsidR="00000000" w:rsidRDefault="007E6CF5">
      <w:pPr>
        <w:pStyle w:val="Heading3"/>
        <w:divId w:val="1439061288"/>
        <w:rPr>
          <w:rFonts w:eastAsia="Times New Roman"/>
          <w:lang w:val="en-GB"/>
        </w:rPr>
      </w:pPr>
      <w:r>
        <w:rPr>
          <w:rFonts w:eastAsia="Times New Roman"/>
          <w:lang w:val="en-GB"/>
        </w:rPr>
        <w:t>Outcome description</w:t>
      </w:r>
    </w:p>
    <w:p w14:paraId="4B03B3A9" w14:textId="77777777" w:rsidR="00000000" w:rsidRDefault="007E6CF5">
      <w:pPr>
        <w:pStyle w:val="NormalWeb"/>
        <w:divId w:val="1439061288"/>
        <w:rPr>
          <w:lang w:val="en-GB"/>
        </w:rPr>
      </w:pPr>
      <w:r>
        <w:rPr>
          <w:lang w:val="en-GB"/>
        </w:rPr>
        <w:t>The Authority’s outcome is to:</w:t>
      </w:r>
    </w:p>
    <w:p w14:paraId="681029D1" w14:textId="77777777" w:rsidR="00000000" w:rsidRDefault="007E6CF5">
      <w:pPr>
        <w:pStyle w:val="NormalWeb"/>
        <w:divId w:val="1439061288"/>
        <w:rPr>
          <w:lang w:val="en-GB"/>
        </w:rPr>
      </w:pPr>
      <w:r>
        <w:rPr>
          <w:rStyle w:val="Emphasis"/>
          <w:lang w:val="en-GB"/>
        </w:rPr>
        <w:t>Provide expert advice to the Australian Government</w:t>
      </w:r>
      <w:r>
        <w:rPr>
          <w:rStyle w:val="Emphasis"/>
          <w:lang w:val="en-GB"/>
        </w:rPr>
        <w:t xml:space="preserve"> on climate change mitigation initiatives, including through conducting periodic reviews and undertaking climate change research. </w:t>
      </w:r>
    </w:p>
    <w:p w14:paraId="4F212572" w14:textId="77777777" w:rsidR="00000000" w:rsidRDefault="007E6CF5">
      <w:pPr>
        <w:pStyle w:val="NormalWeb"/>
        <w:divId w:val="1439061288"/>
        <w:rPr>
          <w:lang w:val="en-GB"/>
        </w:rPr>
      </w:pPr>
      <w:r>
        <w:rPr>
          <w:rStyle w:val="Strong"/>
          <w:lang w:val="en-GB"/>
        </w:rPr>
        <w:t>Activity 1: Conduct a Special Review into Australia’s policies and future targets for reducing greenhouse gas emissions in th</w:t>
      </w:r>
      <w:r>
        <w:rPr>
          <w:rStyle w:val="Strong"/>
          <w:lang w:val="en-GB"/>
        </w:rPr>
        <w:t>e context of its international commitments and the action of other countries.</w:t>
      </w:r>
    </w:p>
    <w:p w14:paraId="45A65D2E" w14:textId="77777777" w:rsidR="00000000" w:rsidRDefault="007E6CF5">
      <w:pPr>
        <w:numPr>
          <w:ilvl w:val="0"/>
          <w:numId w:val="5"/>
        </w:numPr>
        <w:spacing w:before="100" w:beforeAutospacing="1" w:after="100" w:afterAutospacing="1"/>
        <w:divId w:val="1439061288"/>
        <w:rPr>
          <w:rFonts w:eastAsia="Times New Roman"/>
          <w:lang w:val="en-GB"/>
        </w:rPr>
      </w:pPr>
      <w:r>
        <w:rPr>
          <w:rFonts w:eastAsia="Times New Roman"/>
          <w:lang w:val="en-GB"/>
        </w:rPr>
        <w:t>The final report of the Special Review will recommend the action Australia should take to implement the outcomes of the United Nations climate change conference, held in Paris in</w:t>
      </w:r>
      <w:r>
        <w:rPr>
          <w:rFonts w:eastAsia="Times New Roman"/>
          <w:lang w:val="en-GB"/>
        </w:rPr>
        <w:t xml:space="preserve"> December 2015. The Authority has announced that this report will be released by the end of August 2016.</w:t>
      </w:r>
    </w:p>
    <w:p w14:paraId="1A519497" w14:textId="77777777" w:rsidR="00000000" w:rsidRDefault="007E6CF5">
      <w:pPr>
        <w:pStyle w:val="NormalWeb"/>
        <w:divId w:val="1439061288"/>
        <w:rPr>
          <w:lang w:val="en-GB"/>
        </w:rPr>
      </w:pPr>
      <w:r>
        <w:rPr>
          <w:rStyle w:val="Strong"/>
          <w:lang w:val="en-GB"/>
        </w:rPr>
        <w:t>Activity 2: Prepare research reports on emissions reduction policies that the Authority recommended for further work in the final report of the Special Review.</w:t>
      </w:r>
    </w:p>
    <w:p w14:paraId="46BE2764" w14:textId="77777777" w:rsidR="00000000" w:rsidRDefault="007E6CF5">
      <w:pPr>
        <w:numPr>
          <w:ilvl w:val="0"/>
          <w:numId w:val="6"/>
        </w:numPr>
        <w:spacing w:before="100" w:beforeAutospacing="1" w:after="100" w:afterAutospacing="1"/>
        <w:divId w:val="1439061288"/>
        <w:rPr>
          <w:rFonts w:eastAsia="Times New Roman"/>
          <w:lang w:val="en-GB"/>
        </w:rPr>
      </w:pPr>
      <w:r>
        <w:rPr>
          <w:rFonts w:eastAsia="Times New Roman"/>
          <w:lang w:val="en-GB"/>
        </w:rPr>
        <w:t xml:space="preserve">The special review final report is expected to include recommendations for further research and analytical work. The Authority will conduct these research tasks and publish research reports in 2016–17. </w:t>
      </w:r>
    </w:p>
    <w:p w14:paraId="07FA0C8F" w14:textId="77777777" w:rsidR="00000000" w:rsidRDefault="007E6CF5">
      <w:pPr>
        <w:pStyle w:val="NormalWeb"/>
        <w:divId w:val="1439061288"/>
        <w:rPr>
          <w:lang w:val="en-GB"/>
        </w:rPr>
      </w:pPr>
      <w:r>
        <w:rPr>
          <w:rStyle w:val="Strong"/>
          <w:lang w:val="en-GB"/>
        </w:rPr>
        <w:t>Activity 3: Commence work on the second review of the</w:t>
      </w:r>
      <w:r>
        <w:rPr>
          <w:rStyle w:val="Strong"/>
          <w:lang w:val="en-GB"/>
        </w:rPr>
        <w:t xml:space="preserve"> Carbon Credits (Carbon Farming Initiative) Act, which is due to be completed by 31 December 2017. </w:t>
      </w:r>
    </w:p>
    <w:p w14:paraId="1EC08CA3" w14:textId="77777777" w:rsidR="00000000" w:rsidRDefault="007E6CF5">
      <w:pPr>
        <w:numPr>
          <w:ilvl w:val="0"/>
          <w:numId w:val="7"/>
        </w:numPr>
        <w:spacing w:before="100" w:beforeAutospacing="1" w:after="100" w:afterAutospacing="1"/>
        <w:divId w:val="1439061288"/>
        <w:rPr>
          <w:rFonts w:eastAsia="Times New Roman"/>
          <w:lang w:val="en-GB"/>
        </w:rPr>
      </w:pPr>
      <w:r>
        <w:rPr>
          <w:rFonts w:eastAsia="Times New Roman"/>
          <w:lang w:val="en-GB"/>
        </w:rPr>
        <w:t>The CFI is part of the Commonwealth Government’s response to climate change. It is a national voluntary scheme of emissions offsets for activities that redu</w:t>
      </w:r>
      <w:r>
        <w:rPr>
          <w:rFonts w:eastAsia="Times New Roman"/>
          <w:lang w:val="en-GB"/>
        </w:rPr>
        <w:t xml:space="preserve">ce or avoid greenhouse gas emissions. </w:t>
      </w:r>
    </w:p>
    <w:p w14:paraId="5BE01604" w14:textId="77777777" w:rsidR="00000000" w:rsidRDefault="007E6CF5">
      <w:pPr>
        <w:numPr>
          <w:ilvl w:val="0"/>
          <w:numId w:val="7"/>
        </w:numPr>
        <w:spacing w:before="100" w:beforeAutospacing="1" w:after="100" w:afterAutospacing="1"/>
        <w:divId w:val="1439061288"/>
        <w:rPr>
          <w:rFonts w:eastAsia="Times New Roman"/>
          <w:lang w:val="en-GB"/>
        </w:rPr>
      </w:pPr>
      <w:r>
        <w:rPr>
          <w:rFonts w:eastAsia="Times New Roman"/>
          <w:lang w:val="en-GB"/>
        </w:rPr>
        <w:t>The Authority released its first review of the CFI on 22 December 2014. In 2016–17, the Authority will commence work on its second review of the Carbon Credits (Carbon Farming Initiative) Act, which is due to be compl</w:t>
      </w:r>
      <w:r>
        <w:rPr>
          <w:rFonts w:eastAsia="Times New Roman"/>
          <w:lang w:val="en-GB"/>
        </w:rPr>
        <w:t xml:space="preserve">eted by 31 December 2017. </w:t>
      </w:r>
    </w:p>
    <w:p w14:paraId="3EB97843" w14:textId="77777777" w:rsidR="00000000" w:rsidRDefault="007E6CF5">
      <w:pPr>
        <w:pStyle w:val="Heading3"/>
        <w:divId w:val="1439061288"/>
        <w:rPr>
          <w:rFonts w:eastAsia="Times New Roman"/>
          <w:lang w:val="en-GB"/>
        </w:rPr>
      </w:pPr>
      <w:r>
        <w:rPr>
          <w:rFonts w:eastAsia="Times New Roman"/>
          <w:lang w:val="en-GB"/>
        </w:rPr>
        <w:t>Outcome strategy</w:t>
      </w:r>
    </w:p>
    <w:p w14:paraId="6C476FE3" w14:textId="77777777" w:rsidR="00000000" w:rsidRDefault="007E6CF5">
      <w:pPr>
        <w:pStyle w:val="NormalWeb"/>
        <w:divId w:val="1439061288"/>
        <w:rPr>
          <w:lang w:val="en-GB"/>
        </w:rPr>
      </w:pPr>
      <w:r>
        <w:rPr>
          <w:lang w:val="en-GB"/>
        </w:rPr>
        <w:t>The Authority will deliver influential, independent and expert advice by:</w:t>
      </w:r>
    </w:p>
    <w:p w14:paraId="0B9C5799" w14:textId="77777777" w:rsidR="00000000" w:rsidRDefault="007E6CF5">
      <w:pPr>
        <w:numPr>
          <w:ilvl w:val="0"/>
          <w:numId w:val="8"/>
        </w:numPr>
        <w:spacing w:before="100" w:beforeAutospacing="1" w:after="100" w:afterAutospacing="1"/>
        <w:divId w:val="1439061288"/>
        <w:rPr>
          <w:rFonts w:eastAsia="Times New Roman"/>
          <w:lang w:val="en-GB"/>
        </w:rPr>
      </w:pPr>
      <w:r>
        <w:rPr>
          <w:rFonts w:eastAsia="Times New Roman"/>
          <w:lang w:val="en-GB"/>
        </w:rPr>
        <w:t>engaging stakeholders to gather information and debate policy options</w:t>
      </w:r>
    </w:p>
    <w:p w14:paraId="07D92D13" w14:textId="77777777" w:rsidR="00000000" w:rsidRDefault="007E6CF5">
      <w:pPr>
        <w:numPr>
          <w:ilvl w:val="0"/>
          <w:numId w:val="8"/>
        </w:numPr>
        <w:spacing w:before="100" w:beforeAutospacing="1" w:after="100" w:afterAutospacing="1"/>
        <w:divId w:val="1439061288"/>
        <w:rPr>
          <w:rFonts w:eastAsia="Times New Roman"/>
          <w:lang w:val="en-GB"/>
        </w:rPr>
      </w:pPr>
      <w:r>
        <w:rPr>
          <w:rFonts w:eastAsia="Times New Roman"/>
          <w:lang w:val="en-GB"/>
        </w:rPr>
        <w:t>undertaking extensive and rigorous research and analysis</w:t>
      </w:r>
    </w:p>
    <w:p w14:paraId="31A2F6FD" w14:textId="77777777" w:rsidR="00000000" w:rsidRDefault="007E6CF5">
      <w:pPr>
        <w:numPr>
          <w:ilvl w:val="0"/>
          <w:numId w:val="8"/>
        </w:numPr>
        <w:spacing w:before="100" w:beforeAutospacing="1" w:after="100" w:afterAutospacing="1"/>
        <w:divId w:val="1439061288"/>
        <w:rPr>
          <w:rFonts w:eastAsia="Times New Roman"/>
          <w:lang w:val="en-GB"/>
        </w:rPr>
      </w:pPr>
      <w:r>
        <w:rPr>
          <w:rFonts w:eastAsia="Times New Roman"/>
          <w:lang w:val="en-GB"/>
        </w:rPr>
        <w:t xml:space="preserve">presenting </w:t>
      </w:r>
      <w:r>
        <w:rPr>
          <w:rFonts w:eastAsia="Times New Roman"/>
          <w:lang w:val="en-GB"/>
        </w:rPr>
        <w:t>insightful and practical reports</w:t>
      </w:r>
    </w:p>
    <w:p w14:paraId="53EA0D85" w14:textId="77777777" w:rsidR="00000000" w:rsidRDefault="007E6CF5">
      <w:pPr>
        <w:numPr>
          <w:ilvl w:val="0"/>
          <w:numId w:val="8"/>
        </w:numPr>
        <w:spacing w:before="100" w:beforeAutospacing="1" w:after="100" w:afterAutospacing="1"/>
        <w:divId w:val="1439061288"/>
        <w:rPr>
          <w:rFonts w:eastAsia="Times New Roman"/>
          <w:lang w:val="en-GB"/>
        </w:rPr>
      </w:pPr>
      <w:r>
        <w:rPr>
          <w:rFonts w:eastAsia="Times New Roman"/>
          <w:lang w:val="en-GB"/>
        </w:rPr>
        <w:t>operating within a strong governance and accountability framework.</w:t>
      </w:r>
    </w:p>
    <w:p w14:paraId="55157757" w14:textId="77777777" w:rsidR="00000000" w:rsidRDefault="007E6CF5">
      <w:pPr>
        <w:pStyle w:val="NormalWeb"/>
        <w:divId w:val="1439061288"/>
        <w:rPr>
          <w:lang w:val="en-GB"/>
        </w:rPr>
      </w:pPr>
      <w:r>
        <w:rPr>
          <w:lang w:val="en-GB"/>
        </w:rPr>
        <w:t xml:space="preserve">In undertaking its reviews, the Authority must take the following principles into account: </w:t>
      </w:r>
    </w:p>
    <w:p w14:paraId="33901E25" w14:textId="77777777" w:rsidR="00000000" w:rsidRDefault="007E6CF5">
      <w:pPr>
        <w:numPr>
          <w:ilvl w:val="0"/>
          <w:numId w:val="9"/>
        </w:numPr>
        <w:spacing w:before="100" w:beforeAutospacing="1" w:after="100" w:afterAutospacing="1"/>
        <w:divId w:val="1439061288"/>
        <w:rPr>
          <w:rFonts w:eastAsia="Times New Roman"/>
          <w:lang w:val="en-GB"/>
        </w:rPr>
      </w:pPr>
      <w:r>
        <w:rPr>
          <w:rFonts w:eastAsia="Times New Roman"/>
          <w:lang w:val="en-GB"/>
        </w:rPr>
        <w:t>economic efficiency</w:t>
      </w:r>
    </w:p>
    <w:p w14:paraId="3AE14D9B" w14:textId="77777777" w:rsidR="00000000" w:rsidRDefault="007E6CF5">
      <w:pPr>
        <w:numPr>
          <w:ilvl w:val="0"/>
          <w:numId w:val="9"/>
        </w:numPr>
        <w:spacing w:before="100" w:beforeAutospacing="1" w:after="100" w:afterAutospacing="1"/>
        <w:divId w:val="1439061288"/>
        <w:rPr>
          <w:rFonts w:eastAsia="Times New Roman"/>
          <w:lang w:val="en-GB"/>
        </w:rPr>
      </w:pPr>
      <w:r>
        <w:rPr>
          <w:rFonts w:eastAsia="Times New Roman"/>
          <w:lang w:val="en-GB"/>
        </w:rPr>
        <w:t>environmental effectiveness</w:t>
      </w:r>
    </w:p>
    <w:p w14:paraId="706AF6D1" w14:textId="77777777" w:rsidR="00000000" w:rsidRDefault="007E6CF5">
      <w:pPr>
        <w:numPr>
          <w:ilvl w:val="0"/>
          <w:numId w:val="9"/>
        </w:numPr>
        <w:spacing w:before="100" w:beforeAutospacing="1" w:after="100" w:afterAutospacing="1"/>
        <w:divId w:val="1439061288"/>
        <w:rPr>
          <w:rFonts w:eastAsia="Times New Roman"/>
          <w:lang w:val="en-GB"/>
        </w:rPr>
      </w:pPr>
      <w:r>
        <w:rPr>
          <w:rFonts w:eastAsia="Times New Roman"/>
          <w:lang w:val="en-GB"/>
        </w:rPr>
        <w:t>equity</w:t>
      </w:r>
    </w:p>
    <w:p w14:paraId="528BA304" w14:textId="77777777" w:rsidR="00000000" w:rsidRDefault="007E6CF5">
      <w:pPr>
        <w:numPr>
          <w:ilvl w:val="0"/>
          <w:numId w:val="9"/>
        </w:numPr>
        <w:spacing w:before="100" w:beforeAutospacing="1" w:after="100" w:afterAutospacing="1"/>
        <w:divId w:val="1439061288"/>
        <w:rPr>
          <w:rFonts w:eastAsia="Times New Roman"/>
          <w:lang w:val="en-GB"/>
        </w:rPr>
      </w:pPr>
      <w:r>
        <w:rPr>
          <w:rFonts w:eastAsia="Times New Roman"/>
          <w:lang w:val="en-GB"/>
        </w:rPr>
        <w:t>the publi</w:t>
      </w:r>
      <w:r>
        <w:rPr>
          <w:rFonts w:eastAsia="Times New Roman"/>
          <w:lang w:val="en-GB"/>
        </w:rPr>
        <w:t>c interest</w:t>
      </w:r>
    </w:p>
    <w:p w14:paraId="51F9AA4B" w14:textId="77777777" w:rsidR="00000000" w:rsidRDefault="007E6CF5">
      <w:pPr>
        <w:numPr>
          <w:ilvl w:val="0"/>
          <w:numId w:val="9"/>
        </w:numPr>
        <w:spacing w:before="100" w:beforeAutospacing="1" w:after="100" w:afterAutospacing="1"/>
        <w:divId w:val="1439061288"/>
        <w:rPr>
          <w:rFonts w:eastAsia="Times New Roman"/>
          <w:lang w:val="en-GB"/>
        </w:rPr>
      </w:pPr>
      <w:r>
        <w:rPr>
          <w:rFonts w:eastAsia="Times New Roman"/>
          <w:lang w:val="en-GB"/>
        </w:rPr>
        <w:t>the impact on households, business, workers and communities</w:t>
      </w:r>
    </w:p>
    <w:p w14:paraId="7206D0EA" w14:textId="77777777" w:rsidR="00000000" w:rsidRDefault="007E6CF5">
      <w:pPr>
        <w:numPr>
          <w:ilvl w:val="0"/>
          <w:numId w:val="9"/>
        </w:numPr>
        <w:spacing w:before="100" w:beforeAutospacing="1" w:after="100" w:afterAutospacing="1"/>
        <w:divId w:val="1439061288"/>
        <w:rPr>
          <w:rFonts w:eastAsia="Times New Roman"/>
          <w:lang w:val="en-GB"/>
        </w:rPr>
      </w:pPr>
      <w:r>
        <w:rPr>
          <w:rFonts w:eastAsia="Times New Roman"/>
          <w:lang w:val="en-GB"/>
        </w:rPr>
        <w:t>support for the development of an effective global response to climate change</w:t>
      </w:r>
    </w:p>
    <w:p w14:paraId="0A89A0C4" w14:textId="77777777" w:rsidR="00000000" w:rsidRDefault="007E6CF5">
      <w:pPr>
        <w:numPr>
          <w:ilvl w:val="0"/>
          <w:numId w:val="9"/>
        </w:numPr>
        <w:spacing w:before="100" w:beforeAutospacing="1" w:after="100" w:afterAutospacing="1"/>
        <w:divId w:val="1439061288"/>
        <w:rPr>
          <w:rFonts w:eastAsia="Times New Roman"/>
          <w:lang w:val="en-GB"/>
        </w:rPr>
      </w:pPr>
      <w:r>
        <w:rPr>
          <w:rFonts w:eastAsia="Times New Roman"/>
          <w:lang w:val="en-GB"/>
        </w:rPr>
        <w:t>Australian foreign policy and trade objectives.</w:t>
      </w:r>
    </w:p>
    <w:p w14:paraId="5CE92723" w14:textId="77777777" w:rsidR="00000000" w:rsidRDefault="007E6CF5">
      <w:pPr>
        <w:pStyle w:val="NormalWeb"/>
        <w:divId w:val="1439061288"/>
        <w:rPr>
          <w:lang w:val="en-GB"/>
        </w:rPr>
      </w:pPr>
      <w:r>
        <w:rPr>
          <w:lang w:val="en-GB"/>
        </w:rPr>
        <w:t xml:space="preserve">The Authority must also undertake public consultation when </w:t>
      </w:r>
      <w:r>
        <w:rPr>
          <w:lang w:val="en-GB"/>
        </w:rPr>
        <w:t>conducting its reviews and publish its reports on its website.</w:t>
      </w:r>
    </w:p>
    <w:p w14:paraId="778F62CC" w14:textId="77777777" w:rsidR="00000000" w:rsidRDefault="007E6CF5">
      <w:pPr>
        <w:pStyle w:val="Heading3"/>
        <w:divId w:val="1439061288"/>
        <w:rPr>
          <w:rFonts w:eastAsia="Times New Roman"/>
          <w:lang w:val="en-GB"/>
        </w:rPr>
      </w:pPr>
      <w:r>
        <w:rPr>
          <w:rFonts w:eastAsia="Times New Roman"/>
          <w:lang w:val="en-GB"/>
        </w:rPr>
        <w:t>Delivery strategies</w:t>
      </w:r>
    </w:p>
    <w:p w14:paraId="52CE1A54" w14:textId="77777777" w:rsidR="00000000" w:rsidRDefault="007E6CF5">
      <w:pPr>
        <w:pStyle w:val="NormalWeb"/>
        <w:divId w:val="1439061288"/>
        <w:rPr>
          <w:lang w:val="en-GB"/>
        </w:rPr>
      </w:pPr>
      <w:r>
        <w:rPr>
          <w:lang w:val="en-GB"/>
        </w:rPr>
        <w:t>The Authority will deliver on its legislative obligations by preparing high-quality reviews on time by:</w:t>
      </w:r>
    </w:p>
    <w:p w14:paraId="47D4E9D9" w14:textId="77777777" w:rsidR="00000000" w:rsidRDefault="007E6CF5">
      <w:pPr>
        <w:numPr>
          <w:ilvl w:val="0"/>
          <w:numId w:val="10"/>
        </w:numPr>
        <w:spacing w:before="100" w:beforeAutospacing="1" w:after="100" w:afterAutospacing="1"/>
        <w:divId w:val="1439061288"/>
        <w:rPr>
          <w:rFonts w:eastAsia="Times New Roman"/>
          <w:lang w:val="en-GB"/>
        </w:rPr>
      </w:pPr>
      <w:r>
        <w:rPr>
          <w:rFonts w:eastAsia="Times New Roman"/>
          <w:lang w:val="en-GB"/>
        </w:rPr>
        <w:t>undertaking thorough policy development and analysis, including</w:t>
      </w:r>
    </w:p>
    <w:p w14:paraId="4E1C01CC" w14:textId="77777777" w:rsidR="00000000" w:rsidRDefault="007E6CF5">
      <w:pPr>
        <w:numPr>
          <w:ilvl w:val="1"/>
          <w:numId w:val="10"/>
        </w:numPr>
        <w:spacing w:before="100" w:beforeAutospacing="1" w:after="100" w:afterAutospacing="1"/>
        <w:divId w:val="1439061288"/>
        <w:rPr>
          <w:rFonts w:eastAsia="Times New Roman"/>
          <w:lang w:val="en-GB"/>
        </w:rPr>
      </w:pPr>
      <w:r>
        <w:rPr>
          <w:rFonts w:eastAsia="Times New Roman"/>
          <w:lang w:val="en-GB"/>
        </w:rPr>
        <w:t>desktop research and analysis into relevant issues</w:t>
      </w:r>
    </w:p>
    <w:p w14:paraId="237DD264" w14:textId="77777777" w:rsidR="00000000" w:rsidRDefault="007E6CF5">
      <w:pPr>
        <w:numPr>
          <w:ilvl w:val="1"/>
          <w:numId w:val="10"/>
        </w:numPr>
        <w:spacing w:before="100" w:beforeAutospacing="1" w:after="100" w:afterAutospacing="1"/>
        <w:divId w:val="1439061288"/>
        <w:rPr>
          <w:rFonts w:eastAsia="Times New Roman"/>
          <w:lang w:val="en-GB"/>
        </w:rPr>
      </w:pPr>
      <w:r>
        <w:rPr>
          <w:rFonts w:eastAsia="Times New Roman"/>
          <w:lang w:val="en-GB"/>
        </w:rPr>
        <w:t>in-depth analysis into relevant sectors and contemporary research</w:t>
      </w:r>
    </w:p>
    <w:p w14:paraId="2CFD13A8" w14:textId="77777777" w:rsidR="00000000" w:rsidRDefault="007E6CF5">
      <w:pPr>
        <w:numPr>
          <w:ilvl w:val="0"/>
          <w:numId w:val="10"/>
        </w:numPr>
        <w:spacing w:before="100" w:beforeAutospacing="1" w:after="100" w:afterAutospacing="1"/>
        <w:divId w:val="1439061288"/>
        <w:rPr>
          <w:rFonts w:eastAsia="Times New Roman"/>
          <w:lang w:val="en-GB"/>
        </w:rPr>
      </w:pPr>
      <w:r>
        <w:rPr>
          <w:rFonts w:eastAsia="Times New Roman"/>
          <w:lang w:val="en-GB"/>
        </w:rPr>
        <w:t>commissioning other analytical work (for example, economic modelling) where required</w:t>
      </w:r>
    </w:p>
    <w:p w14:paraId="03E7D8E5" w14:textId="77777777" w:rsidR="00000000" w:rsidRDefault="007E6CF5">
      <w:pPr>
        <w:numPr>
          <w:ilvl w:val="0"/>
          <w:numId w:val="10"/>
        </w:numPr>
        <w:spacing w:before="100" w:beforeAutospacing="1" w:after="100" w:afterAutospacing="1"/>
        <w:divId w:val="1439061288"/>
        <w:rPr>
          <w:rFonts w:eastAsia="Times New Roman"/>
          <w:lang w:val="en-GB"/>
        </w:rPr>
      </w:pPr>
      <w:r>
        <w:rPr>
          <w:rFonts w:eastAsia="Times New Roman"/>
          <w:lang w:val="en-GB"/>
        </w:rPr>
        <w:t>conducting meaningful and transparent consultation wit</w:t>
      </w:r>
      <w:r>
        <w:rPr>
          <w:rFonts w:eastAsia="Times New Roman"/>
          <w:lang w:val="en-GB"/>
        </w:rPr>
        <w:t>h experts and stakeholders, including business, industry, environment and other community groups</w:t>
      </w:r>
    </w:p>
    <w:p w14:paraId="707879E4" w14:textId="77777777" w:rsidR="00000000" w:rsidRDefault="007E6CF5">
      <w:pPr>
        <w:numPr>
          <w:ilvl w:val="0"/>
          <w:numId w:val="10"/>
        </w:numPr>
        <w:spacing w:before="100" w:beforeAutospacing="1" w:after="100" w:afterAutospacing="1"/>
        <w:divId w:val="1439061288"/>
        <w:rPr>
          <w:rFonts w:eastAsia="Times New Roman"/>
          <w:lang w:val="en-GB"/>
        </w:rPr>
      </w:pPr>
      <w:r>
        <w:rPr>
          <w:rFonts w:eastAsia="Times New Roman"/>
          <w:lang w:val="en-GB"/>
        </w:rPr>
        <w:t>monitoring developments in climate change policy by reviewing publicly available resources and building networks with expert, local and international organisat</w:t>
      </w:r>
      <w:r>
        <w:rPr>
          <w:rFonts w:eastAsia="Times New Roman"/>
          <w:lang w:val="en-GB"/>
        </w:rPr>
        <w:t>ions.</w:t>
      </w:r>
    </w:p>
    <w:p w14:paraId="58E92294" w14:textId="77777777" w:rsidR="00000000" w:rsidRDefault="007E6CF5">
      <w:pPr>
        <w:pStyle w:val="NormalWeb"/>
        <w:divId w:val="1439061288"/>
        <w:rPr>
          <w:lang w:val="en-GB"/>
        </w:rPr>
      </w:pPr>
      <w:r>
        <w:rPr>
          <w:lang w:val="en-GB"/>
        </w:rPr>
        <w:t>The secretariat will facilitate the Authority’s decision-making by:</w:t>
      </w:r>
    </w:p>
    <w:p w14:paraId="02E06043" w14:textId="77777777" w:rsidR="00000000" w:rsidRDefault="007E6CF5">
      <w:pPr>
        <w:numPr>
          <w:ilvl w:val="0"/>
          <w:numId w:val="11"/>
        </w:numPr>
        <w:spacing w:before="100" w:beforeAutospacing="1" w:after="100" w:afterAutospacing="1"/>
        <w:divId w:val="1439061288"/>
        <w:rPr>
          <w:rFonts w:eastAsia="Times New Roman"/>
          <w:lang w:val="en-GB"/>
        </w:rPr>
      </w:pPr>
      <w:r>
        <w:rPr>
          <w:rFonts w:eastAsia="Times New Roman"/>
          <w:lang w:val="en-GB"/>
        </w:rPr>
        <w:t>arranging regular meetings of the Authority</w:t>
      </w:r>
    </w:p>
    <w:p w14:paraId="74D98B4E" w14:textId="77777777" w:rsidR="00000000" w:rsidRDefault="007E6CF5">
      <w:pPr>
        <w:numPr>
          <w:ilvl w:val="0"/>
          <w:numId w:val="11"/>
        </w:numPr>
        <w:spacing w:before="100" w:beforeAutospacing="1" w:after="100" w:afterAutospacing="1"/>
        <w:divId w:val="1439061288"/>
        <w:rPr>
          <w:rFonts w:eastAsia="Times New Roman"/>
          <w:lang w:val="en-GB"/>
        </w:rPr>
      </w:pPr>
      <w:r>
        <w:rPr>
          <w:rFonts w:eastAsia="Times New Roman"/>
          <w:lang w:val="en-GB"/>
        </w:rPr>
        <w:t>providing briefing and other supporting documentation that are fit-for-purpose and of a high quality.</w:t>
      </w:r>
    </w:p>
    <w:p w14:paraId="58C22C8B" w14:textId="77777777" w:rsidR="00000000" w:rsidRDefault="007E6CF5">
      <w:pPr>
        <w:pStyle w:val="Heading2"/>
        <w:divId w:val="1439061288"/>
        <w:rPr>
          <w:rFonts w:eastAsia="Times New Roman"/>
          <w:lang w:val="en-GB"/>
        </w:rPr>
      </w:pPr>
      <w:r>
        <w:rPr>
          <w:rFonts w:eastAsia="Times New Roman"/>
          <w:lang w:val="en-GB"/>
        </w:rPr>
        <w:t>Performance measurement and assessme</w:t>
      </w:r>
      <w:r>
        <w:rPr>
          <w:rFonts w:eastAsia="Times New Roman"/>
          <w:lang w:val="en-GB"/>
        </w:rPr>
        <w:t>nt</w:t>
      </w:r>
    </w:p>
    <w:p w14:paraId="2C33AEFB" w14:textId="77777777" w:rsidR="00000000" w:rsidRDefault="007E6CF5">
      <w:pPr>
        <w:pStyle w:val="Heading3"/>
        <w:divId w:val="1439061288"/>
        <w:rPr>
          <w:rFonts w:eastAsia="Times New Roman"/>
          <w:lang w:val="en-GB"/>
        </w:rPr>
      </w:pPr>
      <w:r>
        <w:rPr>
          <w:rFonts w:eastAsia="Times New Roman"/>
          <w:lang w:val="en-GB"/>
        </w:rPr>
        <w:t>Table 1: Performance information</w:t>
      </w:r>
    </w:p>
    <w:tbl>
      <w:tblPr>
        <w:tblW w:w="0" w:type="auto"/>
        <w:tblCellSpacing w:w="15" w:type="dxa"/>
        <w:tblCellMar>
          <w:top w:w="100" w:type="dxa"/>
          <w:left w:w="100" w:type="dxa"/>
          <w:bottom w:w="100" w:type="dxa"/>
          <w:right w:w="100" w:type="dxa"/>
        </w:tblCellMar>
        <w:tblLook w:val="04A0" w:firstRow="1" w:lastRow="0" w:firstColumn="1" w:lastColumn="0" w:noHBand="0" w:noVBand="1"/>
      </w:tblPr>
      <w:tblGrid>
        <w:gridCol w:w="1418"/>
        <w:gridCol w:w="3122"/>
        <w:gridCol w:w="4911"/>
        <w:gridCol w:w="4176"/>
        <w:gridCol w:w="3233"/>
      </w:tblGrid>
      <w:tr w:rsidR="00000000" w14:paraId="4CF91438" w14:textId="77777777" w:rsidTr="003F38E9">
        <w:trPr>
          <w:divId w:val="1439061288"/>
          <w:tblCellSpacing w:w="15" w:type="dxa"/>
        </w:trPr>
        <w:tc>
          <w:tcPr>
            <w:tcW w:w="1373" w:type="dxa"/>
            <w:vAlign w:val="center"/>
            <w:hideMark/>
          </w:tcPr>
          <w:p w14:paraId="55CCAEE5" w14:textId="77777777" w:rsidR="00000000" w:rsidRDefault="007E6CF5">
            <w:pPr>
              <w:pStyle w:val="Heading4"/>
              <w:rPr>
                <w:rFonts w:eastAsia="Times New Roman"/>
              </w:rPr>
            </w:pPr>
            <w:r>
              <w:rPr>
                <w:rFonts w:eastAsia="Times New Roman"/>
              </w:rPr>
              <w:t>Year</w:t>
            </w:r>
          </w:p>
        </w:tc>
        <w:tc>
          <w:tcPr>
            <w:tcW w:w="3092" w:type="dxa"/>
            <w:vAlign w:val="center"/>
            <w:hideMark/>
          </w:tcPr>
          <w:p w14:paraId="285E6D9F" w14:textId="77777777" w:rsidR="00000000" w:rsidRDefault="007E6CF5">
            <w:pPr>
              <w:pStyle w:val="Heading4"/>
              <w:rPr>
                <w:rFonts w:eastAsia="Times New Roman"/>
              </w:rPr>
            </w:pPr>
            <w:r>
              <w:rPr>
                <w:rFonts w:eastAsia="Times New Roman"/>
              </w:rPr>
              <w:t>Activity</w:t>
            </w:r>
          </w:p>
        </w:tc>
        <w:tc>
          <w:tcPr>
            <w:tcW w:w="0" w:type="auto"/>
            <w:vAlign w:val="center"/>
            <w:hideMark/>
          </w:tcPr>
          <w:p w14:paraId="49A02BDA" w14:textId="77777777" w:rsidR="00000000" w:rsidRDefault="007E6CF5">
            <w:pPr>
              <w:pStyle w:val="Heading4"/>
              <w:rPr>
                <w:rFonts w:eastAsia="Times New Roman"/>
              </w:rPr>
            </w:pPr>
            <w:r>
              <w:rPr>
                <w:rFonts w:eastAsia="Times New Roman"/>
              </w:rPr>
              <w:t>Key performance indicators</w:t>
            </w:r>
          </w:p>
        </w:tc>
        <w:tc>
          <w:tcPr>
            <w:tcW w:w="0" w:type="auto"/>
            <w:vAlign w:val="center"/>
            <w:hideMark/>
          </w:tcPr>
          <w:p w14:paraId="20BF21CA" w14:textId="77777777" w:rsidR="00000000" w:rsidRDefault="007E6CF5">
            <w:pPr>
              <w:pStyle w:val="Heading4"/>
              <w:rPr>
                <w:rFonts w:eastAsia="Times New Roman"/>
              </w:rPr>
            </w:pPr>
            <w:r>
              <w:rPr>
                <w:rFonts w:eastAsia="Times New Roman"/>
              </w:rPr>
              <w:t>Target</w:t>
            </w:r>
          </w:p>
        </w:tc>
        <w:tc>
          <w:tcPr>
            <w:tcW w:w="0" w:type="auto"/>
            <w:vAlign w:val="center"/>
            <w:hideMark/>
          </w:tcPr>
          <w:p w14:paraId="5F8002D2" w14:textId="77777777" w:rsidR="00000000" w:rsidRDefault="007E6CF5">
            <w:pPr>
              <w:pStyle w:val="Heading4"/>
              <w:rPr>
                <w:rFonts w:eastAsia="Times New Roman"/>
              </w:rPr>
            </w:pPr>
            <w:r>
              <w:rPr>
                <w:rFonts w:eastAsia="Times New Roman"/>
              </w:rPr>
              <w:t>Assessment</w:t>
            </w:r>
          </w:p>
        </w:tc>
      </w:tr>
      <w:tr w:rsidR="00000000" w14:paraId="4463F939" w14:textId="77777777" w:rsidTr="003F38E9">
        <w:trPr>
          <w:divId w:val="1439061288"/>
          <w:tblCellSpacing w:w="15" w:type="dxa"/>
        </w:trPr>
        <w:tc>
          <w:tcPr>
            <w:tcW w:w="1373" w:type="dxa"/>
            <w:vMerge w:val="restart"/>
            <w:vAlign w:val="center"/>
            <w:hideMark/>
          </w:tcPr>
          <w:p w14:paraId="0A8991B2" w14:textId="77777777" w:rsidR="00000000" w:rsidRDefault="007E6CF5">
            <w:pPr>
              <w:pStyle w:val="NormalWeb"/>
            </w:pPr>
            <w:r>
              <w:t>2016–17</w:t>
            </w:r>
            <w:bookmarkStart w:id="0" w:name="_GoBack"/>
            <w:bookmarkEnd w:id="0"/>
          </w:p>
        </w:tc>
        <w:tc>
          <w:tcPr>
            <w:tcW w:w="3092" w:type="dxa"/>
            <w:vAlign w:val="center"/>
            <w:hideMark/>
          </w:tcPr>
          <w:p w14:paraId="5AA71BF9" w14:textId="77777777" w:rsidR="00000000" w:rsidRDefault="007E6CF5">
            <w:pPr>
              <w:numPr>
                <w:ilvl w:val="0"/>
                <w:numId w:val="12"/>
              </w:numPr>
              <w:spacing w:before="100" w:beforeAutospacing="1" w:after="100" w:afterAutospacing="1"/>
              <w:rPr>
                <w:rFonts w:eastAsia="Times New Roman"/>
              </w:rPr>
            </w:pPr>
            <w:r>
              <w:rPr>
                <w:rFonts w:eastAsia="Times New Roman"/>
              </w:rPr>
              <w:t>Final report of Special Review</w:t>
            </w:r>
          </w:p>
          <w:p w14:paraId="57E91624" w14:textId="77777777" w:rsidR="00000000" w:rsidRDefault="007E6CF5">
            <w:pPr>
              <w:numPr>
                <w:ilvl w:val="0"/>
                <w:numId w:val="12"/>
              </w:numPr>
              <w:spacing w:before="100" w:beforeAutospacing="1" w:after="100" w:afterAutospacing="1"/>
              <w:rPr>
                <w:rFonts w:eastAsia="Times New Roman"/>
              </w:rPr>
            </w:pPr>
            <w:r>
              <w:rPr>
                <w:rFonts w:eastAsia="Times New Roman"/>
              </w:rPr>
              <w:t>Research paper on electricity generation</w:t>
            </w:r>
          </w:p>
        </w:tc>
        <w:tc>
          <w:tcPr>
            <w:tcW w:w="0" w:type="auto"/>
            <w:vAlign w:val="center"/>
            <w:hideMark/>
          </w:tcPr>
          <w:p w14:paraId="2403587E" w14:textId="77777777" w:rsidR="00000000" w:rsidRDefault="007E6CF5">
            <w:pPr>
              <w:numPr>
                <w:ilvl w:val="0"/>
                <w:numId w:val="13"/>
              </w:numPr>
              <w:spacing w:before="100" w:beforeAutospacing="1" w:after="100" w:afterAutospacing="1"/>
              <w:rPr>
                <w:rFonts w:eastAsia="Times New Roman"/>
              </w:rPr>
            </w:pPr>
            <w:r>
              <w:rPr>
                <w:rFonts w:eastAsia="Times New Roman"/>
              </w:rPr>
              <w:t>The research paper on the electricity generation sector and the final report of the Special Review are well received and attract a reasonable level of discussion among stakeholders.</w:t>
            </w:r>
          </w:p>
          <w:p w14:paraId="2F66A574" w14:textId="77777777" w:rsidR="00000000" w:rsidRDefault="007E6CF5">
            <w:pPr>
              <w:numPr>
                <w:ilvl w:val="0"/>
                <w:numId w:val="13"/>
              </w:numPr>
              <w:spacing w:before="100" w:beforeAutospacing="1" w:after="100" w:afterAutospacing="1"/>
              <w:rPr>
                <w:rFonts w:eastAsia="Times New Roman"/>
              </w:rPr>
            </w:pPr>
            <w:r>
              <w:rPr>
                <w:rFonts w:eastAsia="Times New Roman"/>
              </w:rPr>
              <w:t>Public consultation processes are transparent, accessible and are highly r</w:t>
            </w:r>
            <w:r>
              <w:rPr>
                <w:rFonts w:eastAsia="Times New Roman"/>
              </w:rPr>
              <w:t xml:space="preserve">egarded by stakeholders. </w:t>
            </w:r>
          </w:p>
          <w:p w14:paraId="0FE61827" w14:textId="77777777" w:rsidR="00000000" w:rsidRDefault="007E6CF5">
            <w:pPr>
              <w:numPr>
                <w:ilvl w:val="0"/>
                <w:numId w:val="13"/>
              </w:numPr>
              <w:spacing w:before="100" w:beforeAutospacing="1" w:after="100" w:afterAutospacing="1"/>
              <w:rPr>
                <w:rFonts w:eastAsia="Times New Roman"/>
              </w:rPr>
            </w:pPr>
            <w:r>
              <w:rPr>
                <w:rFonts w:eastAsia="Times New Roman"/>
              </w:rPr>
              <w:t>The Authority’s decision-making in conducting and completing reviews is independent and is perceived as independent by stakeholders.</w:t>
            </w:r>
          </w:p>
        </w:tc>
        <w:tc>
          <w:tcPr>
            <w:tcW w:w="0" w:type="auto"/>
            <w:vAlign w:val="center"/>
            <w:hideMark/>
          </w:tcPr>
          <w:p w14:paraId="09394ED0" w14:textId="77777777" w:rsidR="00000000" w:rsidRDefault="007E6CF5">
            <w:pPr>
              <w:numPr>
                <w:ilvl w:val="0"/>
                <w:numId w:val="14"/>
              </w:numPr>
              <w:spacing w:before="100" w:beforeAutospacing="1" w:after="100" w:afterAutospacing="1"/>
              <w:rPr>
                <w:rFonts w:eastAsia="Times New Roman"/>
              </w:rPr>
            </w:pPr>
            <w:r>
              <w:rPr>
                <w:rFonts w:eastAsia="Times New Roman"/>
              </w:rPr>
              <w:t>The electricity generation research paper and the third review report are released by 31 August 2</w:t>
            </w:r>
            <w:r>
              <w:rPr>
                <w:rFonts w:eastAsia="Times New Roman"/>
              </w:rPr>
              <w:t>016</w:t>
            </w:r>
          </w:p>
          <w:p w14:paraId="76912F57" w14:textId="77777777" w:rsidR="00000000" w:rsidRDefault="007E6CF5">
            <w:pPr>
              <w:numPr>
                <w:ilvl w:val="0"/>
                <w:numId w:val="14"/>
              </w:numPr>
              <w:spacing w:before="100" w:beforeAutospacing="1" w:after="100" w:afterAutospacing="1"/>
              <w:rPr>
                <w:rFonts w:eastAsia="Times New Roman"/>
              </w:rPr>
            </w:pPr>
            <w:r>
              <w:rPr>
                <w:rFonts w:eastAsia="Times New Roman"/>
              </w:rPr>
              <w:t>Submissions on the Special Review are published on the Authority’s website and the third report is informed by stakeholder feedback</w:t>
            </w:r>
          </w:p>
          <w:p w14:paraId="3AD21C22" w14:textId="77777777" w:rsidR="00000000" w:rsidRDefault="007E6CF5">
            <w:pPr>
              <w:numPr>
                <w:ilvl w:val="0"/>
                <w:numId w:val="14"/>
              </w:numPr>
              <w:spacing w:before="100" w:beforeAutospacing="1" w:after="100" w:afterAutospacing="1"/>
              <w:rPr>
                <w:rFonts w:eastAsia="Times New Roman"/>
              </w:rPr>
            </w:pPr>
            <w:r>
              <w:rPr>
                <w:rFonts w:eastAsia="Times New Roman"/>
              </w:rPr>
              <w:t>Stakeholders express the view that consultation has been meaningful and transparent</w:t>
            </w:r>
          </w:p>
          <w:p w14:paraId="298E2430" w14:textId="77777777" w:rsidR="00000000" w:rsidRDefault="007E6CF5">
            <w:pPr>
              <w:numPr>
                <w:ilvl w:val="0"/>
                <w:numId w:val="14"/>
              </w:numPr>
              <w:spacing w:before="100" w:beforeAutospacing="1" w:after="100" w:afterAutospacing="1"/>
              <w:rPr>
                <w:rFonts w:eastAsia="Times New Roman"/>
              </w:rPr>
            </w:pPr>
            <w:r>
              <w:rPr>
                <w:rFonts w:eastAsia="Times New Roman"/>
              </w:rPr>
              <w:t xml:space="preserve">Economic modelling, submissions and </w:t>
            </w:r>
            <w:r>
              <w:rPr>
                <w:rFonts w:eastAsia="Times New Roman"/>
              </w:rPr>
              <w:t>review reports are accessible on the Authority’s website</w:t>
            </w:r>
          </w:p>
        </w:tc>
        <w:tc>
          <w:tcPr>
            <w:tcW w:w="0" w:type="auto"/>
            <w:vAlign w:val="center"/>
            <w:hideMark/>
          </w:tcPr>
          <w:p w14:paraId="4D0F0520" w14:textId="77777777" w:rsidR="00000000" w:rsidRDefault="007E6CF5">
            <w:pPr>
              <w:numPr>
                <w:ilvl w:val="0"/>
                <w:numId w:val="15"/>
              </w:numPr>
              <w:spacing w:before="100" w:beforeAutospacing="1" w:after="100" w:afterAutospacing="1"/>
              <w:rPr>
                <w:rFonts w:eastAsia="Times New Roman"/>
              </w:rPr>
            </w:pPr>
            <w:r>
              <w:rPr>
                <w:rFonts w:eastAsia="Times New Roman"/>
              </w:rPr>
              <w:t>Internal review of report content to assess extent of stakeholder feedback used</w:t>
            </w:r>
          </w:p>
          <w:p w14:paraId="54448599" w14:textId="77777777" w:rsidR="00000000" w:rsidRDefault="007E6CF5">
            <w:pPr>
              <w:numPr>
                <w:ilvl w:val="0"/>
                <w:numId w:val="15"/>
              </w:numPr>
              <w:spacing w:before="100" w:beforeAutospacing="1" w:after="100" w:afterAutospacing="1"/>
              <w:rPr>
                <w:rFonts w:eastAsia="Times New Roman"/>
              </w:rPr>
            </w:pPr>
            <w:r>
              <w:rPr>
                <w:rFonts w:eastAsia="Times New Roman"/>
              </w:rPr>
              <w:t>Analysis of feedback from stakeholders in public forums and submissions</w:t>
            </w:r>
          </w:p>
          <w:p w14:paraId="63C62AC7" w14:textId="77777777" w:rsidR="00000000" w:rsidRDefault="007E6CF5">
            <w:pPr>
              <w:numPr>
                <w:ilvl w:val="0"/>
                <w:numId w:val="15"/>
              </w:numPr>
              <w:spacing w:before="100" w:beforeAutospacing="1" w:after="100" w:afterAutospacing="1"/>
              <w:rPr>
                <w:rFonts w:eastAsia="Times New Roman"/>
              </w:rPr>
            </w:pPr>
            <w:r>
              <w:rPr>
                <w:rFonts w:eastAsia="Times New Roman"/>
              </w:rPr>
              <w:t>Website content is analysed and reported in ann</w:t>
            </w:r>
            <w:r>
              <w:rPr>
                <w:rFonts w:eastAsia="Times New Roman"/>
              </w:rPr>
              <w:t>ual report</w:t>
            </w:r>
          </w:p>
        </w:tc>
      </w:tr>
      <w:tr w:rsidR="00000000" w14:paraId="0A5618A5" w14:textId="77777777" w:rsidTr="003F38E9">
        <w:trPr>
          <w:divId w:val="1439061288"/>
          <w:tblCellSpacing w:w="15" w:type="dxa"/>
        </w:trPr>
        <w:tc>
          <w:tcPr>
            <w:tcW w:w="1373" w:type="dxa"/>
            <w:vMerge/>
            <w:vAlign w:val="center"/>
            <w:hideMark/>
          </w:tcPr>
          <w:p w14:paraId="4A5CCCE2" w14:textId="77777777" w:rsidR="00000000" w:rsidRDefault="007E6CF5"/>
        </w:tc>
        <w:tc>
          <w:tcPr>
            <w:tcW w:w="3092" w:type="dxa"/>
            <w:vAlign w:val="center"/>
            <w:hideMark/>
          </w:tcPr>
          <w:p w14:paraId="652CD763" w14:textId="77777777" w:rsidR="00000000" w:rsidRDefault="007E6CF5">
            <w:pPr>
              <w:numPr>
                <w:ilvl w:val="0"/>
                <w:numId w:val="16"/>
              </w:numPr>
              <w:spacing w:before="100" w:beforeAutospacing="1" w:after="100" w:afterAutospacing="1"/>
              <w:rPr>
                <w:rFonts w:eastAsia="Times New Roman"/>
              </w:rPr>
            </w:pPr>
            <w:r>
              <w:rPr>
                <w:rFonts w:eastAsia="Times New Roman"/>
              </w:rPr>
              <w:t>Research reports on emissions reduction policies—further work recommended in Special Review</w:t>
            </w:r>
          </w:p>
        </w:tc>
        <w:tc>
          <w:tcPr>
            <w:tcW w:w="0" w:type="auto"/>
            <w:vAlign w:val="center"/>
            <w:hideMark/>
          </w:tcPr>
          <w:p w14:paraId="044FD047" w14:textId="77777777" w:rsidR="00000000" w:rsidRDefault="007E6CF5">
            <w:pPr>
              <w:numPr>
                <w:ilvl w:val="0"/>
                <w:numId w:val="17"/>
              </w:numPr>
              <w:spacing w:before="100" w:beforeAutospacing="1" w:after="100" w:afterAutospacing="1"/>
              <w:rPr>
                <w:rFonts w:eastAsia="Times New Roman"/>
              </w:rPr>
            </w:pPr>
            <w:r>
              <w:rPr>
                <w:rFonts w:eastAsia="Times New Roman"/>
              </w:rPr>
              <w:t xml:space="preserve">Research reports are of a high quality, well-received by stakeholders, and used in public policy forums and discussions. </w:t>
            </w:r>
          </w:p>
          <w:p w14:paraId="04F5E912" w14:textId="77777777" w:rsidR="00000000" w:rsidRDefault="007E6CF5">
            <w:pPr>
              <w:numPr>
                <w:ilvl w:val="0"/>
                <w:numId w:val="17"/>
              </w:numPr>
              <w:spacing w:before="100" w:beforeAutospacing="1" w:after="100" w:afterAutospacing="1"/>
              <w:rPr>
                <w:rFonts w:eastAsia="Times New Roman"/>
              </w:rPr>
            </w:pPr>
            <w:r>
              <w:rPr>
                <w:rFonts w:eastAsia="Times New Roman"/>
              </w:rPr>
              <w:t>Public consultation processes</w:t>
            </w:r>
            <w:r>
              <w:rPr>
                <w:rFonts w:eastAsia="Times New Roman"/>
              </w:rPr>
              <w:t xml:space="preserve"> are transparent, accessible and highly regarded by stakeholders. </w:t>
            </w:r>
          </w:p>
          <w:p w14:paraId="68FB10A2" w14:textId="77777777" w:rsidR="00000000" w:rsidRDefault="007E6CF5">
            <w:pPr>
              <w:numPr>
                <w:ilvl w:val="0"/>
                <w:numId w:val="17"/>
              </w:numPr>
              <w:spacing w:before="100" w:beforeAutospacing="1" w:after="100" w:afterAutospacing="1"/>
              <w:rPr>
                <w:rFonts w:eastAsia="Times New Roman"/>
              </w:rPr>
            </w:pPr>
            <w:r>
              <w:rPr>
                <w:rFonts w:eastAsia="Times New Roman"/>
              </w:rPr>
              <w:t>The Authority’s decision-making in conducting and completing reviews is independent and is perceived as independent by stakeholders.</w:t>
            </w:r>
          </w:p>
        </w:tc>
        <w:tc>
          <w:tcPr>
            <w:tcW w:w="0" w:type="auto"/>
            <w:vAlign w:val="center"/>
            <w:hideMark/>
          </w:tcPr>
          <w:p w14:paraId="02BA006E" w14:textId="77777777" w:rsidR="00000000" w:rsidRDefault="007E6CF5">
            <w:pPr>
              <w:numPr>
                <w:ilvl w:val="0"/>
                <w:numId w:val="18"/>
              </w:numPr>
              <w:spacing w:before="100" w:beforeAutospacing="1" w:after="100" w:afterAutospacing="1"/>
              <w:rPr>
                <w:rFonts w:eastAsia="Times New Roman"/>
              </w:rPr>
            </w:pPr>
            <w:r>
              <w:rPr>
                <w:rFonts w:eastAsia="Times New Roman"/>
              </w:rPr>
              <w:t>Up to three reports on emissions reduction policies completed by 30 June 2017</w:t>
            </w:r>
          </w:p>
          <w:p w14:paraId="34AF2CD1" w14:textId="77777777" w:rsidR="00000000" w:rsidRDefault="007E6CF5">
            <w:pPr>
              <w:numPr>
                <w:ilvl w:val="0"/>
                <w:numId w:val="18"/>
              </w:numPr>
              <w:spacing w:before="100" w:beforeAutospacing="1" w:after="100" w:afterAutospacing="1"/>
              <w:rPr>
                <w:rFonts w:eastAsia="Times New Roman"/>
              </w:rPr>
            </w:pPr>
            <w:r>
              <w:rPr>
                <w:rFonts w:eastAsia="Times New Roman"/>
              </w:rPr>
              <w:t>Commences 2nd quarter 2016–17</w:t>
            </w:r>
          </w:p>
        </w:tc>
        <w:tc>
          <w:tcPr>
            <w:tcW w:w="0" w:type="auto"/>
            <w:vAlign w:val="center"/>
            <w:hideMark/>
          </w:tcPr>
          <w:p w14:paraId="3F5711E3" w14:textId="77777777" w:rsidR="00000000" w:rsidRDefault="007E6CF5">
            <w:pPr>
              <w:numPr>
                <w:ilvl w:val="0"/>
                <w:numId w:val="19"/>
              </w:numPr>
              <w:spacing w:before="100" w:beforeAutospacing="1" w:after="100" w:afterAutospacing="1"/>
              <w:rPr>
                <w:rFonts w:eastAsia="Times New Roman"/>
              </w:rPr>
            </w:pPr>
            <w:r>
              <w:rPr>
                <w:rFonts w:eastAsia="Times New Roman"/>
              </w:rPr>
              <w:t>Analysis of feedback from stakeholders in public forums and submissions</w:t>
            </w:r>
          </w:p>
        </w:tc>
      </w:tr>
      <w:tr w:rsidR="00000000" w14:paraId="02CCC048" w14:textId="77777777" w:rsidTr="003F38E9">
        <w:trPr>
          <w:divId w:val="1439061288"/>
          <w:tblCellSpacing w:w="15" w:type="dxa"/>
        </w:trPr>
        <w:tc>
          <w:tcPr>
            <w:tcW w:w="1373" w:type="dxa"/>
            <w:vMerge/>
            <w:vAlign w:val="center"/>
            <w:hideMark/>
          </w:tcPr>
          <w:p w14:paraId="23FC29FD" w14:textId="77777777" w:rsidR="00000000" w:rsidRDefault="007E6CF5"/>
        </w:tc>
        <w:tc>
          <w:tcPr>
            <w:tcW w:w="3092" w:type="dxa"/>
            <w:vAlign w:val="center"/>
            <w:hideMark/>
          </w:tcPr>
          <w:p w14:paraId="1BE3A3A8" w14:textId="77777777" w:rsidR="00000000" w:rsidRDefault="007E6CF5">
            <w:pPr>
              <w:numPr>
                <w:ilvl w:val="0"/>
                <w:numId w:val="20"/>
              </w:numPr>
              <w:spacing w:before="100" w:beforeAutospacing="1" w:after="100" w:afterAutospacing="1"/>
              <w:rPr>
                <w:rFonts w:eastAsia="Times New Roman"/>
              </w:rPr>
            </w:pPr>
            <w:r>
              <w:rPr>
                <w:rFonts w:eastAsia="Times New Roman"/>
              </w:rPr>
              <w:t>Initial work on CFI legislation review</w:t>
            </w:r>
          </w:p>
        </w:tc>
        <w:tc>
          <w:tcPr>
            <w:tcW w:w="0" w:type="auto"/>
            <w:vAlign w:val="center"/>
            <w:hideMark/>
          </w:tcPr>
          <w:p w14:paraId="070A2838" w14:textId="77777777" w:rsidR="00000000" w:rsidRDefault="007E6CF5">
            <w:pPr>
              <w:numPr>
                <w:ilvl w:val="0"/>
                <w:numId w:val="21"/>
              </w:numPr>
              <w:spacing w:before="100" w:beforeAutospacing="1" w:after="100" w:afterAutospacing="1"/>
              <w:rPr>
                <w:rFonts w:eastAsia="Times New Roman"/>
              </w:rPr>
            </w:pPr>
            <w:r>
              <w:rPr>
                <w:rFonts w:eastAsia="Times New Roman"/>
              </w:rPr>
              <w:t>Scoping and methodology for CFI rev</w:t>
            </w:r>
            <w:r>
              <w:rPr>
                <w:rFonts w:eastAsia="Times New Roman"/>
              </w:rPr>
              <w:t>iew are planned and put in train; research work commences.</w:t>
            </w:r>
          </w:p>
          <w:p w14:paraId="2BB5AB0F" w14:textId="77777777" w:rsidR="00000000" w:rsidRDefault="007E6CF5">
            <w:pPr>
              <w:numPr>
                <w:ilvl w:val="0"/>
                <w:numId w:val="21"/>
              </w:numPr>
              <w:spacing w:before="100" w:beforeAutospacing="1" w:after="100" w:afterAutospacing="1"/>
              <w:rPr>
                <w:rFonts w:eastAsia="Times New Roman"/>
              </w:rPr>
            </w:pPr>
            <w:r>
              <w:rPr>
                <w:rFonts w:eastAsia="Times New Roman"/>
              </w:rPr>
              <w:t xml:space="preserve">Public consultation processes are transparent, accessible and highly regarded by stakeholders. </w:t>
            </w:r>
          </w:p>
          <w:p w14:paraId="7370398F" w14:textId="77777777" w:rsidR="00000000" w:rsidRDefault="007E6CF5">
            <w:pPr>
              <w:numPr>
                <w:ilvl w:val="0"/>
                <w:numId w:val="21"/>
              </w:numPr>
              <w:spacing w:before="100" w:beforeAutospacing="1" w:after="100" w:afterAutospacing="1"/>
              <w:rPr>
                <w:rFonts w:eastAsia="Times New Roman"/>
              </w:rPr>
            </w:pPr>
            <w:r>
              <w:rPr>
                <w:rFonts w:eastAsia="Times New Roman"/>
              </w:rPr>
              <w:t xml:space="preserve">The Authority’s decision-making in conducting and completing reviews is independent and is perceived </w:t>
            </w:r>
            <w:r>
              <w:rPr>
                <w:rFonts w:eastAsia="Times New Roman"/>
              </w:rPr>
              <w:t>as independent by stakeholders.</w:t>
            </w:r>
          </w:p>
        </w:tc>
        <w:tc>
          <w:tcPr>
            <w:tcW w:w="0" w:type="auto"/>
            <w:vAlign w:val="center"/>
            <w:hideMark/>
          </w:tcPr>
          <w:p w14:paraId="335D1E5B" w14:textId="77777777" w:rsidR="00000000" w:rsidRDefault="007E6CF5">
            <w:pPr>
              <w:numPr>
                <w:ilvl w:val="0"/>
                <w:numId w:val="22"/>
              </w:numPr>
              <w:spacing w:before="100" w:beforeAutospacing="1" w:after="100" w:afterAutospacing="1"/>
              <w:rPr>
                <w:rFonts w:eastAsia="Times New Roman"/>
              </w:rPr>
            </w:pPr>
            <w:r>
              <w:rPr>
                <w:rFonts w:eastAsia="Times New Roman"/>
              </w:rPr>
              <w:t>Planning for CFI review completed 3rd quarter 2016–17; research commences 4th quarter 2016–17</w:t>
            </w:r>
          </w:p>
        </w:tc>
        <w:tc>
          <w:tcPr>
            <w:tcW w:w="0" w:type="auto"/>
            <w:vAlign w:val="center"/>
            <w:hideMark/>
          </w:tcPr>
          <w:p w14:paraId="16626932" w14:textId="77777777" w:rsidR="00000000" w:rsidRDefault="007E6CF5">
            <w:pPr>
              <w:numPr>
                <w:ilvl w:val="0"/>
                <w:numId w:val="23"/>
              </w:numPr>
              <w:spacing w:before="100" w:beforeAutospacing="1" w:after="100" w:afterAutospacing="1"/>
              <w:rPr>
                <w:rFonts w:eastAsia="Times New Roman"/>
              </w:rPr>
            </w:pPr>
            <w:r>
              <w:rPr>
                <w:rFonts w:eastAsia="Times New Roman"/>
              </w:rPr>
              <w:t>Authority members satisfied with progress</w:t>
            </w:r>
          </w:p>
          <w:p w14:paraId="586A585D" w14:textId="77777777" w:rsidR="00000000" w:rsidRDefault="007E6CF5">
            <w:pPr>
              <w:numPr>
                <w:ilvl w:val="0"/>
                <w:numId w:val="23"/>
              </w:numPr>
              <w:spacing w:before="100" w:beforeAutospacing="1" w:after="100" w:afterAutospacing="1"/>
              <w:rPr>
                <w:rFonts w:eastAsia="Times New Roman"/>
              </w:rPr>
            </w:pPr>
            <w:r>
              <w:rPr>
                <w:rFonts w:eastAsia="Times New Roman"/>
              </w:rPr>
              <w:t>Analysis of feedback from stakeholders in public forums and submissions</w:t>
            </w:r>
          </w:p>
        </w:tc>
      </w:tr>
      <w:tr w:rsidR="00000000" w14:paraId="7329F3A9" w14:textId="77777777" w:rsidTr="003F38E9">
        <w:trPr>
          <w:divId w:val="1439061288"/>
          <w:tblCellSpacing w:w="15" w:type="dxa"/>
        </w:trPr>
        <w:tc>
          <w:tcPr>
            <w:tcW w:w="1373" w:type="dxa"/>
            <w:vAlign w:val="center"/>
            <w:hideMark/>
          </w:tcPr>
          <w:p w14:paraId="03F92B21" w14:textId="77777777" w:rsidR="00000000" w:rsidRDefault="007E6CF5">
            <w:pPr>
              <w:pStyle w:val="NormalWeb"/>
            </w:pPr>
            <w:r>
              <w:t>2017–18</w:t>
            </w:r>
          </w:p>
        </w:tc>
        <w:tc>
          <w:tcPr>
            <w:tcW w:w="3092" w:type="dxa"/>
            <w:vAlign w:val="center"/>
            <w:hideMark/>
          </w:tcPr>
          <w:p w14:paraId="08F84179" w14:textId="77777777" w:rsidR="00000000" w:rsidRDefault="007E6CF5">
            <w:pPr>
              <w:numPr>
                <w:ilvl w:val="0"/>
                <w:numId w:val="24"/>
              </w:numPr>
              <w:spacing w:before="100" w:beforeAutospacing="1" w:after="100" w:afterAutospacing="1"/>
              <w:rPr>
                <w:rFonts w:eastAsia="Times New Roman"/>
              </w:rPr>
            </w:pPr>
            <w:r>
              <w:rPr>
                <w:rFonts w:eastAsia="Times New Roman"/>
              </w:rPr>
              <w:t>Finalis</w:t>
            </w:r>
            <w:r>
              <w:rPr>
                <w:rFonts w:eastAsia="Times New Roman"/>
              </w:rPr>
              <w:t>e CFI review</w:t>
            </w:r>
          </w:p>
          <w:p w14:paraId="36F47712" w14:textId="77777777" w:rsidR="00000000" w:rsidRDefault="007E6CF5">
            <w:pPr>
              <w:numPr>
                <w:ilvl w:val="0"/>
                <w:numId w:val="24"/>
              </w:numPr>
              <w:spacing w:before="100" w:beforeAutospacing="1" w:after="100" w:afterAutospacing="1"/>
              <w:rPr>
                <w:rFonts w:eastAsia="Times New Roman"/>
              </w:rPr>
            </w:pPr>
            <w:r>
              <w:rPr>
                <w:rFonts w:eastAsia="Times New Roman"/>
              </w:rPr>
              <w:t>Commence work on NGER review</w:t>
            </w:r>
          </w:p>
        </w:tc>
        <w:tc>
          <w:tcPr>
            <w:tcW w:w="0" w:type="auto"/>
            <w:vAlign w:val="center"/>
            <w:hideMark/>
          </w:tcPr>
          <w:p w14:paraId="5B88B9FE" w14:textId="77777777" w:rsidR="00000000" w:rsidRDefault="007E6CF5">
            <w:pPr>
              <w:numPr>
                <w:ilvl w:val="0"/>
                <w:numId w:val="25"/>
              </w:numPr>
              <w:spacing w:before="100" w:beforeAutospacing="1" w:after="100" w:afterAutospacing="1"/>
              <w:rPr>
                <w:rFonts w:eastAsia="Times New Roman"/>
              </w:rPr>
            </w:pPr>
            <w:r>
              <w:rPr>
                <w:rFonts w:eastAsia="Times New Roman"/>
              </w:rPr>
              <w:t xml:space="preserve">The CFI review report is of a high quality, well-received by stakeholders. and used in public policy forums and discussions. </w:t>
            </w:r>
          </w:p>
          <w:p w14:paraId="27543106" w14:textId="77777777" w:rsidR="00000000" w:rsidRDefault="007E6CF5">
            <w:pPr>
              <w:numPr>
                <w:ilvl w:val="0"/>
                <w:numId w:val="25"/>
              </w:numPr>
              <w:spacing w:before="100" w:beforeAutospacing="1" w:after="100" w:afterAutospacing="1"/>
              <w:rPr>
                <w:rFonts w:eastAsia="Times New Roman"/>
              </w:rPr>
            </w:pPr>
            <w:r>
              <w:rPr>
                <w:rFonts w:eastAsia="Times New Roman"/>
              </w:rPr>
              <w:t xml:space="preserve">Public consultation processes are transparent, accessible and highly regarded by stakeholders. </w:t>
            </w:r>
          </w:p>
          <w:p w14:paraId="63E96E4C" w14:textId="77777777" w:rsidR="00000000" w:rsidRDefault="007E6CF5">
            <w:pPr>
              <w:numPr>
                <w:ilvl w:val="0"/>
                <w:numId w:val="25"/>
              </w:numPr>
              <w:spacing w:before="100" w:beforeAutospacing="1" w:after="100" w:afterAutospacing="1"/>
              <w:rPr>
                <w:rFonts w:eastAsia="Times New Roman"/>
              </w:rPr>
            </w:pPr>
            <w:r>
              <w:rPr>
                <w:rFonts w:eastAsia="Times New Roman"/>
              </w:rPr>
              <w:t>The Authority’s decision-making in conducting and completing reviews is independent and is perceived as independent by stakeholders.</w:t>
            </w:r>
          </w:p>
          <w:p w14:paraId="0D393F84" w14:textId="77777777" w:rsidR="00000000" w:rsidRDefault="007E6CF5">
            <w:pPr>
              <w:numPr>
                <w:ilvl w:val="0"/>
                <w:numId w:val="25"/>
              </w:numPr>
              <w:spacing w:before="100" w:beforeAutospacing="1" w:after="100" w:afterAutospacing="1"/>
              <w:rPr>
                <w:rFonts w:eastAsia="Times New Roman"/>
              </w:rPr>
            </w:pPr>
            <w:r>
              <w:rPr>
                <w:rFonts w:eastAsia="Times New Roman"/>
              </w:rPr>
              <w:t>Scoping and methodology for</w:t>
            </w:r>
            <w:r>
              <w:rPr>
                <w:rFonts w:eastAsia="Times New Roman"/>
              </w:rPr>
              <w:t xml:space="preserve"> NGER review are planned and put in train; research work commences.</w:t>
            </w:r>
          </w:p>
          <w:p w14:paraId="68465FA0" w14:textId="77777777" w:rsidR="00000000" w:rsidRDefault="007E6CF5">
            <w:pPr>
              <w:numPr>
                <w:ilvl w:val="0"/>
                <w:numId w:val="25"/>
              </w:numPr>
              <w:spacing w:before="100" w:beforeAutospacing="1" w:after="100" w:afterAutospacing="1"/>
              <w:rPr>
                <w:rFonts w:eastAsia="Times New Roman"/>
              </w:rPr>
            </w:pPr>
            <w:r>
              <w:rPr>
                <w:rFonts w:eastAsia="Times New Roman"/>
              </w:rPr>
              <w:t xml:space="preserve">Public consultation processes are transparent, accessible and highly regarded by stakeholders. </w:t>
            </w:r>
          </w:p>
          <w:p w14:paraId="6ECF7190" w14:textId="77777777" w:rsidR="00000000" w:rsidRDefault="007E6CF5">
            <w:pPr>
              <w:numPr>
                <w:ilvl w:val="0"/>
                <w:numId w:val="25"/>
              </w:numPr>
              <w:spacing w:before="100" w:beforeAutospacing="1" w:after="100" w:afterAutospacing="1"/>
              <w:rPr>
                <w:rFonts w:eastAsia="Times New Roman"/>
              </w:rPr>
            </w:pPr>
            <w:r>
              <w:rPr>
                <w:rFonts w:eastAsia="Times New Roman"/>
              </w:rPr>
              <w:t>The Authority’s decision-making in conducting and completing reviews is independent and is p</w:t>
            </w:r>
            <w:r>
              <w:rPr>
                <w:rFonts w:eastAsia="Times New Roman"/>
              </w:rPr>
              <w:t>erceived as independent by stakeholders.</w:t>
            </w:r>
          </w:p>
        </w:tc>
        <w:tc>
          <w:tcPr>
            <w:tcW w:w="0" w:type="auto"/>
            <w:vAlign w:val="center"/>
            <w:hideMark/>
          </w:tcPr>
          <w:p w14:paraId="2744857E" w14:textId="77777777" w:rsidR="00000000" w:rsidRDefault="007E6CF5">
            <w:pPr>
              <w:numPr>
                <w:ilvl w:val="0"/>
                <w:numId w:val="26"/>
              </w:numPr>
              <w:spacing w:before="100" w:beforeAutospacing="1" w:after="100" w:afterAutospacing="1"/>
              <w:rPr>
                <w:rFonts w:eastAsia="Times New Roman"/>
              </w:rPr>
            </w:pPr>
            <w:r>
              <w:rPr>
                <w:rFonts w:eastAsia="Times New Roman"/>
              </w:rPr>
              <w:t>The CFI review is completed by 31 December 2017</w:t>
            </w:r>
          </w:p>
          <w:p w14:paraId="0AC20712" w14:textId="77777777" w:rsidR="00000000" w:rsidRDefault="007E6CF5">
            <w:pPr>
              <w:numPr>
                <w:ilvl w:val="0"/>
                <w:numId w:val="26"/>
              </w:numPr>
              <w:spacing w:before="100" w:beforeAutospacing="1" w:after="100" w:afterAutospacing="1"/>
              <w:rPr>
                <w:rFonts w:eastAsia="Times New Roman"/>
              </w:rPr>
            </w:pPr>
            <w:r>
              <w:rPr>
                <w:rFonts w:eastAsia="Times New Roman"/>
              </w:rPr>
              <w:t>Planning for NGER review completed end 3rd quarter 2017; research commences 4th quarter 2017–18</w:t>
            </w:r>
          </w:p>
        </w:tc>
        <w:tc>
          <w:tcPr>
            <w:tcW w:w="0" w:type="auto"/>
            <w:vAlign w:val="center"/>
            <w:hideMark/>
          </w:tcPr>
          <w:p w14:paraId="5095FE47" w14:textId="77777777" w:rsidR="00000000" w:rsidRDefault="007E6CF5">
            <w:pPr>
              <w:numPr>
                <w:ilvl w:val="0"/>
                <w:numId w:val="27"/>
              </w:numPr>
              <w:spacing w:before="100" w:beforeAutospacing="1" w:after="100" w:afterAutospacing="1"/>
              <w:rPr>
                <w:rFonts w:eastAsia="Times New Roman"/>
              </w:rPr>
            </w:pPr>
            <w:r>
              <w:rPr>
                <w:rFonts w:eastAsia="Times New Roman"/>
              </w:rPr>
              <w:t>Analysis of feedback from stakeholders in public forums and submissions</w:t>
            </w:r>
          </w:p>
          <w:p w14:paraId="2548C13C" w14:textId="77777777" w:rsidR="00000000" w:rsidRDefault="007E6CF5">
            <w:pPr>
              <w:numPr>
                <w:ilvl w:val="0"/>
                <w:numId w:val="27"/>
              </w:numPr>
              <w:spacing w:before="100" w:beforeAutospacing="1" w:after="100" w:afterAutospacing="1"/>
              <w:rPr>
                <w:rFonts w:eastAsia="Times New Roman"/>
              </w:rPr>
            </w:pPr>
            <w:r>
              <w:rPr>
                <w:rFonts w:eastAsia="Times New Roman"/>
              </w:rPr>
              <w:t>Authority members satisfied with progress</w:t>
            </w:r>
          </w:p>
        </w:tc>
      </w:tr>
    </w:tbl>
    <w:p w14:paraId="2B758492" w14:textId="77777777" w:rsidR="00000000" w:rsidRDefault="007E6CF5">
      <w:pPr>
        <w:pStyle w:val="NormalWeb"/>
        <w:divId w:val="1439061288"/>
        <w:rPr>
          <w:lang w:val="en-GB"/>
        </w:rPr>
      </w:pPr>
      <w:r>
        <w:rPr>
          <w:lang w:val="en-GB"/>
        </w:rPr>
        <w:t xml:space="preserve">As noted in the </w:t>
      </w:r>
      <w:r>
        <w:rPr>
          <w:rStyle w:val="Emphasis"/>
          <w:lang w:val="en-GB"/>
        </w:rPr>
        <w:t>Environment</w:t>
      </w:r>
      <w:r>
        <w:rPr>
          <w:lang w:val="en-GB"/>
        </w:rPr>
        <w:t xml:space="preserve"> section, government policy is that the Authority be wound up. The performance information in this plan therefore focuses mainly on the 2016–17 and 2017–18 financial years, as it is dif</w:t>
      </w:r>
      <w:r>
        <w:rPr>
          <w:lang w:val="en-GB"/>
        </w:rPr>
        <w:t>ficult to forecast and plan the remaining reporting periods in the context of this uncertainty.</w:t>
      </w:r>
    </w:p>
    <w:p w14:paraId="566B9759" w14:textId="77777777" w:rsidR="00000000" w:rsidRDefault="007E6CF5">
      <w:pPr>
        <w:pStyle w:val="NormalWeb"/>
        <w:divId w:val="1439061288"/>
        <w:rPr>
          <w:lang w:val="en-GB"/>
        </w:rPr>
      </w:pPr>
      <w:r>
        <w:rPr>
          <w:lang w:val="en-GB"/>
        </w:rPr>
        <w:t>If the Authority is not wound up over the current reporting period, it will finalise its review of the CFI legislation and commence work on its review of the NG</w:t>
      </w:r>
      <w:r>
        <w:rPr>
          <w:lang w:val="en-GB"/>
        </w:rPr>
        <w:t xml:space="preserve">ER legislation in 2017–18. </w:t>
      </w:r>
    </w:p>
    <w:p w14:paraId="789A2804" w14:textId="77777777" w:rsidR="00000000" w:rsidRDefault="007E6CF5">
      <w:pPr>
        <w:pStyle w:val="NormalWeb"/>
        <w:divId w:val="1439061288"/>
        <w:rPr>
          <w:lang w:val="en-GB"/>
        </w:rPr>
      </w:pPr>
      <w:r>
        <w:rPr>
          <w:lang w:val="en-GB"/>
        </w:rPr>
        <w:t>The next scheduled review of the CFI legislation after 2017 would need to be completed by 31 December 2020. The next review of the NGER legislation is not due to conclude until the end of 2023 and is beyond the scope of this pla</w:t>
      </w:r>
      <w:r>
        <w:rPr>
          <w:lang w:val="en-GB"/>
        </w:rPr>
        <w:t>n.</w:t>
      </w:r>
    </w:p>
    <w:p w14:paraId="4CFE16DE" w14:textId="77777777" w:rsidR="00000000" w:rsidRDefault="007E6CF5">
      <w:pPr>
        <w:pStyle w:val="NormalWeb"/>
        <w:divId w:val="1439061288"/>
        <w:rPr>
          <w:lang w:val="en-GB"/>
        </w:rPr>
      </w:pPr>
      <w:r>
        <w:rPr>
          <w:lang w:val="en-GB"/>
        </w:rPr>
        <w:t>The Authority intends to continue to use the following high-level performance indicators as the basis for its performance reporting in future years. Detailed performance information for these later reporting periods will be provided in subsequent corpor</w:t>
      </w:r>
      <w:r>
        <w:rPr>
          <w:lang w:val="en-GB"/>
        </w:rPr>
        <w:t>ate plans:</w:t>
      </w:r>
    </w:p>
    <w:p w14:paraId="4AC00E67" w14:textId="77777777" w:rsidR="00000000" w:rsidRDefault="007E6CF5">
      <w:pPr>
        <w:numPr>
          <w:ilvl w:val="0"/>
          <w:numId w:val="28"/>
        </w:numPr>
        <w:spacing w:before="100" w:beforeAutospacing="1" w:after="100" w:afterAutospacing="1"/>
        <w:divId w:val="1439061288"/>
        <w:rPr>
          <w:rFonts w:eastAsia="Times New Roman"/>
          <w:lang w:val="en-GB"/>
        </w:rPr>
      </w:pPr>
      <w:r>
        <w:rPr>
          <w:rFonts w:eastAsia="Times New Roman"/>
          <w:lang w:val="en-GB"/>
        </w:rPr>
        <w:t xml:space="preserve">Reviews and reports from research conducted by the Authority are of a high quality, well-received by stakeholders, and used in public policy forums and discussions. </w:t>
      </w:r>
    </w:p>
    <w:p w14:paraId="44F55165" w14:textId="77777777" w:rsidR="00000000" w:rsidRDefault="007E6CF5">
      <w:pPr>
        <w:numPr>
          <w:ilvl w:val="0"/>
          <w:numId w:val="28"/>
        </w:numPr>
        <w:spacing w:before="100" w:beforeAutospacing="1" w:after="100" w:afterAutospacing="1"/>
        <w:divId w:val="1439061288"/>
        <w:rPr>
          <w:rFonts w:eastAsia="Times New Roman"/>
          <w:lang w:val="en-GB"/>
        </w:rPr>
      </w:pPr>
      <w:r>
        <w:rPr>
          <w:rFonts w:eastAsia="Times New Roman"/>
          <w:lang w:val="en-GB"/>
        </w:rPr>
        <w:t>Public consultation processes are transparent, accessible and highly regarded b</w:t>
      </w:r>
      <w:r>
        <w:rPr>
          <w:rFonts w:eastAsia="Times New Roman"/>
          <w:lang w:val="en-GB"/>
        </w:rPr>
        <w:t xml:space="preserve">y stakeholders. </w:t>
      </w:r>
    </w:p>
    <w:p w14:paraId="12407094" w14:textId="77777777" w:rsidR="00000000" w:rsidRDefault="007E6CF5">
      <w:pPr>
        <w:numPr>
          <w:ilvl w:val="0"/>
          <w:numId w:val="28"/>
        </w:numPr>
        <w:spacing w:before="100" w:beforeAutospacing="1" w:after="100" w:afterAutospacing="1"/>
        <w:divId w:val="1439061288"/>
        <w:rPr>
          <w:rFonts w:eastAsia="Times New Roman"/>
          <w:lang w:val="en-GB"/>
        </w:rPr>
      </w:pPr>
      <w:r>
        <w:rPr>
          <w:rFonts w:eastAsia="Times New Roman"/>
          <w:lang w:val="en-GB"/>
        </w:rPr>
        <w:t>The Authority’s decision-making in conducting and completing reviews is independent and is perceived as independent by stakeholders.</w:t>
      </w:r>
    </w:p>
    <w:p w14:paraId="4D2B8BEC" w14:textId="77777777" w:rsidR="00000000" w:rsidRDefault="007E6CF5">
      <w:pPr>
        <w:numPr>
          <w:ilvl w:val="0"/>
          <w:numId w:val="28"/>
        </w:numPr>
        <w:spacing w:before="100" w:beforeAutospacing="1" w:after="100" w:afterAutospacing="1"/>
        <w:divId w:val="1439061288"/>
        <w:rPr>
          <w:rFonts w:eastAsia="Times New Roman"/>
          <w:lang w:val="en-GB"/>
        </w:rPr>
      </w:pPr>
      <w:r>
        <w:rPr>
          <w:rFonts w:eastAsia="Times New Roman"/>
          <w:lang w:val="en-GB"/>
        </w:rPr>
        <w:t>Stakeholders express the view that consultation has been meaningful and transparent.</w:t>
      </w:r>
    </w:p>
    <w:p w14:paraId="1AA3B261" w14:textId="77777777" w:rsidR="00000000" w:rsidRDefault="007E6CF5">
      <w:pPr>
        <w:numPr>
          <w:ilvl w:val="0"/>
          <w:numId w:val="28"/>
        </w:numPr>
        <w:spacing w:before="100" w:beforeAutospacing="1" w:after="100" w:afterAutospacing="1"/>
        <w:divId w:val="1439061288"/>
        <w:rPr>
          <w:rFonts w:eastAsia="Times New Roman"/>
          <w:lang w:val="en-GB"/>
        </w:rPr>
      </w:pPr>
      <w:r>
        <w:rPr>
          <w:rFonts w:eastAsia="Times New Roman"/>
          <w:lang w:val="en-GB"/>
        </w:rPr>
        <w:t>Economic modelling, submissions and review reports are accessible on the Authority’s website.</w:t>
      </w:r>
    </w:p>
    <w:p w14:paraId="14FEFE52" w14:textId="77777777" w:rsidR="00000000" w:rsidRDefault="007E6CF5">
      <w:pPr>
        <w:numPr>
          <w:ilvl w:val="0"/>
          <w:numId w:val="28"/>
        </w:numPr>
        <w:spacing w:before="100" w:beforeAutospacing="1" w:after="100" w:afterAutospacing="1"/>
        <w:divId w:val="1439061288"/>
        <w:rPr>
          <w:rFonts w:eastAsia="Times New Roman"/>
          <w:lang w:val="en-GB"/>
        </w:rPr>
      </w:pPr>
      <w:r>
        <w:rPr>
          <w:rFonts w:eastAsia="Times New Roman"/>
          <w:lang w:val="en-GB"/>
        </w:rPr>
        <w:t>Authority members are satisfied with the level of secretariat support.</w:t>
      </w:r>
    </w:p>
    <w:p w14:paraId="156F436B" w14:textId="77777777" w:rsidR="00000000" w:rsidRDefault="007E6CF5">
      <w:pPr>
        <w:pStyle w:val="Heading1"/>
        <w:divId w:val="1439061288"/>
        <w:rPr>
          <w:rFonts w:eastAsia="Times New Roman"/>
          <w:lang w:val="en-GB"/>
        </w:rPr>
      </w:pPr>
      <w:r>
        <w:rPr>
          <w:rFonts w:eastAsia="Times New Roman"/>
          <w:lang w:val="en-GB"/>
        </w:rPr>
        <w:t>Capability</w:t>
      </w:r>
    </w:p>
    <w:p w14:paraId="687A191D" w14:textId="77777777" w:rsidR="00000000" w:rsidRDefault="007E6CF5">
      <w:pPr>
        <w:pStyle w:val="NormalWeb"/>
        <w:divId w:val="1439061288"/>
        <w:rPr>
          <w:lang w:val="en-GB"/>
        </w:rPr>
      </w:pPr>
      <w:r>
        <w:rPr>
          <w:lang w:val="en-GB"/>
        </w:rPr>
        <w:t>The Authority’s talented and capable staff are its core asset. There is a risk t</w:t>
      </w:r>
      <w:r>
        <w:rPr>
          <w:lang w:val="en-GB"/>
        </w:rPr>
        <w:t>hat uncertainty will affect the Authority’s ability to recruit staff and deliver its work plan.</w:t>
      </w:r>
    </w:p>
    <w:p w14:paraId="2F22650C" w14:textId="77777777" w:rsidR="00000000" w:rsidRDefault="007E6CF5">
      <w:pPr>
        <w:pStyle w:val="NormalWeb"/>
        <w:divId w:val="1439061288"/>
        <w:rPr>
          <w:lang w:val="en-GB"/>
        </w:rPr>
      </w:pPr>
      <w:r>
        <w:rPr>
          <w:lang w:val="en-GB"/>
        </w:rPr>
        <w:t>As a small agency, the Authority partners with other Commonwealth agencies to deliver its payroll, ICT, finance payable and receivable, security and legal servi</w:t>
      </w:r>
      <w:r>
        <w:rPr>
          <w:lang w:val="en-GB"/>
        </w:rPr>
        <w:t>ces in a cost-effective manner.</w:t>
      </w:r>
    </w:p>
    <w:p w14:paraId="558B4C55" w14:textId="77777777" w:rsidR="00000000" w:rsidRDefault="007E6CF5">
      <w:pPr>
        <w:pStyle w:val="NormalWeb"/>
        <w:divId w:val="1439061288"/>
        <w:rPr>
          <w:lang w:val="en-GB"/>
        </w:rPr>
      </w:pPr>
      <w:r>
        <w:rPr>
          <w:lang w:val="en-GB"/>
        </w:rPr>
        <w:t>The Authority undertakes its work within a strong governance framework, including meeting all the governance requirements under the Public Governance, Performance and Accountability Act.</w:t>
      </w:r>
    </w:p>
    <w:p w14:paraId="5BFC43F3" w14:textId="77777777" w:rsidR="00000000" w:rsidRDefault="007E6CF5">
      <w:pPr>
        <w:pStyle w:val="Heading2"/>
        <w:divId w:val="1439061288"/>
        <w:rPr>
          <w:rFonts w:eastAsia="Times New Roman"/>
          <w:lang w:val="en-GB"/>
        </w:rPr>
      </w:pPr>
      <w:r>
        <w:rPr>
          <w:rFonts w:eastAsia="Times New Roman"/>
          <w:lang w:val="en-GB"/>
        </w:rPr>
        <w:t>Staffing</w:t>
      </w:r>
    </w:p>
    <w:p w14:paraId="77C7B0C4" w14:textId="77777777" w:rsidR="00000000" w:rsidRDefault="007E6CF5">
      <w:pPr>
        <w:pStyle w:val="NormalWeb"/>
        <w:divId w:val="1439061288"/>
        <w:rPr>
          <w:lang w:val="en-GB"/>
        </w:rPr>
      </w:pPr>
      <w:r>
        <w:rPr>
          <w:lang w:val="en-GB"/>
        </w:rPr>
        <w:t xml:space="preserve">The Authority relies on its </w:t>
      </w:r>
      <w:r>
        <w:rPr>
          <w:lang w:val="en-GB"/>
        </w:rPr>
        <w:t>staff to undertake the research and analysis that supports its reviews and reports. Their expertise and professionalism is critical to both the production of high-quality reports, and building and maintaining good stakeholder relationships.</w:t>
      </w:r>
    </w:p>
    <w:p w14:paraId="42D55A32" w14:textId="77777777" w:rsidR="00000000" w:rsidRDefault="007E6CF5">
      <w:pPr>
        <w:pStyle w:val="NormalWeb"/>
        <w:divId w:val="1439061288"/>
        <w:rPr>
          <w:lang w:val="en-GB"/>
        </w:rPr>
      </w:pPr>
      <w:r>
        <w:rPr>
          <w:lang w:val="en-GB"/>
        </w:rPr>
        <w:t>The Authority s</w:t>
      </w:r>
      <w:r>
        <w:rPr>
          <w:lang w:val="en-GB"/>
        </w:rPr>
        <w:t xml:space="preserve">ecretariat currently consists of an acting CEO leading 14 staff. A significant portion of this workforce is employed on a non-ongoing or temporary basis. </w:t>
      </w:r>
    </w:p>
    <w:p w14:paraId="0DF207E9" w14:textId="77777777" w:rsidR="00000000" w:rsidRDefault="007E6CF5">
      <w:pPr>
        <w:pStyle w:val="NormalWeb"/>
        <w:divId w:val="1439061288"/>
        <w:rPr>
          <w:lang w:val="en-GB"/>
        </w:rPr>
      </w:pPr>
      <w:r>
        <w:rPr>
          <w:lang w:val="en-GB"/>
        </w:rPr>
        <w:t>The Authority encourages employees to undertake learning and development to build up competencies rel</w:t>
      </w:r>
      <w:r>
        <w:rPr>
          <w:lang w:val="en-GB"/>
        </w:rPr>
        <w:t>evant to their roles. The Authority has a study assistance policy that sets out the assistance provided to staff to undertake learning and development opportunities. The policy provides financial and leave assistance to its staff enrolled in study or train</w:t>
      </w:r>
      <w:r>
        <w:rPr>
          <w:lang w:val="en-GB"/>
        </w:rPr>
        <w:t>ing that is relevant to the operational needs of the agency. Each staff member has the opportunity to identify and access appropriate training through the Authority’s Performance and Development Program.</w:t>
      </w:r>
    </w:p>
    <w:p w14:paraId="19261DA9" w14:textId="77777777" w:rsidR="00000000" w:rsidRDefault="007E6CF5">
      <w:pPr>
        <w:pStyle w:val="NormalWeb"/>
        <w:divId w:val="1439061288"/>
        <w:rPr>
          <w:lang w:val="en-GB"/>
        </w:rPr>
      </w:pPr>
      <w:r>
        <w:rPr>
          <w:lang w:val="en-GB"/>
        </w:rPr>
        <w:t>The Authority also provides one-on-one coaching to a</w:t>
      </w:r>
      <w:r>
        <w:rPr>
          <w:lang w:val="en-GB"/>
        </w:rPr>
        <w:t xml:space="preserve">ddress particular development needs and extensive on-the-job training within the Authority. </w:t>
      </w:r>
    </w:p>
    <w:p w14:paraId="664C8FB8" w14:textId="77777777" w:rsidR="00000000" w:rsidRDefault="007E6CF5">
      <w:pPr>
        <w:pStyle w:val="NormalWeb"/>
        <w:divId w:val="1439061288"/>
        <w:rPr>
          <w:lang w:val="en-GB"/>
        </w:rPr>
      </w:pPr>
      <w:r>
        <w:rPr>
          <w:lang w:val="en-GB"/>
        </w:rPr>
        <w:t>With the decision to relocate the Authority from Melbourne to Canberra, most Authority staff are expected to separate from the APS with redundancies. The Authority</w:t>
      </w:r>
      <w:r>
        <w:rPr>
          <w:lang w:val="en-GB"/>
        </w:rPr>
        <w:t xml:space="preserve"> is managing this transition by providing regular and timely communication on matters relating to the relocation and is supporting staff through the Employee Assistance Program. Senior managers in the Authority are also using their professional networks to</w:t>
      </w:r>
      <w:r>
        <w:rPr>
          <w:lang w:val="en-GB"/>
        </w:rPr>
        <w:t xml:space="preserve"> help staff find alternative employment in Melbourne. </w:t>
      </w:r>
    </w:p>
    <w:p w14:paraId="22326FF2" w14:textId="77777777" w:rsidR="00000000" w:rsidRDefault="007E6CF5">
      <w:pPr>
        <w:pStyle w:val="NormalWeb"/>
        <w:divId w:val="1439061288"/>
        <w:rPr>
          <w:lang w:val="en-GB"/>
        </w:rPr>
      </w:pPr>
      <w:r>
        <w:rPr>
          <w:lang w:val="en-GB"/>
        </w:rPr>
        <w:t>Recruitment for Authority staff in Canberra is currently underway. Given the Authority’s uncertain future, new staff will be offered non-ongoing employment and/or secondments from other Commonwealth ag</w:t>
      </w:r>
      <w:r>
        <w:rPr>
          <w:lang w:val="en-GB"/>
        </w:rPr>
        <w:t>encies.</w:t>
      </w:r>
    </w:p>
    <w:p w14:paraId="03FD5230" w14:textId="77777777" w:rsidR="00000000" w:rsidRDefault="007E6CF5">
      <w:pPr>
        <w:pStyle w:val="Heading2"/>
        <w:divId w:val="1439061288"/>
        <w:rPr>
          <w:rFonts w:eastAsia="Times New Roman"/>
          <w:lang w:val="en-GB"/>
        </w:rPr>
      </w:pPr>
      <w:r>
        <w:rPr>
          <w:rFonts w:eastAsia="Times New Roman"/>
          <w:lang w:val="en-GB"/>
        </w:rPr>
        <w:t>Knowledge management</w:t>
      </w:r>
    </w:p>
    <w:p w14:paraId="2846A28D" w14:textId="77777777" w:rsidR="00000000" w:rsidRDefault="007E6CF5">
      <w:pPr>
        <w:pStyle w:val="NormalWeb"/>
        <w:divId w:val="1439061288"/>
        <w:rPr>
          <w:lang w:val="en-GB"/>
        </w:rPr>
      </w:pPr>
      <w:r>
        <w:rPr>
          <w:lang w:val="en-GB"/>
        </w:rPr>
        <w:t>The relocation to Canberra from Melbourne places a premium on effective knowledge management. The Authority plans to manage this by employing the following strategies:</w:t>
      </w:r>
    </w:p>
    <w:p w14:paraId="38D6CE05" w14:textId="77777777" w:rsidR="00000000" w:rsidRDefault="007E6CF5">
      <w:pPr>
        <w:numPr>
          <w:ilvl w:val="0"/>
          <w:numId w:val="29"/>
        </w:numPr>
        <w:spacing w:before="100" w:beforeAutospacing="1" w:after="100" w:afterAutospacing="1"/>
        <w:divId w:val="1439061288"/>
        <w:rPr>
          <w:rFonts w:eastAsia="Times New Roman"/>
          <w:lang w:val="en-GB"/>
        </w:rPr>
      </w:pPr>
      <w:r>
        <w:rPr>
          <w:rFonts w:eastAsia="Times New Roman"/>
          <w:lang w:val="en-GB"/>
        </w:rPr>
        <w:t xml:space="preserve">effective electronic document storage and migration </w:t>
      </w:r>
    </w:p>
    <w:p w14:paraId="23AA64A5" w14:textId="77777777" w:rsidR="00000000" w:rsidRDefault="007E6CF5">
      <w:pPr>
        <w:numPr>
          <w:ilvl w:val="0"/>
          <w:numId w:val="29"/>
        </w:numPr>
        <w:spacing w:before="100" w:beforeAutospacing="1" w:after="100" w:afterAutospacing="1"/>
        <w:divId w:val="1439061288"/>
        <w:rPr>
          <w:rFonts w:eastAsia="Times New Roman"/>
          <w:lang w:val="en-GB"/>
        </w:rPr>
      </w:pPr>
      <w:r>
        <w:rPr>
          <w:rFonts w:eastAsia="Times New Roman"/>
          <w:lang w:val="en-GB"/>
        </w:rPr>
        <w:t>‘hando</w:t>
      </w:r>
      <w:r>
        <w:rPr>
          <w:rFonts w:eastAsia="Times New Roman"/>
          <w:lang w:val="en-GB"/>
        </w:rPr>
        <w:t>ver’ sessions between individual current and incoming staff</w:t>
      </w:r>
    </w:p>
    <w:p w14:paraId="5AE3C4B6" w14:textId="77777777" w:rsidR="00000000" w:rsidRDefault="007E6CF5">
      <w:pPr>
        <w:numPr>
          <w:ilvl w:val="0"/>
          <w:numId w:val="29"/>
        </w:numPr>
        <w:spacing w:before="100" w:beforeAutospacing="1" w:after="100" w:afterAutospacing="1"/>
        <w:divId w:val="1439061288"/>
        <w:rPr>
          <w:rFonts w:eastAsia="Times New Roman"/>
          <w:lang w:val="en-GB"/>
        </w:rPr>
      </w:pPr>
      <w:r>
        <w:rPr>
          <w:rFonts w:eastAsia="Times New Roman"/>
          <w:lang w:val="en-GB"/>
        </w:rPr>
        <w:t>‘lessons learnt’ policy discussion sessions between current and incoming staff.</w:t>
      </w:r>
    </w:p>
    <w:p w14:paraId="6EFE71DA" w14:textId="77777777" w:rsidR="00000000" w:rsidRDefault="007E6CF5">
      <w:pPr>
        <w:pStyle w:val="Heading2"/>
        <w:divId w:val="1439061288"/>
        <w:rPr>
          <w:rFonts w:eastAsia="Times New Roman"/>
          <w:lang w:val="en-GB"/>
        </w:rPr>
      </w:pPr>
      <w:r>
        <w:rPr>
          <w:rFonts w:eastAsia="Times New Roman"/>
          <w:lang w:val="en-GB"/>
        </w:rPr>
        <w:t>Shared services arrangements</w:t>
      </w:r>
    </w:p>
    <w:p w14:paraId="32629C13" w14:textId="77777777" w:rsidR="00000000" w:rsidRDefault="007E6CF5">
      <w:pPr>
        <w:pStyle w:val="NormalWeb"/>
        <w:divId w:val="1439061288"/>
        <w:rPr>
          <w:lang w:val="en-GB"/>
        </w:rPr>
      </w:pPr>
      <w:r>
        <w:rPr>
          <w:lang w:val="en-GB"/>
        </w:rPr>
        <w:t>The Authority currently has shared services arrangements in the form of memoranda of un</w:t>
      </w:r>
      <w:r>
        <w:rPr>
          <w:lang w:val="en-GB"/>
        </w:rPr>
        <w:t xml:space="preserve">derstanding in place to meet payroll, ICT, accounts payable and receivable, legal and security needs. The Authority is relocating to Canberra from its current base in Melbourne in September 2016. A steering committee with representation from the Authority </w:t>
      </w:r>
      <w:r>
        <w:rPr>
          <w:lang w:val="en-GB"/>
        </w:rPr>
        <w:t>secretariat and the Department of the Environment and Energy has been established to oversee the transition of shared services from Melbourne to Canberra.</w:t>
      </w:r>
    </w:p>
    <w:p w14:paraId="0C0A63B1" w14:textId="77777777" w:rsidR="00000000" w:rsidRDefault="007E6CF5">
      <w:pPr>
        <w:pStyle w:val="NormalWeb"/>
        <w:divId w:val="1439061288"/>
        <w:rPr>
          <w:lang w:val="en-GB"/>
        </w:rPr>
      </w:pPr>
      <w:r>
        <w:rPr>
          <w:lang w:val="en-GB"/>
        </w:rPr>
        <w:t>The Authority will work through the steering committee and with its other current service providers t</w:t>
      </w:r>
      <w:r>
        <w:rPr>
          <w:lang w:val="en-GB"/>
        </w:rPr>
        <w:t xml:space="preserve">o review its shared services arrangements as part of the relocation change management processes and the Commonwealth’s shared and common services program. The Authority anticipates partnering with the Environment and Energy portfolio shared services where </w:t>
      </w:r>
      <w:r>
        <w:rPr>
          <w:lang w:val="en-GB"/>
        </w:rPr>
        <w:t>these would provide economies of scale and value for money.</w:t>
      </w:r>
    </w:p>
    <w:p w14:paraId="059F282A" w14:textId="77777777" w:rsidR="00000000" w:rsidRDefault="007E6CF5">
      <w:pPr>
        <w:pStyle w:val="Heading1"/>
        <w:divId w:val="1439061288"/>
        <w:rPr>
          <w:rFonts w:eastAsia="Times New Roman"/>
          <w:lang w:val="en-GB"/>
        </w:rPr>
      </w:pPr>
      <w:r>
        <w:rPr>
          <w:rFonts w:eastAsia="Times New Roman"/>
          <w:lang w:val="en-GB"/>
        </w:rPr>
        <w:t>Risk oversight and management</w:t>
      </w:r>
    </w:p>
    <w:p w14:paraId="45D482D6" w14:textId="77777777" w:rsidR="00000000" w:rsidRDefault="007E6CF5">
      <w:pPr>
        <w:pStyle w:val="NormalWeb"/>
        <w:divId w:val="1439061288"/>
        <w:rPr>
          <w:lang w:val="en-GB"/>
        </w:rPr>
      </w:pPr>
      <w:r>
        <w:rPr>
          <w:lang w:val="en-GB"/>
        </w:rPr>
        <w:t>The Authority recognises that effective risk management is a key element of effective governance.</w:t>
      </w:r>
    </w:p>
    <w:p w14:paraId="04AC32B3" w14:textId="77777777" w:rsidR="00000000" w:rsidRDefault="007E6CF5">
      <w:pPr>
        <w:pStyle w:val="NormalWeb"/>
        <w:divId w:val="1439061288"/>
        <w:rPr>
          <w:lang w:val="en-GB"/>
        </w:rPr>
      </w:pPr>
      <w:r>
        <w:rPr>
          <w:lang w:val="en-GB"/>
        </w:rPr>
        <w:t>The Authority has a Risk Management Framework to drive positive inte</w:t>
      </w:r>
      <w:r>
        <w:rPr>
          <w:lang w:val="en-GB"/>
        </w:rPr>
        <w:t xml:space="preserve">rnal risk management. The framework complies with the requirements of the </w:t>
      </w:r>
      <w:r>
        <w:rPr>
          <w:rStyle w:val="Emphasis"/>
          <w:lang w:val="en-GB"/>
        </w:rPr>
        <w:t>Commonwealth Risk Management Policy 1 July 2014</w:t>
      </w:r>
      <w:r>
        <w:rPr>
          <w:lang w:val="en-GB"/>
        </w:rPr>
        <w:t xml:space="preserve"> and the Public Governance, Performance and Accountability Act.</w:t>
      </w:r>
    </w:p>
    <w:p w14:paraId="5D21A02B" w14:textId="77777777" w:rsidR="00000000" w:rsidRDefault="007E6CF5">
      <w:pPr>
        <w:pStyle w:val="Heading2"/>
        <w:divId w:val="1439061288"/>
        <w:rPr>
          <w:rFonts w:eastAsia="Times New Roman"/>
          <w:lang w:val="en-GB"/>
        </w:rPr>
      </w:pPr>
      <w:r>
        <w:rPr>
          <w:rFonts w:eastAsia="Times New Roman"/>
          <w:lang w:val="en-GB"/>
        </w:rPr>
        <w:t>Good governance</w:t>
      </w:r>
    </w:p>
    <w:p w14:paraId="6E0A72BA" w14:textId="77777777" w:rsidR="00000000" w:rsidRDefault="007E6CF5">
      <w:pPr>
        <w:pStyle w:val="NormalWeb"/>
        <w:divId w:val="1439061288"/>
        <w:rPr>
          <w:lang w:val="en-GB"/>
        </w:rPr>
      </w:pPr>
      <w:r>
        <w:rPr>
          <w:lang w:val="en-GB"/>
        </w:rPr>
        <w:t>The Authority has a strong governance framework. To ensure it complies with all the governance requirements under the Public Governance, Performance and Accountability Act, the Authority will continue to:</w:t>
      </w:r>
    </w:p>
    <w:p w14:paraId="21E032FF" w14:textId="77777777" w:rsidR="00000000" w:rsidRDefault="007E6CF5">
      <w:pPr>
        <w:numPr>
          <w:ilvl w:val="0"/>
          <w:numId w:val="30"/>
        </w:numPr>
        <w:spacing w:before="100" w:beforeAutospacing="1" w:after="100" w:afterAutospacing="1"/>
        <w:divId w:val="1439061288"/>
        <w:rPr>
          <w:rFonts w:eastAsia="Times New Roman"/>
          <w:lang w:val="en-GB"/>
        </w:rPr>
      </w:pPr>
      <w:r>
        <w:rPr>
          <w:rFonts w:eastAsia="Times New Roman"/>
          <w:lang w:val="en-GB"/>
        </w:rPr>
        <w:t>ensure that delegations for human resources and fin</w:t>
      </w:r>
      <w:r>
        <w:rPr>
          <w:rFonts w:eastAsia="Times New Roman"/>
          <w:lang w:val="en-GB"/>
        </w:rPr>
        <w:t>ances are appropriate</w:t>
      </w:r>
    </w:p>
    <w:p w14:paraId="311129FE" w14:textId="77777777" w:rsidR="00000000" w:rsidRDefault="007E6CF5">
      <w:pPr>
        <w:numPr>
          <w:ilvl w:val="0"/>
          <w:numId w:val="30"/>
        </w:numPr>
        <w:spacing w:before="100" w:beforeAutospacing="1" w:after="100" w:afterAutospacing="1"/>
        <w:divId w:val="1439061288"/>
        <w:rPr>
          <w:rFonts w:eastAsia="Times New Roman"/>
          <w:lang w:val="en-GB"/>
        </w:rPr>
      </w:pPr>
      <w:r>
        <w:rPr>
          <w:rFonts w:eastAsia="Times New Roman"/>
          <w:lang w:val="en-GB"/>
        </w:rPr>
        <w:t>ensure there is effective control and oversight to deal with fraud and risk</w:t>
      </w:r>
    </w:p>
    <w:p w14:paraId="7A84C871" w14:textId="77777777" w:rsidR="00000000" w:rsidRDefault="007E6CF5">
      <w:pPr>
        <w:numPr>
          <w:ilvl w:val="0"/>
          <w:numId w:val="30"/>
        </w:numPr>
        <w:spacing w:before="100" w:beforeAutospacing="1" w:after="100" w:afterAutospacing="1"/>
        <w:divId w:val="1439061288"/>
        <w:rPr>
          <w:rFonts w:eastAsia="Times New Roman"/>
          <w:lang w:val="en-GB"/>
        </w:rPr>
      </w:pPr>
      <w:r>
        <w:rPr>
          <w:rFonts w:eastAsia="Times New Roman"/>
          <w:lang w:val="en-GB"/>
        </w:rPr>
        <w:t>maintain an effective Audit Committee</w:t>
      </w:r>
    </w:p>
    <w:p w14:paraId="530A88B7" w14:textId="77777777" w:rsidR="00000000" w:rsidRDefault="007E6CF5">
      <w:pPr>
        <w:numPr>
          <w:ilvl w:val="0"/>
          <w:numId w:val="30"/>
        </w:numPr>
        <w:spacing w:before="100" w:beforeAutospacing="1" w:after="100" w:afterAutospacing="1"/>
        <w:divId w:val="1439061288"/>
        <w:rPr>
          <w:rFonts w:eastAsia="Times New Roman"/>
          <w:lang w:val="en-GB"/>
        </w:rPr>
      </w:pPr>
      <w:r>
        <w:rPr>
          <w:rFonts w:eastAsia="Times New Roman"/>
          <w:lang w:val="en-GB"/>
        </w:rPr>
        <w:t>educate its staff to apply APS Code of Conduct and Values on a day-to-day basis</w:t>
      </w:r>
    </w:p>
    <w:p w14:paraId="562BC373" w14:textId="77777777" w:rsidR="00000000" w:rsidRDefault="007E6CF5">
      <w:pPr>
        <w:numPr>
          <w:ilvl w:val="0"/>
          <w:numId w:val="30"/>
        </w:numPr>
        <w:spacing w:before="100" w:beforeAutospacing="1" w:after="100" w:afterAutospacing="1"/>
        <w:divId w:val="1439061288"/>
        <w:rPr>
          <w:rFonts w:eastAsia="Times New Roman"/>
          <w:lang w:val="en-GB"/>
        </w:rPr>
      </w:pPr>
      <w:r>
        <w:rPr>
          <w:rFonts w:eastAsia="Times New Roman"/>
          <w:lang w:val="en-GB"/>
        </w:rPr>
        <w:t>educate new staff on the Authority’s gov</w:t>
      </w:r>
      <w:r>
        <w:rPr>
          <w:rFonts w:eastAsia="Times New Roman"/>
          <w:lang w:val="en-GB"/>
        </w:rPr>
        <w:t>ernance practices</w:t>
      </w:r>
    </w:p>
    <w:p w14:paraId="67F5ECFD" w14:textId="77777777" w:rsidR="00000000" w:rsidRDefault="007E6CF5">
      <w:pPr>
        <w:numPr>
          <w:ilvl w:val="0"/>
          <w:numId w:val="30"/>
        </w:numPr>
        <w:spacing w:before="100" w:beforeAutospacing="1" w:after="100" w:afterAutospacing="1"/>
        <w:divId w:val="1439061288"/>
        <w:rPr>
          <w:rFonts w:eastAsia="Times New Roman"/>
          <w:lang w:val="en-GB"/>
        </w:rPr>
      </w:pPr>
      <w:r>
        <w:rPr>
          <w:rFonts w:eastAsia="Times New Roman"/>
          <w:lang w:val="en-GB"/>
        </w:rPr>
        <w:t>maintain governance issues as standing agenda items on regular senior executive meetings.</w:t>
      </w:r>
    </w:p>
    <w:p w14:paraId="60919A6C" w14:textId="77777777" w:rsidR="00000000" w:rsidRDefault="007E6CF5">
      <w:pPr>
        <w:pStyle w:val="Heading2"/>
        <w:divId w:val="1439061288"/>
        <w:rPr>
          <w:rFonts w:eastAsia="Times New Roman"/>
          <w:lang w:val="en-GB"/>
        </w:rPr>
      </w:pPr>
      <w:r>
        <w:rPr>
          <w:rFonts w:eastAsia="Times New Roman"/>
          <w:lang w:val="en-GB"/>
        </w:rPr>
        <w:t>Risks</w:t>
      </w:r>
    </w:p>
    <w:p w14:paraId="4CDE0C62" w14:textId="77777777" w:rsidR="00000000" w:rsidRDefault="007E6CF5">
      <w:pPr>
        <w:pStyle w:val="NormalWeb"/>
        <w:divId w:val="1439061288"/>
        <w:rPr>
          <w:lang w:val="en-GB"/>
        </w:rPr>
      </w:pPr>
      <w:r>
        <w:rPr>
          <w:lang w:val="en-GB"/>
        </w:rPr>
        <w:t xml:space="preserve">Table 2 sets out the Authority’s high-level strategic risks for the reporting period, along with risk ratings and mitigation strategies. Risk </w:t>
      </w:r>
      <w:r>
        <w:rPr>
          <w:lang w:val="en-GB"/>
        </w:rPr>
        <w:t xml:space="preserve">treatments and treatment owners are outlined in the Authority’s risk register, which is updated regularly. </w:t>
      </w:r>
    </w:p>
    <w:p w14:paraId="7D8DDBB2" w14:textId="77777777" w:rsidR="00000000" w:rsidRDefault="007E6CF5">
      <w:pPr>
        <w:pStyle w:val="Heading3"/>
        <w:divId w:val="1439061288"/>
        <w:rPr>
          <w:rFonts w:eastAsia="Times New Roman"/>
          <w:lang w:val="en-GB"/>
        </w:rPr>
      </w:pPr>
      <w:r>
        <w:rPr>
          <w:rFonts w:eastAsia="Times New Roman"/>
          <w:lang w:val="en-GB"/>
        </w:rPr>
        <w:t>Table 2: Climate Change Authority strategic risks</w:t>
      </w:r>
    </w:p>
    <w:tbl>
      <w:tblPr>
        <w:tblW w:w="0" w:type="auto"/>
        <w:tblCellSpacing w:w="15" w:type="dxa"/>
        <w:tblCellMar>
          <w:top w:w="100" w:type="dxa"/>
          <w:left w:w="100" w:type="dxa"/>
          <w:bottom w:w="100" w:type="dxa"/>
          <w:right w:w="100" w:type="dxa"/>
        </w:tblCellMar>
        <w:tblLook w:val="04A0" w:firstRow="1" w:lastRow="0" w:firstColumn="1" w:lastColumn="0" w:noHBand="0" w:noVBand="1"/>
      </w:tblPr>
      <w:tblGrid>
        <w:gridCol w:w="480"/>
        <w:gridCol w:w="480"/>
        <w:gridCol w:w="480"/>
        <w:gridCol w:w="480"/>
      </w:tblGrid>
      <w:tr w:rsidR="00000000" w14:paraId="2E1860C8" w14:textId="77777777">
        <w:trPr>
          <w:divId w:val="1439061288"/>
          <w:tblCellSpacing w:w="15" w:type="dxa"/>
        </w:trPr>
        <w:tc>
          <w:tcPr>
            <w:tcW w:w="0" w:type="auto"/>
            <w:vAlign w:val="center"/>
            <w:hideMark/>
          </w:tcPr>
          <w:p w14:paraId="46324289" w14:textId="77777777" w:rsidR="00000000" w:rsidRDefault="007E6CF5">
            <w:pPr>
              <w:pStyle w:val="Heading4"/>
              <w:rPr>
                <w:rFonts w:eastAsia="Times New Roman"/>
              </w:rPr>
            </w:pPr>
            <w:r>
              <w:rPr>
                <w:rFonts w:eastAsia="Times New Roman"/>
              </w:rPr>
              <w:t>Risk type</w:t>
            </w:r>
          </w:p>
        </w:tc>
        <w:tc>
          <w:tcPr>
            <w:tcW w:w="0" w:type="auto"/>
            <w:vAlign w:val="center"/>
            <w:hideMark/>
          </w:tcPr>
          <w:p w14:paraId="112F59D0" w14:textId="77777777" w:rsidR="00000000" w:rsidRDefault="007E6CF5">
            <w:pPr>
              <w:pStyle w:val="Heading4"/>
              <w:rPr>
                <w:rFonts w:eastAsia="Times New Roman"/>
              </w:rPr>
            </w:pPr>
            <w:r>
              <w:rPr>
                <w:rFonts w:eastAsia="Times New Roman"/>
              </w:rPr>
              <w:t>Risk description</w:t>
            </w:r>
          </w:p>
        </w:tc>
        <w:tc>
          <w:tcPr>
            <w:tcW w:w="0" w:type="auto"/>
            <w:vAlign w:val="center"/>
            <w:hideMark/>
          </w:tcPr>
          <w:p w14:paraId="60954472" w14:textId="77777777" w:rsidR="00000000" w:rsidRDefault="007E6CF5">
            <w:pPr>
              <w:pStyle w:val="Heading4"/>
              <w:rPr>
                <w:rFonts w:eastAsia="Times New Roman"/>
              </w:rPr>
            </w:pPr>
            <w:r>
              <w:rPr>
                <w:rFonts w:eastAsia="Times New Roman"/>
              </w:rPr>
              <w:t>Likelihood, consequence and rating</w:t>
            </w:r>
          </w:p>
        </w:tc>
        <w:tc>
          <w:tcPr>
            <w:tcW w:w="0" w:type="auto"/>
            <w:vAlign w:val="center"/>
            <w:hideMark/>
          </w:tcPr>
          <w:p w14:paraId="596FB8FB" w14:textId="77777777" w:rsidR="00000000" w:rsidRDefault="007E6CF5">
            <w:pPr>
              <w:pStyle w:val="Heading4"/>
              <w:rPr>
                <w:rFonts w:eastAsia="Times New Roman"/>
              </w:rPr>
            </w:pPr>
            <w:r>
              <w:rPr>
                <w:rFonts w:eastAsia="Times New Roman"/>
              </w:rPr>
              <w:t>Mitigation strategies</w:t>
            </w:r>
          </w:p>
        </w:tc>
      </w:tr>
      <w:tr w:rsidR="00000000" w14:paraId="2C482309" w14:textId="77777777">
        <w:trPr>
          <w:divId w:val="1439061288"/>
          <w:tblCellSpacing w:w="15" w:type="dxa"/>
        </w:trPr>
        <w:tc>
          <w:tcPr>
            <w:tcW w:w="0" w:type="auto"/>
            <w:vAlign w:val="center"/>
            <w:hideMark/>
          </w:tcPr>
          <w:p w14:paraId="7845AC33" w14:textId="77777777" w:rsidR="00000000" w:rsidRDefault="007E6CF5">
            <w:pPr>
              <w:pStyle w:val="NormalWeb"/>
            </w:pPr>
            <w:r>
              <w:t>Managing fina</w:t>
            </w:r>
            <w:r>
              <w:t>ncial resources</w:t>
            </w:r>
          </w:p>
        </w:tc>
        <w:tc>
          <w:tcPr>
            <w:tcW w:w="0" w:type="auto"/>
            <w:vAlign w:val="center"/>
            <w:hideMark/>
          </w:tcPr>
          <w:p w14:paraId="23EC0EAD" w14:textId="77777777" w:rsidR="00000000" w:rsidRDefault="007E6CF5">
            <w:pPr>
              <w:numPr>
                <w:ilvl w:val="0"/>
                <w:numId w:val="31"/>
              </w:numPr>
              <w:spacing w:before="100" w:beforeAutospacing="1" w:after="100" w:afterAutospacing="1"/>
              <w:rPr>
                <w:rFonts w:eastAsia="Times New Roman"/>
              </w:rPr>
            </w:pPr>
            <w:r>
              <w:rPr>
                <w:rFonts w:eastAsia="Times New Roman"/>
              </w:rPr>
              <w:t xml:space="preserve">Relocation to Canberra and loss of corporate memory compromises financial management systems </w:t>
            </w:r>
          </w:p>
          <w:p w14:paraId="31FBB6ED" w14:textId="77777777" w:rsidR="00000000" w:rsidRDefault="007E6CF5">
            <w:pPr>
              <w:numPr>
                <w:ilvl w:val="0"/>
                <w:numId w:val="31"/>
              </w:numPr>
              <w:spacing w:before="100" w:beforeAutospacing="1" w:after="100" w:afterAutospacing="1"/>
              <w:rPr>
                <w:rFonts w:eastAsia="Times New Roman"/>
              </w:rPr>
            </w:pPr>
            <w:r>
              <w:rPr>
                <w:rFonts w:eastAsia="Times New Roman"/>
              </w:rPr>
              <w:t>Uncertainty about the Authority’s future and funding compromises delivery of work program</w:t>
            </w:r>
          </w:p>
          <w:p w14:paraId="20A55ECB" w14:textId="77777777" w:rsidR="00000000" w:rsidRDefault="007E6CF5">
            <w:pPr>
              <w:numPr>
                <w:ilvl w:val="0"/>
                <w:numId w:val="31"/>
              </w:numPr>
              <w:spacing w:before="100" w:beforeAutospacing="1" w:after="100" w:afterAutospacing="1"/>
              <w:rPr>
                <w:rFonts w:eastAsia="Times New Roman"/>
              </w:rPr>
            </w:pPr>
            <w:r>
              <w:rPr>
                <w:rFonts w:eastAsia="Times New Roman"/>
              </w:rPr>
              <w:t>The Authority fails to comply with its Public Governance</w:t>
            </w:r>
            <w:r>
              <w:rPr>
                <w:rFonts w:eastAsia="Times New Roman"/>
              </w:rPr>
              <w:t xml:space="preserve">, Performance and Accountability Act requirements </w:t>
            </w:r>
          </w:p>
        </w:tc>
        <w:tc>
          <w:tcPr>
            <w:tcW w:w="0" w:type="auto"/>
            <w:vAlign w:val="center"/>
            <w:hideMark/>
          </w:tcPr>
          <w:p w14:paraId="03324A2C" w14:textId="77777777" w:rsidR="00000000" w:rsidRDefault="007E6CF5">
            <w:pPr>
              <w:pStyle w:val="NormalWeb"/>
            </w:pPr>
            <w:r>
              <w:rPr>
                <w:rStyle w:val="Strong"/>
              </w:rPr>
              <w:t>Possible; major; medium</w:t>
            </w:r>
          </w:p>
        </w:tc>
        <w:tc>
          <w:tcPr>
            <w:tcW w:w="0" w:type="auto"/>
            <w:vAlign w:val="center"/>
            <w:hideMark/>
          </w:tcPr>
          <w:p w14:paraId="3B5424D8" w14:textId="77777777" w:rsidR="00000000" w:rsidRDefault="007E6CF5">
            <w:pPr>
              <w:numPr>
                <w:ilvl w:val="0"/>
                <w:numId w:val="32"/>
              </w:numPr>
              <w:spacing w:before="100" w:beforeAutospacing="1" w:after="100" w:afterAutospacing="1"/>
              <w:rPr>
                <w:rFonts w:eastAsia="Times New Roman"/>
              </w:rPr>
            </w:pPr>
            <w:r>
              <w:rPr>
                <w:rFonts w:eastAsia="Times New Roman"/>
              </w:rPr>
              <w:t>The Authority will carefully plan the transition to Canberra including through a steering committee with representatives from the Department of the Environment and Energy</w:t>
            </w:r>
          </w:p>
          <w:p w14:paraId="2616486A" w14:textId="77777777" w:rsidR="00000000" w:rsidRDefault="007E6CF5">
            <w:pPr>
              <w:numPr>
                <w:ilvl w:val="0"/>
                <w:numId w:val="32"/>
              </w:numPr>
              <w:spacing w:before="100" w:beforeAutospacing="1" w:after="100" w:afterAutospacing="1"/>
              <w:rPr>
                <w:rFonts w:eastAsia="Times New Roman"/>
              </w:rPr>
            </w:pPr>
            <w:r>
              <w:rPr>
                <w:rFonts w:eastAsia="Times New Roman"/>
              </w:rPr>
              <w:t>The CEO and the business manager monitor budget expenditure closely</w:t>
            </w:r>
          </w:p>
          <w:p w14:paraId="3FE4E219" w14:textId="77777777" w:rsidR="00000000" w:rsidRDefault="007E6CF5">
            <w:pPr>
              <w:numPr>
                <w:ilvl w:val="0"/>
                <w:numId w:val="32"/>
              </w:numPr>
              <w:spacing w:before="100" w:beforeAutospacing="1" w:after="100" w:afterAutospacing="1"/>
              <w:rPr>
                <w:rFonts w:eastAsia="Times New Roman"/>
              </w:rPr>
            </w:pPr>
            <w:r>
              <w:rPr>
                <w:rFonts w:eastAsia="Times New Roman"/>
              </w:rPr>
              <w:t>Funding priorities planned to align with key priorities and closely monitored by CEO and business manager</w:t>
            </w:r>
          </w:p>
          <w:p w14:paraId="4AC2BFE2" w14:textId="77777777" w:rsidR="00000000" w:rsidRDefault="007E6CF5">
            <w:pPr>
              <w:numPr>
                <w:ilvl w:val="0"/>
                <w:numId w:val="32"/>
              </w:numPr>
              <w:spacing w:before="100" w:beforeAutospacing="1" w:after="100" w:afterAutospacing="1"/>
              <w:rPr>
                <w:rFonts w:eastAsia="Times New Roman"/>
              </w:rPr>
            </w:pPr>
            <w:r>
              <w:rPr>
                <w:rFonts w:eastAsia="Times New Roman"/>
              </w:rPr>
              <w:t>Funding priorities and constraints communicated to Authority members</w:t>
            </w:r>
          </w:p>
        </w:tc>
      </w:tr>
      <w:tr w:rsidR="00000000" w14:paraId="668E1FC2" w14:textId="77777777">
        <w:trPr>
          <w:divId w:val="1439061288"/>
          <w:tblCellSpacing w:w="15" w:type="dxa"/>
        </w:trPr>
        <w:tc>
          <w:tcPr>
            <w:tcW w:w="0" w:type="auto"/>
            <w:vAlign w:val="center"/>
            <w:hideMark/>
          </w:tcPr>
          <w:p w14:paraId="6674D341" w14:textId="77777777" w:rsidR="00000000" w:rsidRDefault="007E6CF5">
            <w:pPr>
              <w:pStyle w:val="NormalWeb"/>
            </w:pPr>
            <w:r>
              <w:t>Managing peo</w:t>
            </w:r>
            <w:r>
              <w:t>ple resources</w:t>
            </w:r>
          </w:p>
        </w:tc>
        <w:tc>
          <w:tcPr>
            <w:tcW w:w="0" w:type="auto"/>
            <w:vAlign w:val="center"/>
            <w:hideMark/>
          </w:tcPr>
          <w:p w14:paraId="2AD94D4A" w14:textId="77777777" w:rsidR="00000000" w:rsidRDefault="007E6CF5">
            <w:pPr>
              <w:numPr>
                <w:ilvl w:val="0"/>
                <w:numId w:val="33"/>
              </w:numPr>
              <w:spacing w:before="100" w:beforeAutospacing="1" w:after="100" w:afterAutospacing="1"/>
              <w:rPr>
                <w:rFonts w:eastAsia="Times New Roman"/>
              </w:rPr>
            </w:pPr>
            <w:r>
              <w:rPr>
                <w:rFonts w:eastAsia="Times New Roman"/>
              </w:rPr>
              <w:t>Inability to recruit staff in circumstances of operational uncertainty compromises delivery of work program</w:t>
            </w:r>
          </w:p>
          <w:p w14:paraId="6D76E034" w14:textId="77777777" w:rsidR="00000000" w:rsidRDefault="007E6CF5">
            <w:pPr>
              <w:numPr>
                <w:ilvl w:val="0"/>
                <w:numId w:val="33"/>
              </w:numPr>
              <w:spacing w:before="100" w:beforeAutospacing="1" w:after="100" w:afterAutospacing="1"/>
              <w:rPr>
                <w:rFonts w:eastAsia="Times New Roman"/>
              </w:rPr>
            </w:pPr>
            <w:r>
              <w:rPr>
                <w:rFonts w:eastAsia="Times New Roman"/>
              </w:rPr>
              <w:t>Failure to support the health and wellbeing of staff during a period of significant change</w:t>
            </w:r>
          </w:p>
        </w:tc>
        <w:tc>
          <w:tcPr>
            <w:tcW w:w="0" w:type="auto"/>
            <w:vAlign w:val="center"/>
            <w:hideMark/>
          </w:tcPr>
          <w:p w14:paraId="0484204F" w14:textId="77777777" w:rsidR="00000000" w:rsidRDefault="007E6CF5">
            <w:pPr>
              <w:pStyle w:val="NormalWeb"/>
            </w:pPr>
            <w:r>
              <w:rPr>
                <w:rStyle w:val="Strong"/>
              </w:rPr>
              <w:t>Possible; major; medium</w:t>
            </w:r>
          </w:p>
        </w:tc>
        <w:tc>
          <w:tcPr>
            <w:tcW w:w="0" w:type="auto"/>
            <w:vAlign w:val="center"/>
            <w:hideMark/>
          </w:tcPr>
          <w:p w14:paraId="5BD81C16" w14:textId="77777777" w:rsidR="00000000" w:rsidRDefault="007E6CF5">
            <w:pPr>
              <w:numPr>
                <w:ilvl w:val="0"/>
                <w:numId w:val="34"/>
              </w:numPr>
              <w:spacing w:before="100" w:beforeAutospacing="1" w:after="100" w:afterAutospacing="1"/>
              <w:rPr>
                <w:rFonts w:eastAsia="Times New Roman"/>
              </w:rPr>
            </w:pPr>
            <w:r>
              <w:rPr>
                <w:rFonts w:eastAsia="Times New Roman"/>
              </w:rPr>
              <w:t>Active program of r</w:t>
            </w:r>
            <w:r>
              <w:rPr>
                <w:rFonts w:eastAsia="Times New Roman"/>
              </w:rPr>
              <w:t>ecruitment for expert Canberra-based staff to commence in 2nd quarter 2016–17</w:t>
            </w:r>
          </w:p>
          <w:p w14:paraId="0CBA6A56" w14:textId="77777777" w:rsidR="00000000" w:rsidRDefault="007E6CF5">
            <w:pPr>
              <w:numPr>
                <w:ilvl w:val="0"/>
                <w:numId w:val="34"/>
              </w:numPr>
              <w:spacing w:before="100" w:beforeAutospacing="1" w:after="100" w:afterAutospacing="1"/>
              <w:rPr>
                <w:rFonts w:eastAsia="Times New Roman"/>
              </w:rPr>
            </w:pPr>
            <w:r>
              <w:rPr>
                <w:rFonts w:eastAsia="Times New Roman"/>
              </w:rPr>
              <w:t>Staff kept informed about developments in the operational environment and supported with effective change management and resilience strategies, including through the Employee Ass</w:t>
            </w:r>
            <w:r>
              <w:rPr>
                <w:rFonts w:eastAsia="Times New Roman"/>
              </w:rPr>
              <w:t>istance Program</w:t>
            </w:r>
          </w:p>
        </w:tc>
      </w:tr>
      <w:tr w:rsidR="00000000" w14:paraId="31F2F272" w14:textId="77777777">
        <w:trPr>
          <w:divId w:val="1439061288"/>
          <w:tblCellSpacing w:w="15" w:type="dxa"/>
        </w:trPr>
        <w:tc>
          <w:tcPr>
            <w:tcW w:w="0" w:type="auto"/>
            <w:vAlign w:val="center"/>
            <w:hideMark/>
          </w:tcPr>
          <w:p w14:paraId="7565505B" w14:textId="77777777" w:rsidR="00000000" w:rsidRDefault="007E6CF5">
            <w:pPr>
              <w:pStyle w:val="NormalWeb"/>
            </w:pPr>
            <w:r>
              <w:t>Capability</w:t>
            </w:r>
          </w:p>
        </w:tc>
        <w:tc>
          <w:tcPr>
            <w:tcW w:w="0" w:type="auto"/>
            <w:vAlign w:val="center"/>
            <w:hideMark/>
          </w:tcPr>
          <w:p w14:paraId="4AC8AF11" w14:textId="77777777" w:rsidR="00000000" w:rsidRDefault="007E6CF5">
            <w:pPr>
              <w:numPr>
                <w:ilvl w:val="0"/>
                <w:numId w:val="35"/>
              </w:numPr>
              <w:spacing w:before="100" w:beforeAutospacing="1" w:after="100" w:afterAutospacing="1"/>
              <w:rPr>
                <w:rFonts w:eastAsia="Times New Roman"/>
              </w:rPr>
            </w:pPr>
            <w:r>
              <w:rPr>
                <w:rFonts w:eastAsia="Times New Roman"/>
              </w:rPr>
              <w:t>Departure of Melbourne-based staff leads to loss of corporate knowledge, compromising work program or Public Governance, Performance and Accountability Act requirements</w:t>
            </w:r>
          </w:p>
        </w:tc>
        <w:tc>
          <w:tcPr>
            <w:tcW w:w="0" w:type="auto"/>
            <w:vAlign w:val="center"/>
            <w:hideMark/>
          </w:tcPr>
          <w:p w14:paraId="0FF0EA55" w14:textId="77777777" w:rsidR="00000000" w:rsidRDefault="007E6CF5">
            <w:pPr>
              <w:pStyle w:val="NormalWeb"/>
            </w:pPr>
            <w:r>
              <w:rPr>
                <w:rStyle w:val="Strong"/>
              </w:rPr>
              <w:t>Unlikely; major; medium</w:t>
            </w:r>
          </w:p>
        </w:tc>
        <w:tc>
          <w:tcPr>
            <w:tcW w:w="0" w:type="auto"/>
            <w:vAlign w:val="center"/>
            <w:hideMark/>
          </w:tcPr>
          <w:p w14:paraId="285A7979" w14:textId="77777777" w:rsidR="00000000" w:rsidRDefault="007E6CF5">
            <w:pPr>
              <w:numPr>
                <w:ilvl w:val="0"/>
                <w:numId w:val="36"/>
              </w:numPr>
              <w:spacing w:before="100" w:beforeAutospacing="1" w:after="100" w:afterAutospacing="1"/>
              <w:rPr>
                <w:rFonts w:eastAsia="Times New Roman"/>
              </w:rPr>
            </w:pPr>
            <w:r>
              <w:rPr>
                <w:rFonts w:eastAsia="Times New Roman"/>
              </w:rPr>
              <w:t>Systems in place to capture staff k</w:t>
            </w:r>
            <w:r>
              <w:rPr>
                <w:rFonts w:eastAsia="Times New Roman"/>
              </w:rPr>
              <w:t>nowledge prior to staff departures</w:t>
            </w:r>
          </w:p>
        </w:tc>
      </w:tr>
      <w:tr w:rsidR="00000000" w14:paraId="49FF721D" w14:textId="77777777">
        <w:trPr>
          <w:divId w:val="1439061288"/>
          <w:tblCellSpacing w:w="15" w:type="dxa"/>
        </w:trPr>
        <w:tc>
          <w:tcPr>
            <w:tcW w:w="0" w:type="auto"/>
            <w:vAlign w:val="center"/>
            <w:hideMark/>
          </w:tcPr>
          <w:p w14:paraId="504BD0EF" w14:textId="77777777" w:rsidR="00000000" w:rsidRDefault="007E6CF5">
            <w:pPr>
              <w:pStyle w:val="NormalWeb"/>
            </w:pPr>
            <w:r>
              <w:t>Performance</w:t>
            </w:r>
          </w:p>
        </w:tc>
        <w:tc>
          <w:tcPr>
            <w:tcW w:w="0" w:type="auto"/>
            <w:vAlign w:val="center"/>
            <w:hideMark/>
          </w:tcPr>
          <w:p w14:paraId="079B52A5" w14:textId="77777777" w:rsidR="00000000" w:rsidRDefault="007E6CF5">
            <w:pPr>
              <w:numPr>
                <w:ilvl w:val="0"/>
                <w:numId w:val="37"/>
              </w:numPr>
              <w:spacing w:before="100" w:beforeAutospacing="1" w:after="100" w:afterAutospacing="1"/>
              <w:rPr>
                <w:rFonts w:eastAsia="Times New Roman"/>
              </w:rPr>
            </w:pPr>
            <w:r>
              <w:rPr>
                <w:rFonts w:eastAsia="Times New Roman"/>
              </w:rPr>
              <w:t>The Special Review report and other research reports contain significant factual errors or fail to meet delivery deadlines</w:t>
            </w:r>
          </w:p>
          <w:p w14:paraId="6CBE340B" w14:textId="77777777" w:rsidR="00000000" w:rsidRDefault="007E6CF5">
            <w:pPr>
              <w:numPr>
                <w:ilvl w:val="0"/>
                <w:numId w:val="37"/>
              </w:numPr>
              <w:spacing w:before="100" w:beforeAutospacing="1" w:after="100" w:afterAutospacing="1"/>
              <w:rPr>
                <w:rFonts w:eastAsia="Times New Roman"/>
              </w:rPr>
            </w:pPr>
            <w:r>
              <w:rPr>
                <w:rFonts w:eastAsia="Times New Roman"/>
              </w:rPr>
              <w:t>Stakeholders think that the Authority does not have the expertise to advise the government effectively</w:t>
            </w:r>
          </w:p>
        </w:tc>
        <w:tc>
          <w:tcPr>
            <w:tcW w:w="0" w:type="auto"/>
            <w:vAlign w:val="center"/>
            <w:hideMark/>
          </w:tcPr>
          <w:p w14:paraId="57DF7B5D" w14:textId="77777777" w:rsidR="00000000" w:rsidRDefault="007E6CF5">
            <w:pPr>
              <w:pStyle w:val="NormalWeb"/>
            </w:pPr>
            <w:r>
              <w:rPr>
                <w:rStyle w:val="Strong"/>
              </w:rPr>
              <w:t>Possible; major; medium</w:t>
            </w:r>
          </w:p>
        </w:tc>
        <w:tc>
          <w:tcPr>
            <w:tcW w:w="0" w:type="auto"/>
            <w:vAlign w:val="center"/>
            <w:hideMark/>
          </w:tcPr>
          <w:p w14:paraId="338C71E2" w14:textId="77777777" w:rsidR="00000000" w:rsidRDefault="007E6CF5">
            <w:pPr>
              <w:numPr>
                <w:ilvl w:val="0"/>
                <w:numId w:val="38"/>
              </w:numPr>
              <w:spacing w:before="100" w:beforeAutospacing="1" w:after="100" w:afterAutospacing="1"/>
              <w:rPr>
                <w:rFonts w:eastAsia="Times New Roman"/>
              </w:rPr>
            </w:pPr>
            <w:r>
              <w:rPr>
                <w:rFonts w:eastAsia="Times New Roman"/>
              </w:rPr>
              <w:t>The Authority maintains quality assurance processes to minimise the chance of factual error</w:t>
            </w:r>
          </w:p>
          <w:p w14:paraId="2DF9AF70" w14:textId="77777777" w:rsidR="00000000" w:rsidRDefault="007E6CF5">
            <w:pPr>
              <w:numPr>
                <w:ilvl w:val="0"/>
                <w:numId w:val="38"/>
              </w:numPr>
              <w:spacing w:before="100" w:beforeAutospacing="1" w:after="100" w:afterAutospacing="1"/>
              <w:rPr>
                <w:rFonts w:eastAsia="Times New Roman"/>
              </w:rPr>
            </w:pPr>
            <w:r>
              <w:rPr>
                <w:rFonts w:eastAsia="Times New Roman"/>
              </w:rPr>
              <w:t>The Authority scopes its work careful</w:t>
            </w:r>
            <w:r>
              <w:rPr>
                <w:rFonts w:eastAsia="Times New Roman"/>
              </w:rPr>
              <w:t>ly and monitors review time frames</w:t>
            </w:r>
          </w:p>
          <w:p w14:paraId="5ECC2856" w14:textId="77777777" w:rsidR="00000000" w:rsidRDefault="007E6CF5">
            <w:pPr>
              <w:numPr>
                <w:ilvl w:val="0"/>
                <w:numId w:val="38"/>
              </w:numPr>
              <w:spacing w:before="100" w:beforeAutospacing="1" w:after="100" w:afterAutospacing="1"/>
              <w:rPr>
                <w:rFonts w:eastAsia="Times New Roman"/>
              </w:rPr>
            </w:pPr>
            <w:r>
              <w:rPr>
                <w:rFonts w:eastAsia="Times New Roman"/>
              </w:rPr>
              <w:t xml:space="preserve">The Authority consults with a wide range of stakeholders to be informed by a broad spectrum of views and evidence. </w:t>
            </w:r>
          </w:p>
          <w:p w14:paraId="5934647A" w14:textId="77777777" w:rsidR="00000000" w:rsidRDefault="007E6CF5">
            <w:pPr>
              <w:numPr>
                <w:ilvl w:val="0"/>
                <w:numId w:val="38"/>
              </w:numPr>
              <w:spacing w:before="100" w:beforeAutospacing="1" w:after="100" w:afterAutospacing="1"/>
              <w:rPr>
                <w:rFonts w:eastAsia="Times New Roman"/>
              </w:rPr>
            </w:pPr>
            <w:r>
              <w:rPr>
                <w:rFonts w:eastAsia="Times New Roman"/>
              </w:rPr>
              <w:t>The Authority explicitly considers stakeholder views and other relevant information sources when taking d</w:t>
            </w:r>
            <w:r>
              <w:rPr>
                <w:rFonts w:eastAsia="Times New Roman"/>
              </w:rPr>
              <w:t>ecisions on its reports and other products</w:t>
            </w:r>
          </w:p>
        </w:tc>
      </w:tr>
    </w:tbl>
    <w:p w14:paraId="67C99B8C" w14:textId="77777777" w:rsidR="007E6CF5" w:rsidRDefault="007E6CF5">
      <w:pPr>
        <w:divId w:val="1439061288"/>
        <w:rPr>
          <w:rFonts w:eastAsia="Times New Roman"/>
        </w:rPr>
      </w:pPr>
    </w:p>
    <w:sectPr w:rsidR="007E6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1857"/>
    <w:multiLevelType w:val="multilevel"/>
    <w:tmpl w:val="DBAA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94855"/>
    <w:multiLevelType w:val="multilevel"/>
    <w:tmpl w:val="3BF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17C2F"/>
    <w:multiLevelType w:val="multilevel"/>
    <w:tmpl w:val="E28A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76293"/>
    <w:multiLevelType w:val="multilevel"/>
    <w:tmpl w:val="F4F6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D4AF4"/>
    <w:multiLevelType w:val="multilevel"/>
    <w:tmpl w:val="662E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15D81"/>
    <w:multiLevelType w:val="multilevel"/>
    <w:tmpl w:val="E64A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D1C4A"/>
    <w:multiLevelType w:val="multilevel"/>
    <w:tmpl w:val="01BA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052EB"/>
    <w:multiLevelType w:val="multilevel"/>
    <w:tmpl w:val="ACDC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A0D1C"/>
    <w:multiLevelType w:val="multilevel"/>
    <w:tmpl w:val="3758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76103"/>
    <w:multiLevelType w:val="multilevel"/>
    <w:tmpl w:val="D31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D978E7"/>
    <w:multiLevelType w:val="multilevel"/>
    <w:tmpl w:val="30C6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40490"/>
    <w:multiLevelType w:val="multilevel"/>
    <w:tmpl w:val="5A10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DC6EAB"/>
    <w:multiLevelType w:val="multilevel"/>
    <w:tmpl w:val="E404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0456DB"/>
    <w:multiLevelType w:val="multilevel"/>
    <w:tmpl w:val="D2A4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3F0BCC"/>
    <w:multiLevelType w:val="multilevel"/>
    <w:tmpl w:val="6C2A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804187"/>
    <w:multiLevelType w:val="multilevel"/>
    <w:tmpl w:val="46F0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FB0574"/>
    <w:multiLevelType w:val="multilevel"/>
    <w:tmpl w:val="E36C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50715"/>
    <w:multiLevelType w:val="multilevel"/>
    <w:tmpl w:val="D1E6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3557E7"/>
    <w:multiLevelType w:val="multilevel"/>
    <w:tmpl w:val="1A5A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1C543E"/>
    <w:multiLevelType w:val="multilevel"/>
    <w:tmpl w:val="1B9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4119EE"/>
    <w:multiLevelType w:val="multilevel"/>
    <w:tmpl w:val="EBE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1D7212"/>
    <w:multiLevelType w:val="multilevel"/>
    <w:tmpl w:val="CB56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B5F21"/>
    <w:multiLevelType w:val="multilevel"/>
    <w:tmpl w:val="917E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D869A3"/>
    <w:multiLevelType w:val="multilevel"/>
    <w:tmpl w:val="BE3C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DA5C77"/>
    <w:multiLevelType w:val="multilevel"/>
    <w:tmpl w:val="1CD0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4F3945"/>
    <w:multiLevelType w:val="multilevel"/>
    <w:tmpl w:val="8C2A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B904CC"/>
    <w:multiLevelType w:val="multilevel"/>
    <w:tmpl w:val="7D20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F8322E"/>
    <w:multiLevelType w:val="multilevel"/>
    <w:tmpl w:val="7BF8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F608FC"/>
    <w:multiLevelType w:val="multilevel"/>
    <w:tmpl w:val="C98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615649"/>
    <w:multiLevelType w:val="multilevel"/>
    <w:tmpl w:val="EE1C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532FAB"/>
    <w:multiLevelType w:val="multilevel"/>
    <w:tmpl w:val="D37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B00605"/>
    <w:multiLevelType w:val="multilevel"/>
    <w:tmpl w:val="2786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423B04"/>
    <w:multiLevelType w:val="multilevel"/>
    <w:tmpl w:val="9FB6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7D5F49"/>
    <w:multiLevelType w:val="multilevel"/>
    <w:tmpl w:val="75E0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B84B3D"/>
    <w:multiLevelType w:val="multilevel"/>
    <w:tmpl w:val="6964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4C07F1"/>
    <w:multiLevelType w:val="multilevel"/>
    <w:tmpl w:val="9034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B663E1"/>
    <w:multiLevelType w:val="multilevel"/>
    <w:tmpl w:val="FF42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765EB8"/>
    <w:multiLevelType w:val="multilevel"/>
    <w:tmpl w:val="2CDE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8"/>
  </w:num>
  <w:num w:numId="4">
    <w:abstractNumId w:val="13"/>
  </w:num>
  <w:num w:numId="5">
    <w:abstractNumId w:val="35"/>
  </w:num>
  <w:num w:numId="6">
    <w:abstractNumId w:val="0"/>
  </w:num>
  <w:num w:numId="7">
    <w:abstractNumId w:val="2"/>
  </w:num>
  <w:num w:numId="8">
    <w:abstractNumId w:val="10"/>
  </w:num>
  <w:num w:numId="9">
    <w:abstractNumId w:val="20"/>
  </w:num>
  <w:num w:numId="10">
    <w:abstractNumId w:val="7"/>
  </w:num>
  <w:num w:numId="11">
    <w:abstractNumId w:val="18"/>
  </w:num>
  <w:num w:numId="12">
    <w:abstractNumId w:val="25"/>
  </w:num>
  <w:num w:numId="13">
    <w:abstractNumId w:val="4"/>
  </w:num>
  <w:num w:numId="14">
    <w:abstractNumId w:val="3"/>
  </w:num>
  <w:num w:numId="15">
    <w:abstractNumId w:val="31"/>
  </w:num>
  <w:num w:numId="16">
    <w:abstractNumId w:val="27"/>
  </w:num>
  <w:num w:numId="17">
    <w:abstractNumId w:val="29"/>
  </w:num>
  <w:num w:numId="18">
    <w:abstractNumId w:val="22"/>
  </w:num>
  <w:num w:numId="19">
    <w:abstractNumId w:val="16"/>
  </w:num>
  <w:num w:numId="20">
    <w:abstractNumId w:val="23"/>
  </w:num>
  <w:num w:numId="21">
    <w:abstractNumId w:val="17"/>
  </w:num>
  <w:num w:numId="22">
    <w:abstractNumId w:val="24"/>
  </w:num>
  <w:num w:numId="23">
    <w:abstractNumId w:val="12"/>
  </w:num>
  <w:num w:numId="24">
    <w:abstractNumId w:val="9"/>
  </w:num>
  <w:num w:numId="25">
    <w:abstractNumId w:val="32"/>
  </w:num>
  <w:num w:numId="26">
    <w:abstractNumId w:val="30"/>
  </w:num>
  <w:num w:numId="27">
    <w:abstractNumId w:val="33"/>
  </w:num>
  <w:num w:numId="28">
    <w:abstractNumId w:val="19"/>
  </w:num>
  <w:num w:numId="29">
    <w:abstractNumId w:val="34"/>
  </w:num>
  <w:num w:numId="30">
    <w:abstractNumId w:val="21"/>
  </w:num>
  <w:num w:numId="31">
    <w:abstractNumId w:val="37"/>
  </w:num>
  <w:num w:numId="32">
    <w:abstractNumId w:val="8"/>
  </w:num>
  <w:num w:numId="33">
    <w:abstractNumId w:val="36"/>
  </w:num>
  <w:num w:numId="34">
    <w:abstractNumId w:val="14"/>
  </w:num>
  <w:num w:numId="35">
    <w:abstractNumId w:val="26"/>
  </w:num>
  <w:num w:numId="36">
    <w:abstractNumId w:val="6"/>
  </w:num>
  <w:num w:numId="37">
    <w:abstractNumId w:val="1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defaultTabStop w:val="720"/>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F38E9"/>
    <w:rsid w:val="003F38E9"/>
    <w:rsid w:val="007E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9BE5C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12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limatechangeauthority.gov.a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3854</Words>
  <Characters>21974</Characters>
  <Application>Microsoft Macintosh Word</Application>
  <DocSecurity>0</DocSecurity>
  <Lines>183</Lines>
  <Paragraphs>51</Paragraphs>
  <ScaleCrop>false</ScaleCrop>
  <LinksUpToDate>false</LinksUpToDate>
  <CharactersWithSpaces>25777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CCA_16ppA4_CorporatePlan_2016-17</dc:title>
  <dc:subject/>
  <dc:creator>Jessica Louey</dc:creator>
  <cp:keywords/>
  <dc:description/>
  <cp:lastModifiedBy>Jessica Louey</cp:lastModifiedBy>
  <cp:revision>2</cp:revision>
  <dcterms:created xsi:type="dcterms:W3CDTF">2016-08-23T07:50:00Z</dcterms:created>
  <dcterms:modified xsi:type="dcterms:W3CDTF">2016-08-23T07:50:00Z</dcterms:modified>
</cp:coreProperties>
</file>