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79044163"/>
        <w:docPartObj>
          <w:docPartGallery w:val="Cover Pages"/>
          <w:docPartUnique/>
        </w:docPartObj>
      </w:sdtPr>
      <w:sdtEndPr/>
      <w:sdtContent>
        <w:tbl>
          <w:tblPr>
            <w:tblW w:w="0" w:type="auto"/>
            <w:shd w:val="clear" w:color="auto" w:fill="939598"/>
            <w:tblLayout w:type="fixed"/>
            <w:tblCellMar>
              <w:left w:w="0" w:type="dxa"/>
              <w:right w:w="0" w:type="dxa"/>
            </w:tblCellMar>
            <w:tblLook w:val="04A0" w:firstRow="1" w:lastRow="0" w:firstColumn="1" w:lastColumn="0" w:noHBand="0" w:noVBand="1"/>
          </w:tblPr>
          <w:tblGrid>
            <w:gridCol w:w="567"/>
            <w:gridCol w:w="10200"/>
          </w:tblGrid>
          <w:tr w:rsidR="00B937BF" w:rsidRPr="00E5000B" w:rsidTr="0010488E">
            <w:trPr>
              <w:trHeight w:hRule="exact" w:val="1928"/>
            </w:trPr>
            <w:tc>
              <w:tcPr>
                <w:tcW w:w="567" w:type="dxa"/>
                <w:tcBorders>
                  <w:top w:val="single" w:sz="4" w:space="0" w:color="999999"/>
                  <w:left w:val="single" w:sz="4" w:space="0" w:color="999999"/>
                </w:tcBorders>
                <w:shd w:val="clear" w:color="auto" w:fill="00338D"/>
              </w:tcPr>
              <w:p w:rsidR="00B937BF" w:rsidRPr="00E5000B" w:rsidRDefault="00B937BF" w:rsidP="00E72E26">
                <w:pPr>
                  <w:pStyle w:val="Para0"/>
                </w:pPr>
              </w:p>
            </w:tc>
            <w:tc>
              <w:tcPr>
                <w:tcW w:w="10200" w:type="dxa"/>
                <w:tcBorders>
                  <w:top w:val="single" w:sz="4" w:space="0" w:color="999999"/>
                  <w:right w:val="single" w:sz="4" w:space="0" w:color="999999"/>
                </w:tcBorders>
                <w:shd w:val="clear" w:color="auto" w:fill="auto"/>
              </w:tcPr>
              <w:p w:rsidR="00B937BF" w:rsidRPr="00E5000B" w:rsidRDefault="00B937BF" w:rsidP="00E72E26">
                <w:pPr>
                  <w:pStyle w:val="Para0"/>
                </w:pPr>
              </w:p>
            </w:tc>
          </w:tr>
          <w:tr w:rsidR="00B937BF" w:rsidRPr="00E5000B" w:rsidTr="0010488E">
            <w:tblPrEx>
              <w:shd w:val="clear" w:color="auto" w:fill="auto"/>
            </w:tblPrEx>
            <w:trPr>
              <w:trHeight w:hRule="exact" w:val="6576"/>
            </w:trPr>
            <w:tc>
              <w:tcPr>
                <w:tcW w:w="567" w:type="dxa"/>
                <w:tcBorders>
                  <w:left w:val="single" w:sz="4" w:space="0" w:color="999999"/>
                </w:tcBorders>
                <w:shd w:val="clear" w:color="auto" w:fill="00338D"/>
                <w:vAlign w:val="center"/>
              </w:tcPr>
              <w:p w:rsidR="00B937BF" w:rsidRPr="00E5000B" w:rsidRDefault="00B937BF" w:rsidP="0010488E">
                <w:pPr>
                  <w:pStyle w:val="CoverSubheading"/>
                </w:pPr>
              </w:p>
            </w:tc>
            <w:tc>
              <w:tcPr>
                <w:tcW w:w="10200" w:type="dxa"/>
                <w:tcBorders>
                  <w:right w:val="single" w:sz="4" w:space="0" w:color="999999"/>
                </w:tcBorders>
                <w:shd w:val="clear" w:color="auto" w:fill="auto"/>
                <w:vAlign w:val="center"/>
              </w:tcPr>
              <w:p w:rsidR="00B937BF" w:rsidRPr="00C00253" w:rsidRDefault="00FA2FF9" w:rsidP="0010488E">
                <w:pPr>
                  <w:pStyle w:val="CoverHeading2"/>
                </w:pPr>
                <w:r>
                  <w:t xml:space="preserve">Consultation Paper: </w:t>
                </w:r>
                <w:r w:rsidR="00415F07">
                  <w:t>Modelling illustrative electricity sector emissions reduction policies</w:t>
                </w:r>
              </w:p>
              <w:p w:rsidR="00B937BF" w:rsidRPr="006B5496" w:rsidRDefault="00850B1B" w:rsidP="0010488E">
                <w:pPr>
                  <w:pStyle w:val="CoverSubheading2"/>
                </w:pPr>
                <w:r>
                  <w:t>Climate change Authority</w:t>
                </w:r>
              </w:p>
              <w:p w:rsidR="00B937BF" w:rsidRPr="006B5496" w:rsidRDefault="00B937BF" w:rsidP="0010488E">
                <w:pPr>
                  <w:pStyle w:val="CoverTitle"/>
                </w:pPr>
              </w:p>
              <w:p w:rsidR="00B937BF" w:rsidRPr="00C00253" w:rsidRDefault="00B937BF" w:rsidP="0010488E">
                <w:pPr>
                  <w:pStyle w:val="CoverDate2"/>
                </w:pPr>
              </w:p>
              <w:p w:rsidR="00B937BF" w:rsidRPr="00C00253" w:rsidRDefault="00B937BF" w:rsidP="0010488E">
                <w:pPr>
                  <w:pStyle w:val="CoverDate2"/>
                </w:pPr>
              </w:p>
              <w:p w:rsidR="00B937BF" w:rsidRPr="00E5000B" w:rsidRDefault="00AF7793" w:rsidP="002A0CEE">
                <w:pPr>
                  <w:pStyle w:val="CoverDate2"/>
                </w:pPr>
                <w:r>
                  <w:t xml:space="preserve">29 </w:t>
                </w:r>
                <w:r w:rsidR="00025BCA">
                  <w:t>May 2015</w:t>
                </w:r>
              </w:p>
            </w:tc>
          </w:tr>
          <w:tr w:rsidR="00B937BF" w:rsidRPr="00E5000B" w:rsidTr="0010488E">
            <w:tblPrEx>
              <w:shd w:val="clear" w:color="auto" w:fill="auto"/>
            </w:tblPrEx>
            <w:trPr>
              <w:trHeight w:hRule="exact" w:val="4535"/>
            </w:trPr>
            <w:tc>
              <w:tcPr>
                <w:tcW w:w="567" w:type="dxa"/>
                <w:tcBorders>
                  <w:left w:val="single" w:sz="4" w:space="0" w:color="999999"/>
                  <w:bottom w:val="single" w:sz="4" w:space="0" w:color="999999"/>
                </w:tcBorders>
                <w:shd w:val="clear" w:color="auto" w:fill="00338D"/>
              </w:tcPr>
              <w:p w:rsidR="00B937BF" w:rsidRPr="00E5000B" w:rsidRDefault="00B937BF" w:rsidP="00DB2372">
                <w:pPr>
                  <w:pStyle w:val="Image"/>
                </w:pPr>
              </w:p>
            </w:tc>
            <w:tc>
              <w:tcPr>
                <w:tcW w:w="10200" w:type="dxa"/>
                <w:tcBorders>
                  <w:bottom w:val="single" w:sz="4" w:space="0" w:color="999999"/>
                  <w:right w:val="single" w:sz="4" w:space="0" w:color="999999"/>
                </w:tcBorders>
                <w:shd w:val="clear" w:color="auto" w:fill="auto"/>
              </w:tcPr>
              <w:p w:rsidR="00B937BF" w:rsidRPr="00E5000B" w:rsidRDefault="00B937BF" w:rsidP="00DB2372">
                <w:pPr>
                  <w:pStyle w:val="Image"/>
                </w:pPr>
                <w:r w:rsidRPr="00E5000B">
                  <w:rPr>
                    <w:noProof/>
                    <w:lang w:eastAsia="en-AU"/>
                  </w:rPr>
                  <w:drawing>
                    <wp:inline distT="0" distB="0" distL="0" distR="0" wp14:anchorId="5178FC0C" wp14:editId="296A46F5">
                      <wp:extent cx="6519600" cy="29124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12">
                                <a:extLst>
                                  <a:ext uri="{28A0092B-C50C-407E-A947-70E740481C1C}">
                                    <a14:useLocalDpi xmlns:a14="http://schemas.microsoft.com/office/drawing/2010/main" val="0"/>
                                  </a:ext>
                                </a:extLst>
                              </a:blip>
                              <a:stretch>
                                <a:fillRect/>
                              </a:stretch>
                            </pic:blipFill>
                            <pic:spPr>
                              <a:xfrm>
                                <a:off x="0" y="0"/>
                                <a:ext cx="6519600" cy="2912400"/>
                              </a:xfrm>
                              <a:prstGeom prst="rect">
                                <a:avLst/>
                              </a:prstGeom>
                              <a:noFill/>
                              <a:ln>
                                <a:noFill/>
                              </a:ln>
                            </pic:spPr>
                          </pic:pic>
                        </a:graphicData>
                      </a:graphic>
                    </wp:inline>
                  </w:drawing>
                </w:r>
              </w:p>
            </w:tc>
          </w:tr>
          <w:tr w:rsidR="00B937BF" w:rsidRPr="00E5000B" w:rsidTr="0010488E">
            <w:tblPrEx>
              <w:shd w:val="clear" w:color="auto" w:fill="auto"/>
            </w:tblPrEx>
            <w:trPr>
              <w:trHeight w:hRule="exact" w:val="291"/>
            </w:trPr>
            <w:tc>
              <w:tcPr>
                <w:tcW w:w="567" w:type="dxa"/>
                <w:tcBorders>
                  <w:top w:val="single" w:sz="4" w:space="0" w:color="999999"/>
                </w:tcBorders>
                <w:shd w:val="clear" w:color="auto" w:fill="auto"/>
                <w:vAlign w:val="bottom"/>
              </w:tcPr>
              <w:p w:rsidR="00B937BF" w:rsidRPr="00E5000B" w:rsidRDefault="00B937BF" w:rsidP="000F2DCD">
                <w:pPr>
                  <w:pStyle w:val="Para0"/>
                </w:pPr>
              </w:p>
            </w:tc>
            <w:tc>
              <w:tcPr>
                <w:tcW w:w="10200" w:type="dxa"/>
                <w:tcBorders>
                  <w:top w:val="single" w:sz="4" w:space="0" w:color="999999"/>
                </w:tcBorders>
                <w:shd w:val="clear" w:color="auto" w:fill="auto"/>
                <w:vAlign w:val="bottom"/>
              </w:tcPr>
              <w:p w:rsidR="00B937BF" w:rsidRPr="00E5000B" w:rsidRDefault="00B937BF" w:rsidP="000F2DCD">
                <w:pPr>
                  <w:pStyle w:val="Para0"/>
                </w:pPr>
              </w:p>
            </w:tc>
          </w:tr>
        </w:tbl>
        <w:p w:rsidR="00B937BF" w:rsidRPr="00E5000B" w:rsidRDefault="00B937BF" w:rsidP="000F2DCD">
          <w:pPr>
            <w:pStyle w:val="Para0"/>
            <w:sectPr w:rsidR="00B937BF" w:rsidRPr="00E5000B" w:rsidSect="00B937BF">
              <w:headerReference w:type="even" r:id="rId13"/>
              <w:headerReference w:type="default" r:id="rId14"/>
              <w:footerReference w:type="even" r:id="rId15"/>
              <w:footerReference w:type="default" r:id="rId16"/>
              <w:headerReference w:type="first" r:id="rId17"/>
              <w:footerReference w:type="first" r:id="rId18"/>
              <w:pgSz w:w="11901" w:h="16840" w:code="9"/>
              <w:pgMar w:top="567" w:right="567" w:bottom="567" w:left="567" w:header="567" w:footer="369" w:gutter="0"/>
              <w:cols w:space="0"/>
              <w:formProt w:val="0"/>
              <w:docGrid w:linePitch="360"/>
            </w:sectPr>
          </w:pPr>
          <w:r>
            <w:rPr>
              <w:noProof/>
              <w:lang w:eastAsia="en-AU"/>
            </w:rPr>
            <w:drawing>
              <wp:anchor distT="0" distB="0" distL="114300" distR="114300" simplePos="0" relativeHeight="251659264" behindDoc="0" locked="0" layoutInCell="1" allowOverlap="1" wp14:anchorId="6D30DC60" wp14:editId="068331A2">
                <wp:simplePos x="0" y="0"/>
                <wp:positionH relativeFrom="page">
                  <wp:posOffset>4105910</wp:posOffset>
                </wp:positionH>
                <wp:positionV relativeFrom="page">
                  <wp:posOffset>9172575</wp:posOffset>
                </wp:positionV>
                <wp:extent cx="2549525" cy="952500"/>
                <wp:effectExtent l="0" t="0" r="3175" b="0"/>
                <wp:wrapNone/>
                <wp:docPr id="22" name="SKM Cover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49525" cy="952500"/>
                        </a:xfrm>
                        <a:prstGeom prst="rect">
                          <a:avLst/>
                        </a:prstGeom>
                        <a:noFill/>
                        <a:ln w="9525">
                          <a:noFill/>
                          <a:miter lim="800000"/>
                          <a:headEnd/>
                          <a:tailEnd/>
                        </a:ln>
                      </pic:spPr>
                    </pic:pic>
                  </a:graphicData>
                </a:graphic>
              </wp:anchor>
            </w:drawing>
          </w:r>
        </w:p>
      </w:sdtContent>
    </w:sdt>
    <w:p w:rsidR="00B937BF" w:rsidRDefault="00B937B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6"/>
        <w:gridCol w:w="7760"/>
        <w:gridCol w:w="260"/>
      </w:tblGrid>
      <w:tr w:rsidR="00B937BF" w:rsidRPr="00E5000B" w:rsidTr="00995A1B">
        <w:trPr>
          <w:gridBefore w:val="1"/>
          <w:wBefore w:w="956" w:type="pct"/>
          <w:trHeight w:hRule="exact" w:val="683"/>
        </w:trPr>
        <w:tc>
          <w:tcPr>
            <w:tcW w:w="4044" w:type="pct"/>
            <w:gridSpan w:val="2"/>
          </w:tcPr>
          <w:p w:rsidR="00B937BF" w:rsidRPr="00E5000B" w:rsidRDefault="00181038" w:rsidP="001D19FA">
            <w:pPr>
              <w:pStyle w:val="ProjectName"/>
            </w:pPr>
            <w:r>
              <w:t xml:space="preserve">Modelling </w:t>
            </w:r>
            <w:r w:rsidR="001D19FA">
              <w:t>illustrative e</w:t>
            </w:r>
            <w:r w:rsidR="00850B1B">
              <w:t xml:space="preserve">lectricity </w:t>
            </w:r>
            <w:r w:rsidR="001D19FA">
              <w:t>s</w:t>
            </w:r>
            <w:r w:rsidR="00850B1B">
              <w:t>ector</w:t>
            </w:r>
            <w:r>
              <w:t xml:space="preserve"> </w:t>
            </w:r>
            <w:r w:rsidR="001D19FA">
              <w:t>e</w:t>
            </w:r>
            <w:r w:rsidR="00850B1B">
              <w:t>mission</w:t>
            </w:r>
            <w:r w:rsidR="001D19FA">
              <w:t>s</w:t>
            </w:r>
            <w:r w:rsidR="00850B1B">
              <w:t xml:space="preserve"> </w:t>
            </w:r>
            <w:r w:rsidR="001D19FA">
              <w:t>r</w:t>
            </w:r>
            <w:r w:rsidR="00ED19CE">
              <w:t>eduction</w:t>
            </w:r>
            <w:r w:rsidR="00850B1B">
              <w:t xml:space="preserve"> </w:t>
            </w:r>
            <w:r w:rsidR="001D19FA">
              <w:t>p</w:t>
            </w:r>
            <w:r w:rsidR="00850B1B">
              <w:t>olicies</w:t>
            </w:r>
          </w:p>
        </w:tc>
      </w:tr>
      <w:tr w:rsidR="00995A1B" w:rsidRPr="00E5000B" w:rsidTr="00995A1B">
        <w:trPr>
          <w:gridAfter w:val="1"/>
          <w:wAfter w:w="131" w:type="pct"/>
          <w:trHeight w:val="284"/>
        </w:trPr>
        <w:tc>
          <w:tcPr>
            <w:tcW w:w="956" w:type="pct"/>
          </w:tcPr>
          <w:p w:rsidR="00995A1B" w:rsidRDefault="00995A1B" w:rsidP="0010488E">
            <w:pPr>
              <w:pStyle w:val="Tabletext"/>
              <w:spacing w:before="0"/>
            </w:pPr>
            <w:r>
              <w:t>Project no:</w:t>
            </w:r>
          </w:p>
        </w:tc>
        <w:tc>
          <w:tcPr>
            <w:tcW w:w="3913" w:type="pct"/>
          </w:tcPr>
          <w:p w:rsidR="00995A1B" w:rsidRDefault="00995A1B" w:rsidP="00850B1B">
            <w:pPr>
              <w:pStyle w:val="DocumentTitle"/>
              <w:spacing w:before="0" w:after="0"/>
            </w:pPr>
            <w:r>
              <w:t>RO016500</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t>Document title:</w:t>
            </w:r>
          </w:p>
        </w:tc>
        <w:tc>
          <w:tcPr>
            <w:tcW w:w="3913" w:type="pct"/>
          </w:tcPr>
          <w:p w:rsidR="00B937BF" w:rsidRPr="00C776C3" w:rsidRDefault="00414BBA" w:rsidP="00850B1B">
            <w:pPr>
              <w:pStyle w:val="DocumentTitle"/>
              <w:spacing w:before="0" w:after="0"/>
            </w:pPr>
            <w:r>
              <w:t>Modelling illustrative electricity sector emissions reduction policies</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t>Document no:</w:t>
            </w:r>
          </w:p>
        </w:tc>
        <w:tc>
          <w:tcPr>
            <w:tcW w:w="3913" w:type="pct"/>
          </w:tcPr>
          <w:p w:rsidR="00B937BF" w:rsidRPr="00C776C3" w:rsidRDefault="00995A1B" w:rsidP="0010488E">
            <w:pPr>
              <w:pStyle w:val="Tabletext"/>
              <w:spacing w:before="0"/>
            </w:pPr>
            <w:r>
              <w:t>Final</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rsidRPr="00C776C3">
              <w:t>Revision:</w:t>
            </w:r>
          </w:p>
        </w:tc>
        <w:tc>
          <w:tcPr>
            <w:tcW w:w="3913" w:type="pct"/>
          </w:tcPr>
          <w:p w:rsidR="00B937BF" w:rsidRPr="00C776C3" w:rsidRDefault="00995A1B" w:rsidP="0010488E">
            <w:pPr>
              <w:pStyle w:val="Tabletext"/>
              <w:spacing w:before="0"/>
            </w:pPr>
            <w:r>
              <w:t>1.</w:t>
            </w:r>
            <w:r w:rsidR="002A0CEE">
              <w:t>1</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rsidRPr="00C776C3">
              <w:t>Date:</w:t>
            </w:r>
          </w:p>
        </w:tc>
        <w:tc>
          <w:tcPr>
            <w:tcW w:w="3913" w:type="pct"/>
          </w:tcPr>
          <w:p w:rsidR="00B937BF" w:rsidRPr="00C776C3" w:rsidRDefault="00AF7793" w:rsidP="00850B1B">
            <w:pPr>
              <w:pStyle w:val="Tabletext"/>
              <w:spacing w:before="0"/>
            </w:pPr>
            <w:r>
              <w:t xml:space="preserve">29 </w:t>
            </w:r>
            <w:r w:rsidR="00273E1F">
              <w:t>May 2015</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rsidRPr="00C776C3">
              <w:t>Client name:</w:t>
            </w:r>
          </w:p>
        </w:tc>
        <w:tc>
          <w:tcPr>
            <w:tcW w:w="3913" w:type="pct"/>
          </w:tcPr>
          <w:p w:rsidR="00B937BF" w:rsidRPr="00C00253" w:rsidRDefault="00850B1B" w:rsidP="0010488E">
            <w:pPr>
              <w:pStyle w:val="ClientName"/>
            </w:pPr>
            <w:r>
              <w:t>Climate Change Authority</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rsidRPr="00C776C3">
              <w:t>Project manager:</w:t>
            </w:r>
          </w:p>
        </w:tc>
        <w:tc>
          <w:tcPr>
            <w:tcW w:w="3913" w:type="pct"/>
          </w:tcPr>
          <w:p w:rsidR="00B937BF" w:rsidRPr="00C776C3" w:rsidRDefault="00850B1B" w:rsidP="0010488E">
            <w:pPr>
              <w:pStyle w:val="Tabletext"/>
              <w:spacing w:before="0"/>
            </w:pPr>
            <w:r>
              <w:t>Paul Nidras</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r>
              <w:t>Author:</w:t>
            </w:r>
          </w:p>
        </w:tc>
        <w:tc>
          <w:tcPr>
            <w:tcW w:w="3913" w:type="pct"/>
          </w:tcPr>
          <w:p w:rsidR="00B937BF" w:rsidRPr="00C776C3" w:rsidRDefault="002A0CEE" w:rsidP="00850B1B">
            <w:pPr>
              <w:pStyle w:val="Tabletext"/>
              <w:spacing w:before="0"/>
            </w:pPr>
            <w:r>
              <w:t>Walter Gerardi, Paul Nidras</w:t>
            </w:r>
          </w:p>
        </w:tc>
      </w:tr>
      <w:tr w:rsidR="00B937BF" w:rsidRPr="00E5000B" w:rsidTr="00995A1B">
        <w:trPr>
          <w:gridAfter w:val="1"/>
          <w:wAfter w:w="131" w:type="pct"/>
          <w:trHeight w:val="284"/>
        </w:trPr>
        <w:tc>
          <w:tcPr>
            <w:tcW w:w="956" w:type="pct"/>
          </w:tcPr>
          <w:p w:rsidR="00B937BF" w:rsidRPr="00C776C3" w:rsidRDefault="00B937BF" w:rsidP="0010488E">
            <w:pPr>
              <w:pStyle w:val="Tabletext"/>
              <w:spacing w:before="0"/>
            </w:pPr>
          </w:p>
        </w:tc>
        <w:tc>
          <w:tcPr>
            <w:tcW w:w="3913" w:type="pct"/>
          </w:tcPr>
          <w:p w:rsidR="00B937BF" w:rsidRPr="00C776C3" w:rsidRDefault="00B937BF" w:rsidP="0010488E">
            <w:pPr>
              <w:pStyle w:val="Tabletext"/>
              <w:spacing w:before="0"/>
            </w:pPr>
          </w:p>
        </w:tc>
      </w:tr>
      <w:tr w:rsidR="00B937BF" w:rsidRPr="00E5000B" w:rsidTr="00995A1B">
        <w:trPr>
          <w:gridAfter w:val="1"/>
          <w:wAfter w:w="131" w:type="pct"/>
          <w:trHeight w:hRule="exact" w:val="122"/>
        </w:trPr>
        <w:tc>
          <w:tcPr>
            <w:tcW w:w="4869" w:type="pct"/>
            <w:gridSpan w:val="2"/>
          </w:tcPr>
          <w:p w:rsidR="00B937BF" w:rsidRPr="00E5000B" w:rsidRDefault="00B937BF" w:rsidP="0010488E">
            <w:pPr>
              <w:pStyle w:val="Tabletext"/>
            </w:pPr>
          </w:p>
        </w:tc>
      </w:tr>
      <w:tr w:rsidR="00B937BF" w:rsidRPr="00E5000B" w:rsidTr="00995A1B">
        <w:trPr>
          <w:gridAfter w:val="1"/>
          <w:wAfter w:w="131" w:type="pct"/>
          <w:trHeight w:val="2278"/>
        </w:trPr>
        <w:tc>
          <w:tcPr>
            <w:tcW w:w="4869" w:type="pct"/>
            <w:gridSpan w:val="2"/>
          </w:tcPr>
          <w:p w:rsidR="00B937BF" w:rsidRDefault="00A11809" w:rsidP="0010488E">
            <w:pPr>
              <w:pStyle w:val="Tabletext"/>
              <w:spacing w:before="0" w:after="0"/>
            </w:pPr>
            <w:r>
              <w:fldChar w:fldCharType="begin"/>
            </w:r>
            <w:r>
              <w:instrText xml:space="preserve"> DOCVARIABLE  Add1  \* MERGEFORMAT </w:instrText>
            </w:r>
            <w:r>
              <w:fldChar w:fldCharType="separate"/>
            </w:r>
            <w:r w:rsidR="00921606">
              <w:t>Jacobs Group (Australia) Pty Limited</w:t>
            </w:r>
            <w:r>
              <w:fldChar w:fldCharType="end"/>
            </w:r>
            <w:r w:rsidR="00B937BF" w:rsidRPr="00E5000B">
              <w:br/>
            </w:r>
            <w:r>
              <w:fldChar w:fldCharType="begin"/>
            </w:r>
            <w:r>
              <w:instrText xml:space="preserve"> DOCVARIABLE  CoverBusinessRegoNo  \* MERGEFORMAT </w:instrText>
            </w:r>
            <w:r>
              <w:fldChar w:fldCharType="separate"/>
            </w:r>
            <w:r w:rsidR="00921606">
              <w:t>ABN 37 001 024 095</w:t>
            </w:r>
            <w:r>
              <w:fldChar w:fldCharType="end"/>
            </w:r>
            <w:r w:rsidR="00B937BF">
              <w:br/>
            </w:r>
            <w:r>
              <w:fldChar w:fldCharType="begin"/>
            </w:r>
            <w:r>
              <w:instrText xml:space="preserve"> DOCVARIABLE  Add2  \* MERGEFORMAT </w:instrText>
            </w:r>
            <w:r>
              <w:fldChar w:fldCharType="separate"/>
            </w:r>
            <w:r w:rsidR="00921606">
              <w:t>Floor 11, 452 Flinders Street</w:t>
            </w:r>
            <w:r>
              <w:fldChar w:fldCharType="end"/>
            </w:r>
            <w:r w:rsidR="00B937BF" w:rsidRPr="00E5000B">
              <w:br/>
            </w:r>
            <w:r>
              <w:fldChar w:fldCharType="begin"/>
            </w:r>
            <w:r>
              <w:instrText xml:space="preserve"> DOCVARIABLE  Add3  \* MERGEFORMAT </w:instrText>
            </w:r>
            <w:r>
              <w:fldChar w:fldCharType="separate"/>
            </w:r>
            <w:r w:rsidR="00921606">
              <w:t>Melbourne VIC 3000</w:t>
            </w:r>
            <w:r>
              <w:fldChar w:fldCharType="end"/>
            </w:r>
            <w:r w:rsidR="00B937BF" w:rsidRPr="00E5000B">
              <w:br/>
            </w:r>
            <w:r>
              <w:fldChar w:fldCharType="begin"/>
            </w:r>
            <w:r>
              <w:instrText xml:space="preserve"> DOCVARIABLE  Add4  \* MERGEFORMAT </w:instrText>
            </w:r>
            <w:r>
              <w:fldChar w:fldCharType="separate"/>
            </w:r>
            <w:r w:rsidR="00921606">
              <w:t>PO Box 312, Flinders Lane</w:t>
            </w:r>
            <w:r>
              <w:fldChar w:fldCharType="end"/>
            </w:r>
          </w:p>
          <w:p w:rsidR="00B937BF" w:rsidRPr="00E5000B" w:rsidRDefault="00A11809" w:rsidP="0010488E">
            <w:pPr>
              <w:pStyle w:val="Tabletext"/>
              <w:spacing w:before="0" w:after="0"/>
            </w:pPr>
            <w:r>
              <w:fldChar w:fldCharType="begin"/>
            </w:r>
            <w:r>
              <w:instrText xml:space="preserve"> DOCVARIABLE  Phone  \* MERGEFORMAT </w:instrText>
            </w:r>
            <w:r>
              <w:fldChar w:fldCharType="separate"/>
            </w:r>
            <w:r w:rsidR="00921606">
              <w:t>T +61 3 8668 3000</w:t>
            </w:r>
            <w:r>
              <w:fldChar w:fldCharType="end"/>
            </w:r>
            <w:r w:rsidR="00B937BF">
              <w:br/>
            </w:r>
            <w:r>
              <w:fldChar w:fldCharType="begin"/>
            </w:r>
            <w:r>
              <w:instrText xml:space="preserve"> DOCVARIAB</w:instrText>
            </w:r>
            <w:r>
              <w:instrText xml:space="preserve">LE  Fax  \* MERGEFORMAT </w:instrText>
            </w:r>
            <w:r>
              <w:fldChar w:fldCharType="separate"/>
            </w:r>
            <w:r w:rsidR="00921606">
              <w:t>F +61 3 8668 3001</w:t>
            </w:r>
            <w:r>
              <w:fldChar w:fldCharType="end"/>
            </w:r>
            <w:r w:rsidR="00B937BF">
              <w:br/>
            </w:r>
            <w:r>
              <w:fldChar w:fldCharType="begin"/>
            </w:r>
            <w:r>
              <w:instrText xml:space="preserve"> DOCVARIABLE  Web  \* MERGEFORMAT </w:instrText>
            </w:r>
            <w:r>
              <w:fldChar w:fldCharType="separate"/>
            </w:r>
            <w:r w:rsidR="00921606">
              <w:t>www.jacobs.com</w:t>
            </w:r>
            <w:r>
              <w:fldChar w:fldCharType="end"/>
            </w:r>
          </w:p>
        </w:tc>
      </w:tr>
      <w:tr w:rsidR="00B937BF" w:rsidRPr="00E5000B" w:rsidTr="00995A1B">
        <w:trPr>
          <w:gridAfter w:val="1"/>
          <w:wAfter w:w="131" w:type="pct"/>
          <w:trHeight w:val="1110"/>
        </w:trPr>
        <w:tc>
          <w:tcPr>
            <w:tcW w:w="4869" w:type="pct"/>
            <w:gridSpan w:val="2"/>
            <w:tcMar>
              <w:left w:w="28" w:type="dxa"/>
              <w:right w:w="28" w:type="dxa"/>
            </w:tcMar>
          </w:tcPr>
          <w:p w:rsidR="00B937BF" w:rsidRPr="00C776C3" w:rsidRDefault="00B937BF" w:rsidP="0010488E">
            <w:pPr>
              <w:pStyle w:val="CopyrightInfo"/>
            </w:pPr>
            <w:r w:rsidRPr="00E5000B">
              <w:t xml:space="preserve">COPYRIGHT: The concepts and information contained in this document are the property of </w:t>
            </w:r>
            <w:r>
              <w:fldChar w:fldCharType="begin"/>
            </w:r>
            <w:r>
              <w:instrText xml:space="preserve"> DOCVARIABLE  </w:instrText>
            </w:r>
            <w:r w:rsidRPr="00C867C8">
              <w:instrText>CoverCopy</w:instrText>
            </w:r>
            <w:r>
              <w:instrText>r</w:instrText>
            </w:r>
            <w:r w:rsidRPr="00C867C8">
              <w:instrText>ight</w:instrText>
            </w:r>
            <w:r>
              <w:instrText xml:space="preserve">  \* MERGEFORMAT </w:instrText>
            </w:r>
            <w:r>
              <w:fldChar w:fldCharType="separate"/>
            </w:r>
            <w:r w:rsidR="00921606">
              <w:t>Jacobs Group (Australia) Pty Limited</w:t>
            </w:r>
            <w:r>
              <w:fldChar w:fldCharType="end"/>
            </w:r>
            <w:r w:rsidRPr="00E5000B">
              <w:t xml:space="preserve">. Use or copying of this document in whole or in part without the written permission of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w:t>
            </w:r>
            <w:r w:rsidRPr="00E5000B">
              <w:t>constitutes an infringement of copyright.</w:t>
            </w:r>
          </w:p>
        </w:tc>
      </w:tr>
    </w:tbl>
    <w:p w:rsidR="00B937BF" w:rsidRPr="003552CE" w:rsidRDefault="00B937BF" w:rsidP="00395BA0">
      <w:pPr>
        <w:pStyle w:val="Contents"/>
      </w:pPr>
      <w:r w:rsidRPr="00E5000B">
        <w:lastRenderedPageBreak/>
        <w:t>Contents</w:t>
      </w:r>
    </w:p>
    <w:sdt>
      <w:sdtPr>
        <w:rPr>
          <w:b w:val="0"/>
          <w:noProof w:val="0"/>
        </w:rPr>
        <w:id w:val="243461376"/>
        <w:docPartObj>
          <w:docPartGallery w:val="Table of Contents"/>
          <w:docPartUnique/>
        </w:docPartObj>
      </w:sdtPr>
      <w:sdtEndPr>
        <w:rPr>
          <w:b/>
          <w:noProof/>
        </w:rPr>
      </w:sdtEndPr>
      <w:sdtContent>
        <w:p w:rsidR="005D41D4" w:rsidRDefault="00B937BF">
          <w:pPr>
            <w:pStyle w:val="TOC1"/>
            <w:rPr>
              <w:rFonts w:asciiTheme="minorHAnsi" w:hAnsiTheme="minorHAnsi"/>
              <w:b w:val="0"/>
              <w:sz w:val="22"/>
              <w:szCs w:val="22"/>
              <w:lang w:eastAsia="en-AU"/>
            </w:rPr>
          </w:pPr>
          <w:r>
            <w:fldChar w:fldCharType="begin"/>
          </w:r>
          <w:r>
            <w:instrText xml:space="preserve"> TOC \o "1-1" \t "Heading 2,2,Heading 3,3,Heading 4,3,Summary,1" </w:instrText>
          </w:r>
          <w:r>
            <w:fldChar w:fldCharType="separate"/>
          </w:r>
          <w:r w:rsidR="005D41D4">
            <w:t>Abbreviations</w:t>
          </w:r>
          <w:r w:rsidR="005D41D4">
            <w:tab/>
          </w:r>
          <w:r w:rsidR="005D41D4">
            <w:fldChar w:fldCharType="begin"/>
          </w:r>
          <w:r w:rsidR="005D41D4">
            <w:instrText xml:space="preserve"> PAGEREF _Toc420660036 \h </w:instrText>
          </w:r>
          <w:r w:rsidR="005D41D4">
            <w:fldChar w:fldCharType="separate"/>
          </w:r>
          <w:r w:rsidR="00014844">
            <w:t>1</w:t>
          </w:r>
          <w:r w:rsidR="005D41D4">
            <w:fldChar w:fldCharType="end"/>
          </w:r>
        </w:p>
        <w:p w:rsidR="005D41D4" w:rsidRDefault="005D41D4">
          <w:pPr>
            <w:pStyle w:val="TOC1"/>
            <w:rPr>
              <w:rFonts w:asciiTheme="minorHAnsi" w:hAnsiTheme="minorHAnsi"/>
              <w:b w:val="0"/>
              <w:sz w:val="22"/>
              <w:szCs w:val="22"/>
              <w:lang w:eastAsia="en-AU"/>
            </w:rPr>
          </w:pPr>
          <w:r>
            <w:t>1.</w:t>
          </w:r>
          <w:r>
            <w:rPr>
              <w:rFonts w:asciiTheme="minorHAnsi" w:hAnsiTheme="minorHAnsi"/>
              <w:b w:val="0"/>
              <w:sz w:val="22"/>
              <w:szCs w:val="22"/>
              <w:lang w:eastAsia="en-AU"/>
            </w:rPr>
            <w:tab/>
          </w:r>
          <w:r>
            <w:t>Introduction</w:t>
          </w:r>
          <w:r>
            <w:tab/>
          </w:r>
          <w:r>
            <w:fldChar w:fldCharType="begin"/>
          </w:r>
          <w:r>
            <w:instrText xml:space="preserve"> PAGEREF _Toc420660037 \h </w:instrText>
          </w:r>
          <w:r>
            <w:fldChar w:fldCharType="separate"/>
          </w:r>
          <w:r w:rsidR="00014844">
            <w:t>4</w:t>
          </w:r>
          <w:r>
            <w:fldChar w:fldCharType="end"/>
          </w:r>
        </w:p>
        <w:p w:rsidR="005D41D4" w:rsidRDefault="005D41D4">
          <w:pPr>
            <w:pStyle w:val="TOC2"/>
            <w:rPr>
              <w:rFonts w:asciiTheme="minorHAnsi" w:hAnsiTheme="minorHAnsi"/>
              <w:sz w:val="22"/>
              <w:szCs w:val="22"/>
              <w:lang w:eastAsia="en-AU"/>
            </w:rPr>
          </w:pPr>
          <w:r>
            <w:t>1.1</w:t>
          </w:r>
          <w:r>
            <w:rPr>
              <w:rFonts w:asciiTheme="minorHAnsi" w:hAnsiTheme="minorHAnsi"/>
              <w:sz w:val="22"/>
              <w:szCs w:val="22"/>
              <w:lang w:eastAsia="en-AU"/>
            </w:rPr>
            <w:tab/>
          </w:r>
          <w:r>
            <w:t>Climate Change Authority’s Special Review and the electricity sector</w:t>
          </w:r>
          <w:r>
            <w:tab/>
          </w:r>
          <w:r>
            <w:fldChar w:fldCharType="begin"/>
          </w:r>
          <w:r>
            <w:instrText xml:space="preserve"> PAGEREF _Toc420660038 \h </w:instrText>
          </w:r>
          <w:r>
            <w:fldChar w:fldCharType="separate"/>
          </w:r>
          <w:r w:rsidR="00014844">
            <w:t>4</w:t>
          </w:r>
          <w:r>
            <w:fldChar w:fldCharType="end"/>
          </w:r>
        </w:p>
        <w:p w:rsidR="005D41D4" w:rsidRDefault="005D41D4">
          <w:pPr>
            <w:pStyle w:val="TOC2"/>
            <w:rPr>
              <w:rFonts w:asciiTheme="minorHAnsi" w:hAnsiTheme="minorHAnsi"/>
              <w:sz w:val="22"/>
              <w:szCs w:val="22"/>
              <w:lang w:eastAsia="en-AU"/>
            </w:rPr>
          </w:pPr>
          <w:r>
            <w:t>1.2</w:t>
          </w:r>
          <w:r>
            <w:rPr>
              <w:rFonts w:asciiTheme="minorHAnsi" w:hAnsiTheme="minorHAnsi"/>
              <w:sz w:val="22"/>
              <w:szCs w:val="22"/>
              <w:lang w:eastAsia="en-AU"/>
            </w:rPr>
            <w:tab/>
          </w:r>
          <w:r>
            <w:t>Context for this modelling</w:t>
          </w:r>
          <w:r>
            <w:tab/>
          </w:r>
          <w:r>
            <w:fldChar w:fldCharType="begin"/>
          </w:r>
          <w:r>
            <w:instrText xml:space="preserve"> PAGEREF _Toc420660039 \h </w:instrText>
          </w:r>
          <w:r>
            <w:fldChar w:fldCharType="separate"/>
          </w:r>
          <w:r w:rsidR="00014844">
            <w:t>4</w:t>
          </w:r>
          <w:r>
            <w:fldChar w:fldCharType="end"/>
          </w:r>
        </w:p>
        <w:p w:rsidR="005D41D4" w:rsidRDefault="005D41D4">
          <w:pPr>
            <w:pStyle w:val="TOC1"/>
            <w:rPr>
              <w:rFonts w:asciiTheme="minorHAnsi" w:hAnsiTheme="minorHAnsi"/>
              <w:b w:val="0"/>
              <w:sz w:val="22"/>
              <w:szCs w:val="22"/>
              <w:lang w:eastAsia="en-AU"/>
            </w:rPr>
          </w:pPr>
          <w:r>
            <w:t>2.</w:t>
          </w:r>
          <w:r>
            <w:rPr>
              <w:rFonts w:asciiTheme="minorHAnsi" w:hAnsiTheme="minorHAnsi"/>
              <w:b w:val="0"/>
              <w:sz w:val="22"/>
              <w:szCs w:val="22"/>
              <w:lang w:eastAsia="en-AU"/>
            </w:rPr>
            <w:tab/>
          </w:r>
          <w:r>
            <w:t>Scenarios to be modelled</w:t>
          </w:r>
          <w:r>
            <w:tab/>
          </w:r>
          <w:r>
            <w:fldChar w:fldCharType="begin"/>
          </w:r>
          <w:r>
            <w:instrText xml:space="preserve"> PAGEREF _Toc420660040 \h </w:instrText>
          </w:r>
          <w:r>
            <w:fldChar w:fldCharType="separate"/>
          </w:r>
          <w:r w:rsidR="00014844">
            <w:t>6</w:t>
          </w:r>
          <w:r>
            <w:fldChar w:fldCharType="end"/>
          </w:r>
        </w:p>
        <w:p w:rsidR="005D41D4" w:rsidRDefault="005D41D4">
          <w:pPr>
            <w:pStyle w:val="TOC2"/>
            <w:rPr>
              <w:rFonts w:asciiTheme="minorHAnsi" w:hAnsiTheme="minorHAnsi"/>
              <w:sz w:val="22"/>
              <w:szCs w:val="22"/>
              <w:lang w:eastAsia="en-AU"/>
            </w:rPr>
          </w:pPr>
          <w:r w:rsidRPr="00880F8B">
            <w:rPr>
              <w:rFonts w:eastAsiaTheme="minorHAnsi"/>
            </w:rPr>
            <w:t>2.1</w:t>
          </w:r>
          <w:r>
            <w:rPr>
              <w:rFonts w:asciiTheme="minorHAnsi" w:hAnsiTheme="minorHAnsi"/>
              <w:sz w:val="22"/>
              <w:szCs w:val="22"/>
              <w:lang w:eastAsia="en-AU"/>
            </w:rPr>
            <w:tab/>
          </w:r>
          <w:r w:rsidRPr="00880F8B">
            <w:rPr>
              <w:rFonts w:eastAsiaTheme="minorHAnsi"/>
            </w:rPr>
            <w:t>Overview and common features</w:t>
          </w:r>
          <w:r>
            <w:tab/>
          </w:r>
          <w:r>
            <w:fldChar w:fldCharType="begin"/>
          </w:r>
          <w:r>
            <w:instrText xml:space="preserve"> PAGEREF _Toc420660041 \h </w:instrText>
          </w:r>
          <w:r>
            <w:fldChar w:fldCharType="separate"/>
          </w:r>
          <w:r w:rsidR="00014844">
            <w:t>6</w:t>
          </w:r>
          <w:r>
            <w:fldChar w:fldCharType="end"/>
          </w:r>
        </w:p>
        <w:p w:rsidR="005D41D4" w:rsidRDefault="005D41D4">
          <w:pPr>
            <w:pStyle w:val="TOC2"/>
            <w:rPr>
              <w:rFonts w:asciiTheme="minorHAnsi" w:hAnsiTheme="minorHAnsi"/>
              <w:sz w:val="22"/>
              <w:szCs w:val="22"/>
              <w:lang w:eastAsia="en-AU"/>
            </w:rPr>
          </w:pPr>
          <w:r w:rsidRPr="00880F8B">
            <w:rPr>
              <w:rFonts w:eastAsiaTheme="minorHAnsi"/>
            </w:rPr>
            <w:t>2.2</w:t>
          </w:r>
          <w:r>
            <w:rPr>
              <w:rFonts w:asciiTheme="minorHAnsi" w:hAnsiTheme="minorHAnsi"/>
              <w:sz w:val="22"/>
              <w:szCs w:val="22"/>
              <w:lang w:eastAsia="en-AU"/>
            </w:rPr>
            <w:tab/>
          </w:r>
          <w:r w:rsidRPr="00880F8B">
            <w:rPr>
              <w:rFonts w:eastAsiaTheme="minorHAnsi"/>
            </w:rPr>
            <w:t>Detailed descriptions</w:t>
          </w:r>
          <w:r>
            <w:tab/>
          </w:r>
          <w:r>
            <w:fldChar w:fldCharType="begin"/>
          </w:r>
          <w:r>
            <w:instrText xml:space="preserve"> PAGEREF _Toc420660042 \h </w:instrText>
          </w:r>
          <w:r>
            <w:fldChar w:fldCharType="separate"/>
          </w:r>
          <w:r w:rsidR="00014844">
            <w:t>7</w:t>
          </w:r>
          <w:r>
            <w:fldChar w:fldCharType="end"/>
          </w:r>
        </w:p>
        <w:p w:rsidR="005D41D4" w:rsidRDefault="005D41D4">
          <w:pPr>
            <w:pStyle w:val="TOC3"/>
            <w:rPr>
              <w:rFonts w:asciiTheme="minorHAnsi" w:hAnsiTheme="minorHAnsi"/>
              <w:sz w:val="22"/>
              <w:szCs w:val="22"/>
              <w:lang w:eastAsia="en-AU"/>
            </w:rPr>
          </w:pPr>
          <w:r w:rsidRPr="00880F8B">
            <w:rPr>
              <w:rFonts w:eastAsiaTheme="minorHAnsi"/>
            </w:rPr>
            <w:t>Reference case</w:t>
          </w:r>
          <w:r>
            <w:tab/>
          </w:r>
          <w:r>
            <w:fldChar w:fldCharType="begin"/>
          </w:r>
          <w:r>
            <w:instrText xml:space="preserve"> PAGEREF _Toc420660043 \h </w:instrText>
          </w:r>
          <w:r>
            <w:fldChar w:fldCharType="separate"/>
          </w:r>
          <w:r w:rsidR="00014844">
            <w:t>7</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1: RET only</w:t>
          </w:r>
          <w:r>
            <w:tab/>
          </w:r>
          <w:r>
            <w:fldChar w:fldCharType="begin"/>
          </w:r>
          <w:r>
            <w:instrText xml:space="preserve"> PAGEREF _Toc420660044 \h </w:instrText>
          </w:r>
          <w:r>
            <w:fldChar w:fldCharType="separate"/>
          </w:r>
          <w:r w:rsidR="00014844">
            <w:t>7</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2: Low emissions target (LET)</w:t>
          </w:r>
          <w:r>
            <w:tab/>
          </w:r>
          <w:r>
            <w:fldChar w:fldCharType="begin"/>
          </w:r>
          <w:r>
            <w:instrText xml:space="preserve"> PAGEREF _Toc420660045 \h </w:instrText>
          </w:r>
          <w:r>
            <w:fldChar w:fldCharType="separate"/>
          </w:r>
          <w:r w:rsidR="00014844">
            <w:t>8</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3A: Cap and trade</w:t>
          </w:r>
          <w:r>
            <w:tab/>
          </w:r>
          <w:r>
            <w:fldChar w:fldCharType="begin"/>
          </w:r>
          <w:r>
            <w:instrText xml:space="preserve"> PAGEREF _Toc420660046 \h </w:instrText>
          </w:r>
          <w:r>
            <w:fldChar w:fldCharType="separate"/>
          </w:r>
          <w:r w:rsidR="00014844">
            <w:t>8</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3B: Carbon tax</w:t>
          </w:r>
          <w:r>
            <w:tab/>
          </w:r>
          <w:r>
            <w:fldChar w:fldCharType="begin"/>
          </w:r>
          <w:r>
            <w:instrText xml:space="preserve"> PAGEREF _Toc420660047 \h </w:instrText>
          </w:r>
          <w:r>
            <w:fldChar w:fldCharType="separate"/>
          </w:r>
          <w:r w:rsidR="00014844">
            <w:t>8</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4: Absolute baselines</w:t>
          </w:r>
          <w:r>
            <w:tab/>
          </w:r>
          <w:r>
            <w:fldChar w:fldCharType="begin"/>
          </w:r>
          <w:r>
            <w:instrText xml:space="preserve"> PAGEREF _Toc420660048 \h </w:instrText>
          </w:r>
          <w:r>
            <w:fldChar w:fldCharType="separate"/>
          </w:r>
          <w:r w:rsidR="00014844">
            <w:t>9</w:t>
          </w:r>
          <w:r>
            <w:fldChar w:fldCharType="end"/>
          </w:r>
        </w:p>
        <w:p w:rsidR="005D41D4" w:rsidRDefault="005D41D4">
          <w:pPr>
            <w:pStyle w:val="TOC3"/>
            <w:rPr>
              <w:rFonts w:asciiTheme="minorHAnsi" w:hAnsiTheme="minorHAnsi"/>
              <w:sz w:val="22"/>
              <w:szCs w:val="22"/>
              <w:lang w:eastAsia="en-AU"/>
            </w:rPr>
          </w:pPr>
          <w:r>
            <w:t>Policy scenario 5: Intensity target</w:t>
          </w:r>
          <w:r>
            <w:tab/>
          </w:r>
          <w:r>
            <w:fldChar w:fldCharType="begin"/>
          </w:r>
          <w:r>
            <w:instrText xml:space="preserve"> PAGEREF _Toc420660049 \h </w:instrText>
          </w:r>
          <w:r>
            <w:fldChar w:fldCharType="separate"/>
          </w:r>
          <w:r w:rsidR="00014844">
            <w:t>9</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6: Regulatory approach</w:t>
          </w:r>
          <w:r>
            <w:tab/>
          </w:r>
          <w:r>
            <w:fldChar w:fldCharType="begin"/>
          </w:r>
          <w:r>
            <w:instrText xml:space="preserve"> PAGEREF _Toc420660050 \h </w:instrText>
          </w:r>
          <w:r>
            <w:fldChar w:fldCharType="separate"/>
          </w:r>
          <w:r w:rsidR="00014844">
            <w:t>9</w:t>
          </w:r>
          <w:r>
            <w:fldChar w:fldCharType="end"/>
          </w:r>
        </w:p>
        <w:p w:rsidR="005D41D4" w:rsidRDefault="005D41D4">
          <w:pPr>
            <w:pStyle w:val="TOC3"/>
            <w:rPr>
              <w:rFonts w:asciiTheme="minorHAnsi" w:hAnsiTheme="minorHAnsi"/>
              <w:sz w:val="22"/>
              <w:szCs w:val="22"/>
              <w:lang w:eastAsia="en-AU"/>
            </w:rPr>
          </w:pPr>
          <w:r w:rsidRPr="00880F8B">
            <w:rPr>
              <w:rFonts w:eastAsiaTheme="minorHAnsi"/>
            </w:rPr>
            <w:t>Policy scenario 7: Feed-in tariffs (FiT) with contracts for differences (CfD)</w:t>
          </w:r>
          <w:r>
            <w:tab/>
          </w:r>
          <w:r>
            <w:fldChar w:fldCharType="begin"/>
          </w:r>
          <w:r>
            <w:instrText xml:space="preserve"> PAGEREF _Toc420660051 \h </w:instrText>
          </w:r>
          <w:r>
            <w:fldChar w:fldCharType="separate"/>
          </w:r>
          <w:r w:rsidR="00014844">
            <w:t>10</w:t>
          </w:r>
          <w:r>
            <w:fldChar w:fldCharType="end"/>
          </w:r>
        </w:p>
        <w:p w:rsidR="005D41D4" w:rsidRDefault="005D41D4">
          <w:pPr>
            <w:pStyle w:val="TOC1"/>
            <w:rPr>
              <w:rFonts w:asciiTheme="minorHAnsi" w:hAnsiTheme="minorHAnsi"/>
              <w:b w:val="0"/>
              <w:sz w:val="22"/>
              <w:szCs w:val="22"/>
              <w:lang w:eastAsia="en-AU"/>
            </w:rPr>
          </w:pPr>
          <w:r>
            <w:t>3.</w:t>
          </w:r>
          <w:r>
            <w:rPr>
              <w:rFonts w:asciiTheme="minorHAnsi" w:hAnsiTheme="minorHAnsi"/>
              <w:b w:val="0"/>
              <w:sz w:val="22"/>
              <w:szCs w:val="22"/>
              <w:lang w:eastAsia="en-AU"/>
            </w:rPr>
            <w:tab/>
          </w:r>
          <w:r>
            <w:t>Modelling Approach</w:t>
          </w:r>
          <w:r>
            <w:tab/>
          </w:r>
          <w:r>
            <w:fldChar w:fldCharType="begin"/>
          </w:r>
          <w:r>
            <w:instrText xml:space="preserve"> PAGEREF _Toc420660052 \h </w:instrText>
          </w:r>
          <w:r>
            <w:fldChar w:fldCharType="separate"/>
          </w:r>
          <w:r w:rsidR="00014844">
            <w:t>12</w:t>
          </w:r>
          <w:r>
            <w:fldChar w:fldCharType="end"/>
          </w:r>
        </w:p>
        <w:p w:rsidR="005D41D4" w:rsidRDefault="005D41D4">
          <w:pPr>
            <w:pStyle w:val="TOC2"/>
            <w:rPr>
              <w:rFonts w:asciiTheme="minorHAnsi" w:hAnsiTheme="minorHAnsi"/>
              <w:sz w:val="22"/>
              <w:szCs w:val="22"/>
              <w:lang w:eastAsia="en-AU"/>
            </w:rPr>
          </w:pPr>
          <w:r>
            <w:t>3.1</w:t>
          </w:r>
          <w:r>
            <w:rPr>
              <w:rFonts w:asciiTheme="minorHAnsi" w:hAnsiTheme="minorHAnsi"/>
              <w:sz w:val="22"/>
              <w:szCs w:val="22"/>
              <w:lang w:eastAsia="en-AU"/>
            </w:rPr>
            <w:tab/>
          </w:r>
          <w:r>
            <w:t>Models used</w:t>
          </w:r>
          <w:r>
            <w:tab/>
          </w:r>
          <w:r>
            <w:fldChar w:fldCharType="begin"/>
          </w:r>
          <w:r>
            <w:instrText xml:space="preserve"> PAGEREF _Toc420660053 \h </w:instrText>
          </w:r>
          <w:r>
            <w:fldChar w:fldCharType="separate"/>
          </w:r>
          <w:r w:rsidR="00014844">
            <w:t>12</w:t>
          </w:r>
          <w:r>
            <w:fldChar w:fldCharType="end"/>
          </w:r>
        </w:p>
        <w:p w:rsidR="005D41D4" w:rsidRDefault="005D41D4">
          <w:pPr>
            <w:pStyle w:val="TOC2"/>
            <w:rPr>
              <w:rFonts w:asciiTheme="minorHAnsi" w:hAnsiTheme="minorHAnsi"/>
              <w:sz w:val="22"/>
              <w:szCs w:val="22"/>
              <w:lang w:eastAsia="en-AU"/>
            </w:rPr>
          </w:pPr>
          <w:r>
            <w:t>3.2</w:t>
          </w:r>
          <w:r>
            <w:rPr>
              <w:rFonts w:asciiTheme="minorHAnsi" w:hAnsiTheme="minorHAnsi"/>
              <w:sz w:val="22"/>
              <w:szCs w:val="22"/>
              <w:lang w:eastAsia="en-AU"/>
            </w:rPr>
            <w:tab/>
          </w:r>
          <w:r>
            <w:t>Emissions constraint</w:t>
          </w:r>
          <w:r>
            <w:tab/>
          </w:r>
          <w:r>
            <w:fldChar w:fldCharType="begin"/>
          </w:r>
          <w:r>
            <w:instrText xml:space="preserve"> PAGEREF _Toc420660054 \h </w:instrText>
          </w:r>
          <w:r>
            <w:fldChar w:fldCharType="separate"/>
          </w:r>
          <w:r w:rsidR="00014844">
            <w:t>13</w:t>
          </w:r>
          <w:r>
            <w:fldChar w:fldCharType="end"/>
          </w:r>
        </w:p>
        <w:p w:rsidR="005D41D4" w:rsidRDefault="005D41D4">
          <w:pPr>
            <w:pStyle w:val="TOC2"/>
            <w:rPr>
              <w:rFonts w:asciiTheme="minorHAnsi" w:hAnsiTheme="minorHAnsi"/>
              <w:sz w:val="22"/>
              <w:szCs w:val="22"/>
              <w:lang w:eastAsia="en-AU"/>
            </w:rPr>
          </w:pPr>
          <w:r>
            <w:t>3.3</w:t>
          </w:r>
          <w:r>
            <w:rPr>
              <w:rFonts w:asciiTheme="minorHAnsi" w:hAnsiTheme="minorHAnsi"/>
              <w:sz w:val="22"/>
              <w:szCs w:val="22"/>
              <w:lang w:eastAsia="en-AU"/>
            </w:rPr>
            <w:tab/>
          </w:r>
          <w:r>
            <w:t>Electricity demand</w:t>
          </w:r>
          <w:r>
            <w:tab/>
          </w:r>
          <w:r>
            <w:fldChar w:fldCharType="begin"/>
          </w:r>
          <w:r>
            <w:instrText xml:space="preserve"> PAGEREF _Toc420660055 \h </w:instrText>
          </w:r>
          <w:r>
            <w:fldChar w:fldCharType="separate"/>
          </w:r>
          <w:r w:rsidR="00014844">
            <w:t>14</w:t>
          </w:r>
          <w:r>
            <w:fldChar w:fldCharType="end"/>
          </w:r>
        </w:p>
        <w:p w:rsidR="005D41D4" w:rsidRDefault="005D41D4">
          <w:pPr>
            <w:pStyle w:val="TOC2"/>
            <w:rPr>
              <w:rFonts w:asciiTheme="minorHAnsi" w:hAnsiTheme="minorHAnsi"/>
              <w:sz w:val="22"/>
              <w:szCs w:val="22"/>
              <w:lang w:eastAsia="en-AU"/>
            </w:rPr>
          </w:pPr>
          <w:r>
            <w:t>3.4</w:t>
          </w:r>
          <w:r>
            <w:rPr>
              <w:rFonts w:asciiTheme="minorHAnsi" w:hAnsiTheme="minorHAnsi"/>
              <w:sz w:val="22"/>
              <w:szCs w:val="22"/>
              <w:lang w:eastAsia="en-AU"/>
            </w:rPr>
            <w:tab/>
          </w:r>
          <w:r>
            <w:t>Other assumptions</w:t>
          </w:r>
          <w:r>
            <w:tab/>
          </w:r>
          <w:r>
            <w:fldChar w:fldCharType="begin"/>
          </w:r>
          <w:r>
            <w:instrText xml:space="preserve"> PAGEREF _Toc420660056 \h </w:instrText>
          </w:r>
          <w:r>
            <w:fldChar w:fldCharType="separate"/>
          </w:r>
          <w:r w:rsidR="00014844">
            <w:t>15</w:t>
          </w:r>
          <w:r>
            <w:fldChar w:fldCharType="end"/>
          </w:r>
        </w:p>
        <w:p w:rsidR="005D41D4" w:rsidRDefault="005D41D4">
          <w:pPr>
            <w:pStyle w:val="TOC3"/>
            <w:rPr>
              <w:rFonts w:asciiTheme="minorHAnsi" w:hAnsiTheme="minorHAnsi"/>
              <w:sz w:val="22"/>
              <w:szCs w:val="22"/>
              <w:lang w:eastAsia="en-AU"/>
            </w:rPr>
          </w:pPr>
          <w:r>
            <w:t>3.4.1</w:t>
          </w:r>
          <w:r>
            <w:rPr>
              <w:rFonts w:asciiTheme="minorHAnsi" w:hAnsiTheme="minorHAnsi"/>
              <w:sz w:val="22"/>
              <w:szCs w:val="22"/>
              <w:lang w:eastAsia="en-AU"/>
            </w:rPr>
            <w:tab/>
          </w:r>
          <w:r>
            <w:t>General assumptions</w:t>
          </w:r>
          <w:r>
            <w:tab/>
          </w:r>
          <w:r>
            <w:fldChar w:fldCharType="begin"/>
          </w:r>
          <w:r>
            <w:instrText xml:space="preserve"> PAGEREF _Toc420660057 \h </w:instrText>
          </w:r>
          <w:r>
            <w:fldChar w:fldCharType="separate"/>
          </w:r>
          <w:r w:rsidR="00014844">
            <w:t>15</w:t>
          </w:r>
          <w:r>
            <w:fldChar w:fldCharType="end"/>
          </w:r>
        </w:p>
        <w:p w:rsidR="005D41D4" w:rsidRDefault="005D41D4">
          <w:pPr>
            <w:pStyle w:val="TOC3"/>
            <w:rPr>
              <w:rFonts w:asciiTheme="minorHAnsi" w:hAnsiTheme="minorHAnsi"/>
              <w:sz w:val="22"/>
              <w:szCs w:val="22"/>
              <w:lang w:eastAsia="en-AU"/>
            </w:rPr>
          </w:pPr>
          <w:r>
            <w:t>3.4.2</w:t>
          </w:r>
          <w:r>
            <w:rPr>
              <w:rFonts w:asciiTheme="minorHAnsi" w:hAnsiTheme="minorHAnsi"/>
              <w:sz w:val="22"/>
              <w:szCs w:val="22"/>
              <w:lang w:eastAsia="en-AU"/>
            </w:rPr>
            <w:tab/>
          </w:r>
          <w:r>
            <w:t>Market structure</w:t>
          </w:r>
          <w:r>
            <w:tab/>
          </w:r>
          <w:r>
            <w:fldChar w:fldCharType="begin"/>
          </w:r>
          <w:r>
            <w:instrText xml:space="preserve"> PAGEREF _Toc420660058 \h </w:instrText>
          </w:r>
          <w:r>
            <w:fldChar w:fldCharType="separate"/>
          </w:r>
          <w:r w:rsidR="00014844">
            <w:t>17</w:t>
          </w:r>
          <w:r>
            <w:fldChar w:fldCharType="end"/>
          </w:r>
        </w:p>
        <w:p w:rsidR="005D41D4" w:rsidRDefault="005D41D4">
          <w:pPr>
            <w:pStyle w:val="TOC3"/>
            <w:rPr>
              <w:rFonts w:asciiTheme="minorHAnsi" w:hAnsiTheme="minorHAnsi"/>
              <w:sz w:val="22"/>
              <w:szCs w:val="22"/>
              <w:lang w:eastAsia="en-AU"/>
            </w:rPr>
          </w:pPr>
          <w:r>
            <w:t>3.4.3</w:t>
          </w:r>
          <w:r>
            <w:rPr>
              <w:rFonts w:asciiTheme="minorHAnsi" w:hAnsiTheme="minorHAnsi"/>
              <w:sz w:val="22"/>
              <w:szCs w:val="22"/>
              <w:lang w:eastAsia="en-AU"/>
            </w:rPr>
            <w:tab/>
          </w:r>
          <w:r>
            <w:t>Existing generators</w:t>
          </w:r>
          <w:r>
            <w:tab/>
          </w:r>
          <w:r>
            <w:fldChar w:fldCharType="begin"/>
          </w:r>
          <w:r>
            <w:instrText xml:space="preserve"> PAGEREF _Toc420660059 \h </w:instrText>
          </w:r>
          <w:r>
            <w:fldChar w:fldCharType="separate"/>
          </w:r>
          <w:r w:rsidR="00014844">
            <w:t>17</w:t>
          </w:r>
          <w:r>
            <w:fldChar w:fldCharType="end"/>
          </w:r>
        </w:p>
        <w:p w:rsidR="005D41D4" w:rsidRDefault="005D41D4">
          <w:pPr>
            <w:pStyle w:val="TOC3"/>
            <w:rPr>
              <w:rFonts w:asciiTheme="minorHAnsi" w:hAnsiTheme="minorHAnsi"/>
              <w:sz w:val="22"/>
              <w:szCs w:val="22"/>
              <w:lang w:eastAsia="en-AU"/>
            </w:rPr>
          </w:pPr>
          <w:r>
            <w:t>3.4.4</w:t>
          </w:r>
          <w:r>
            <w:rPr>
              <w:rFonts w:asciiTheme="minorHAnsi" w:hAnsiTheme="minorHAnsi"/>
              <w:sz w:val="22"/>
              <w:szCs w:val="22"/>
              <w:lang w:eastAsia="en-AU"/>
            </w:rPr>
            <w:tab/>
          </w:r>
          <w:r>
            <w:t>New entrant technology costs</w:t>
          </w:r>
          <w:r>
            <w:tab/>
          </w:r>
          <w:r>
            <w:fldChar w:fldCharType="begin"/>
          </w:r>
          <w:r>
            <w:instrText xml:space="preserve"> PAGEREF _Toc420660060 \h </w:instrText>
          </w:r>
          <w:r>
            <w:fldChar w:fldCharType="separate"/>
          </w:r>
          <w:r w:rsidR="00014844">
            <w:t>18</w:t>
          </w:r>
          <w:r>
            <w:fldChar w:fldCharType="end"/>
          </w:r>
        </w:p>
        <w:p w:rsidR="005D41D4" w:rsidRDefault="005D41D4">
          <w:pPr>
            <w:pStyle w:val="TOC3"/>
            <w:rPr>
              <w:rFonts w:asciiTheme="minorHAnsi" w:hAnsiTheme="minorHAnsi"/>
              <w:sz w:val="22"/>
              <w:szCs w:val="22"/>
              <w:lang w:eastAsia="en-AU"/>
            </w:rPr>
          </w:pPr>
          <w:r>
            <w:t>3.4.4.1</w:t>
          </w:r>
          <w:r>
            <w:rPr>
              <w:rFonts w:asciiTheme="minorHAnsi" w:hAnsiTheme="minorHAnsi"/>
              <w:sz w:val="22"/>
              <w:szCs w:val="22"/>
              <w:lang w:eastAsia="en-AU"/>
            </w:rPr>
            <w:tab/>
          </w:r>
          <w:r>
            <w:t>Method</w:t>
          </w:r>
          <w:r>
            <w:tab/>
          </w:r>
          <w:r>
            <w:fldChar w:fldCharType="begin"/>
          </w:r>
          <w:r>
            <w:instrText xml:space="preserve"> PAGEREF _Toc420660061 \h </w:instrText>
          </w:r>
          <w:r>
            <w:fldChar w:fldCharType="separate"/>
          </w:r>
          <w:r w:rsidR="00014844">
            <w:t>18</w:t>
          </w:r>
          <w:r>
            <w:fldChar w:fldCharType="end"/>
          </w:r>
        </w:p>
        <w:p w:rsidR="005D41D4" w:rsidRDefault="005D41D4">
          <w:pPr>
            <w:pStyle w:val="TOC3"/>
            <w:rPr>
              <w:rFonts w:asciiTheme="minorHAnsi" w:hAnsiTheme="minorHAnsi"/>
              <w:sz w:val="22"/>
              <w:szCs w:val="22"/>
              <w:lang w:eastAsia="en-AU"/>
            </w:rPr>
          </w:pPr>
          <w:r>
            <w:t>3.4.4.2</w:t>
          </w:r>
          <w:r>
            <w:rPr>
              <w:rFonts w:asciiTheme="minorHAnsi" w:hAnsiTheme="minorHAnsi"/>
              <w:sz w:val="22"/>
              <w:szCs w:val="22"/>
              <w:lang w:eastAsia="en-AU"/>
            </w:rPr>
            <w:tab/>
          </w:r>
          <w:r>
            <w:t>Trends and comparisons</w:t>
          </w:r>
          <w:r>
            <w:tab/>
          </w:r>
          <w:r>
            <w:fldChar w:fldCharType="begin"/>
          </w:r>
          <w:r>
            <w:instrText xml:space="preserve"> PAGEREF _Toc420660062 \h </w:instrText>
          </w:r>
          <w:r>
            <w:fldChar w:fldCharType="separate"/>
          </w:r>
          <w:r w:rsidR="00014844">
            <w:t>19</w:t>
          </w:r>
          <w:r>
            <w:fldChar w:fldCharType="end"/>
          </w:r>
        </w:p>
        <w:p w:rsidR="005D41D4" w:rsidRDefault="005D41D4">
          <w:pPr>
            <w:pStyle w:val="TOC3"/>
            <w:rPr>
              <w:rFonts w:asciiTheme="minorHAnsi" w:hAnsiTheme="minorHAnsi"/>
              <w:sz w:val="22"/>
              <w:szCs w:val="22"/>
              <w:lang w:eastAsia="en-AU"/>
            </w:rPr>
          </w:pPr>
          <w:r>
            <w:t>3.4.4.3</w:t>
          </w:r>
          <w:r>
            <w:rPr>
              <w:rFonts w:asciiTheme="minorHAnsi" w:hAnsiTheme="minorHAnsi"/>
              <w:sz w:val="22"/>
              <w:szCs w:val="22"/>
              <w:lang w:eastAsia="en-AU"/>
            </w:rPr>
            <w:tab/>
          </w:r>
          <w:r>
            <w:t>Learning rates</w:t>
          </w:r>
          <w:r>
            <w:tab/>
          </w:r>
          <w:r>
            <w:fldChar w:fldCharType="begin"/>
          </w:r>
          <w:r>
            <w:instrText xml:space="preserve"> PAGEREF _Toc420660063 \h </w:instrText>
          </w:r>
          <w:r>
            <w:fldChar w:fldCharType="separate"/>
          </w:r>
          <w:r w:rsidR="00014844">
            <w:t>20</w:t>
          </w:r>
          <w:r>
            <w:fldChar w:fldCharType="end"/>
          </w:r>
        </w:p>
        <w:p w:rsidR="005D41D4" w:rsidRDefault="005D41D4">
          <w:pPr>
            <w:pStyle w:val="TOC3"/>
            <w:rPr>
              <w:rFonts w:asciiTheme="minorHAnsi" w:hAnsiTheme="minorHAnsi"/>
              <w:sz w:val="22"/>
              <w:szCs w:val="22"/>
              <w:lang w:eastAsia="en-AU"/>
            </w:rPr>
          </w:pPr>
          <w:r>
            <w:t>3.4.5</w:t>
          </w:r>
          <w:r>
            <w:rPr>
              <w:rFonts w:asciiTheme="minorHAnsi" w:hAnsiTheme="minorHAnsi"/>
              <w:sz w:val="22"/>
              <w:szCs w:val="22"/>
              <w:lang w:eastAsia="en-AU"/>
            </w:rPr>
            <w:tab/>
          </w:r>
          <w:r>
            <w:t>Gas prices</w:t>
          </w:r>
          <w:r>
            <w:tab/>
          </w:r>
          <w:r>
            <w:fldChar w:fldCharType="begin"/>
          </w:r>
          <w:r>
            <w:instrText xml:space="preserve"> PAGEREF _Toc420660064 \h </w:instrText>
          </w:r>
          <w:r>
            <w:fldChar w:fldCharType="separate"/>
          </w:r>
          <w:r w:rsidR="00014844">
            <w:t>21</w:t>
          </w:r>
          <w:r>
            <w:fldChar w:fldCharType="end"/>
          </w:r>
        </w:p>
        <w:p w:rsidR="005D41D4" w:rsidRDefault="005D41D4">
          <w:pPr>
            <w:pStyle w:val="TOC3"/>
            <w:rPr>
              <w:rFonts w:asciiTheme="minorHAnsi" w:hAnsiTheme="minorHAnsi"/>
              <w:sz w:val="22"/>
              <w:szCs w:val="22"/>
              <w:lang w:eastAsia="en-AU"/>
            </w:rPr>
          </w:pPr>
          <w:r>
            <w:t>3.4.6</w:t>
          </w:r>
          <w:r>
            <w:rPr>
              <w:rFonts w:asciiTheme="minorHAnsi" w:hAnsiTheme="minorHAnsi"/>
              <w:sz w:val="22"/>
              <w:szCs w:val="22"/>
              <w:lang w:eastAsia="en-AU"/>
            </w:rPr>
            <w:tab/>
          </w:r>
          <w:r>
            <w:t>Coal prices</w:t>
          </w:r>
          <w:r>
            <w:tab/>
          </w:r>
          <w:r>
            <w:fldChar w:fldCharType="begin"/>
          </w:r>
          <w:r>
            <w:instrText xml:space="preserve"> PAGEREF _Toc420660065 \h </w:instrText>
          </w:r>
          <w:r>
            <w:fldChar w:fldCharType="separate"/>
          </w:r>
          <w:r w:rsidR="00014844">
            <w:t>22</w:t>
          </w:r>
          <w:r>
            <w:fldChar w:fldCharType="end"/>
          </w:r>
        </w:p>
        <w:p w:rsidR="00D951F2" w:rsidRDefault="00B937BF">
          <w:pPr>
            <w:pStyle w:val="TOC1"/>
            <w:rPr>
              <w:rFonts w:asciiTheme="minorHAnsi" w:hAnsiTheme="minorHAnsi"/>
              <w:b w:val="0"/>
              <w:sz w:val="22"/>
              <w:szCs w:val="22"/>
              <w:lang w:eastAsia="en-AU"/>
            </w:rPr>
          </w:pPr>
          <w:r>
            <w:rPr>
              <w:rFonts w:ascii="Arial Narrow" w:hAnsi="Arial Narrow"/>
            </w:rPr>
            <w:fldChar w:fldCharType="end"/>
          </w:r>
          <w:r>
            <w:rPr>
              <w:b w:val="0"/>
            </w:rPr>
            <w:fldChar w:fldCharType="begin"/>
          </w:r>
          <w:r>
            <w:instrText xml:space="preserve"> TOC \n \t "Heading 9,1,Appendix subheading 1,2,Appendix subheading 2,3" </w:instrText>
          </w:r>
          <w:r>
            <w:rPr>
              <w:b w:val="0"/>
            </w:rPr>
            <w:fldChar w:fldCharType="separate"/>
          </w:r>
          <w:r w:rsidR="00D951F2">
            <w:t>Appendix A. Modelling Suite</w:t>
          </w:r>
        </w:p>
        <w:p w:rsidR="00D951F2" w:rsidRDefault="00D951F2">
          <w:pPr>
            <w:pStyle w:val="TOC2"/>
            <w:rPr>
              <w:rFonts w:asciiTheme="minorHAnsi" w:hAnsiTheme="minorHAnsi"/>
              <w:sz w:val="22"/>
              <w:szCs w:val="22"/>
              <w:lang w:eastAsia="en-AU"/>
            </w:rPr>
          </w:pPr>
          <w:r>
            <w:t>A.1</w:t>
          </w:r>
          <w:r>
            <w:rPr>
              <w:rFonts w:asciiTheme="minorHAnsi" w:hAnsiTheme="minorHAnsi"/>
              <w:sz w:val="22"/>
              <w:szCs w:val="22"/>
              <w:lang w:eastAsia="en-AU"/>
            </w:rPr>
            <w:tab/>
          </w:r>
          <w:r>
            <w:t>Strategist</w:t>
          </w:r>
        </w:p>
        <w:p w:rsidR="00D951F2" w:rsidRDefault="00D951F2">
          <w:pPr>
            <w:pStyle w:val="TOC2"/>
            <w:rPr>
              <w:rFonts w:asciiTheme="minorHAnsi" w:hAnsiTheme="minorHAnsi"/>
              <w:sz w:val="22"/>
              <w:szCs w:val="22"/>
              <w:lang w:eastAsia="en-AU"/>
            </w:rPr>
          </w:pPr>
          <w:r>
            <w:t>A.2</w:t>
          </w:r>
          <w:r>
            <w:rPr>
              <w:rFonts w:asciiTheme="minorHAnsi" w:hAnsiTheme="minorHAnsi"/>
              <w:sz w:val="22"/>
              <w:szCs w:val="22"/>
              <w:lang w:eastAsia="en-AU"/>
            </w:rPr>
            <w:tab/>
          </w:r>
          <w:r>
            <w:t>DOGMMA</w:t>
          </w:r>
        </w:p>
        <w:p w:rsidR="00D951F2" w:rsidRDefault="00D951F2">
          <w:pPr>
            <w:pStyle w:val="TOC2"/>
            <w:rPr>
              <w:rFonts w:asciiTheme="minorHAnsi" w:hAnsiTheme="minorHAnsi"/>
              <w:sz w:val="22"/>
              <w:szCs w:val="22"/>
              <w:lang w:eastAsia="en-AU"/>
            </w:rPr>
          </w:pPr>
          <w:r>
            <w:t>A.3</w:t>
          </w:r>
          <w:r>
            <w:rPr>
              <w:rFonts w:asciiTheme="minorHAnsi" w:hAnsiTheme="minorHAnsi"/>
              <w:sz w:val="22"/>
              <w:szCs w:val="22"/>
              <w:lang w:eastAsia="en-AU"/>
            </w:rPr>
            <w:tab/>
          </w:r>
          <w:r>
            <w:t>REMMA</w:t>
          </w:r>
        </w:p>
        <w:p w:rsidR="00D951F2" w:rsidRDefault="00D951F2">
          <w:pPr>
            <w:pStyle w:val="TOC1"/>
            <w:rPr>
              <w:rFonts w:asciiTheme="minorHAnsi" w:hAnsiTheme="minorHAnsi"/>
              <w:b w:val="0"/>
              <w:sz w:val="22"/>
              <w:szCs w:val="22"/>
              <w:lang w:eastAsia="en-AU"/>
            </w:rPr>
          </w:pPr>
          <w:r w:rsidRPr="001C03F0">
            <w:rPr>
              <w:rFonts w:eastAsiaTheme="minorHAnsi"/>
            </w:rPr>
            <w:t>Appendix B. Illustrative policy scenarios—comparison table</w:t>
          </w:r>
        </w:p>
        <w:p w:rsidR="00D951F2" w:rsidRDefault="00D951F2">
          <w:pPr>
            <w:pStyle w:val="TOC1"/>
            <w:rPr>
              <w:rFonts w:asciiTheme="minorHAnsi" w:hAnsiTheme="minorHAnsi"/>
              <w:b w:val="0"/>
              <w:sz w:val="22"/>
              <w:szCs w:val="22"/>
              <w:lang w:eastAsia="en-AU"/>
            </w:rPr>
          </w:pPr>
          <w:r>
            <w:t>Appendix C. Further detail on assumptions</w:t>
          </w:r>
        </w:p>
        <w:p w:rsidR="00D951F2" w:rsidRDefault="00D951F2">
          <w:pPr>
            <w:pStyle w:val="TOC2"/>
            <w:rPr>
              <w:rFonts w:asciiTheme="minorHAnsi" w:hAnsiTheme="minorHAnsi"/>
              <w:sz w:val="22"/>
              <w:szCs w:val="22"/>
              <w:lang w:eastAsia="en-AU"/>
            </w:rPr>
          </w:pPr>
          <w:r>
            <w:t>C.1</w:t>
          </w:r>
          <w:r>
            <w:rPr>
              <w:rFonts w:asciiTheme="minorHAnsi" w:hAnsiTheme="minorHAnsi"/>
              <w:sz w:val="22"/>
              <w:szCs w:val="22"/>
              <w:lang w:eastAsia="en-AU"/>
            </w:rPr>
            <w:tab/>
          </w:r>
          <w:r>
            <w:t>Demand</w:t>
          </w:r>
        </w:p>
        <w:p w:rsidR="00D951F2" w:rsidRDefault="00D951F2">
          <w:pPr>
            <w:pStyle w:val="TOC2"/>
            <w:rPr>
              <w:rFonts w:asciiTheme="minorHAnsi" w:hAnsiTheme="minorHAnsi"/>
              <w:sz w:val="22"/>
              <w:szCs w:val="22"/>
              <w:lang w:eastAsia="en-AU"/>
            </w:rPr>
          </w:pPr>
          <w:r>
            <w:t>C.2</w:t>
          </w:r>
          <w:r>
            <w:rPr>
              <w:rFonts w:asciiTheme="minorHAnsi" w:hAnsiTheme="minorHAnsi"/>
              <w:sz w:val="22"/>
              <w:szCs w:val="22"/>
              <w:lang w:eastAsia="en-AU"/>
            </w:rPr>
            <w:tab/>
          </w:r>
          <w:r>
            <w:t>Retail prices</w:t>
          </w:r>
        </w:p>
        <w:p w:rsidR="00D951F2" w:rsidRDefault="00D951F2">
          <w:pPr>
            <w:pStyle w:val="TOC2"/>
            <w:rPr>
              <w:rFonts w:asciiTheme="minorHAnsi" w:hAnsiTheme="minorHAnsi"/>
              <w:sz w:val="22"/>
              <w:szCs w:val="22"/>
              <w:lang w:eastAsia="en-AU"/>
            </w:rPr>
          </w:pPr>
          <w:r>
            <w:t>C.3</w:t>
          </w:r>
          <w:r>
            <w:rPr>
              <w:rFonts w:asciiTheme="minorHAnsi" w:hAnsiTheme="minorHAnsi"/>
              <w:sz w:val="22"/>
              <w:szCs w:val="22"/>
              <w:lang w:eastAsia="en-AU"/>
            </w:rPr>
            <w:tab/>
          </w:r>
          <w:r>
            <w:t>Interconnectors and losses</w:t>
          </w:r>
        </w:p>
        <w:p w:rsidR="00D951F2" w:rsidRDefault="00D951F2">
          <w:pPr>
            <w:pStyle w:val="TOC1"/>
            <w:rPr>
              <w:rFonts w:asciiTheme="minorHAnsi" w:hAnsiTheme="minorHAnsi"/>
              <w:b w:val="0"/>
              <w:sz w:val="22"/>
              <w:szCs w:val="22"/>
              <w:lang w:eastAsia="en-AU"/>
            </w:rPr>
          </w:pPr>
          <w:r>
            <w:t>Appendix D. Technology cost assumptions</w:t>
          </w:r>
        </w:p>
        <w:p w:rsidR="00B937BF" w:rsidRPr="00E94084" w:rsidRDefault="00D951F2" w:rsidP="00453B3F">
          <w:pPr>
            <w:pStyle w:val="TOC1"/>
          </w:pPr>
          <w:r>
            <w:t>Appendix E. Costs and performance of existing and prospective thermal plants</w:t>
          </w:r>
          <w:r w:rsidR="00B937BF">
            <w:rPr>
              <w:b w:val="0"/>
            </w:rPr>
            <w:fldChar w:fldCharType="end"/>
          </w:r>
        </w:p>
      </w:sdtContent>
    </w:sdt>
    <w:p w:rsidR="00B937BF" w:rsidRPr="00E5000B" w:rsidRDefault="00B937BF">
      <w:pPr>
        <w:pStyle w:val="Para0"/>
        <w:sectPr w:rsidR="00B937BF" w:rsidRPr="00E5000B" w:rsidSect="0010488E">
          <w:headerReference w:type="default" r:id="rId20"/>
          <w:footerReference w:type="default" r:id="rId21"/>
          <w:headerReference w:type="first" r:id="rId22"/>
          <w:footerReference w:type="first" r:id="rId23"/>
          <w:pgSz w:w="11901" w:h="16840" w:code="9"/>
          <w:pgMar w:top="567" w:right="851" w:bottom="851" w:left="1134" w:header="567" w:footer="370" w:gutter="0"/>
          <w:pgNumType w:fmt="lowerRoman" w:start="1"/>
          <w:cols w:space="0"/>
          <w:formProt w:val="0"/>
          <w:docGrid w:linePitch="360"/>
        </w:sectPr>
      </w:pPr>
    </w:p>
    <w:p w:rsidR="00B01288" w:rsidRDefault="00B01288">
      <w:pPr>
        <w:pStyle w:val="Summary"/>
      </w:pPr>
      <w:bookmarkStart w:id="1" w:name="_Toc420660036"/>
      <w:bookmarkStart w:id="2" w:name="_Toc369528046"/>
      <w:r>
        <w:lastRenderedPageBreak/>
        <w:t>Abbreviations</w:t>
      </w:r>
      <w:bookmarkEnd w:id="1"/>
    </w:p>
    <w:tbl>
      <w:tblPr>
        <w:tblStyle w:val="TableGrid"/>
        <w:tblW w:w="0" w:type="auto"/>
        <w:tblLook w:val="04A0" w:firstRow="1" w:lastRow="0" w:firstColumn="1" w:lastColumn="0" w:noHBand="0" w:noVBand="1"/>
      </w:tblPr>
      <w:tblGrid>
        <w:gridCol w:w="3510"/>
        <w:gridCol w:w="6396"/>
      </w:tblGrid>
      <w:tr w:rsidR="008F690F" w:rsidTr="004F1B22">
        <w:trPr>
          <w:trHeight w:val="615"/>
        </w:trPr>
        <w:tc>
          <w:tcPr>
            <w:tcW w:w="3510" w:type="dxa"/>
          </w:tcPr>
          <w:p w:rsidR="008F690F" w:rsidRDefault="008F690F">
            <w:pPr>
              <w:pStyle w:val="Para0"/>
            </w:pPr>
            <w:r>
              <w:t>AEMO</w:t>
            </w:r>
          </w:p>
        </w:tc>
        <w:tc>
          <w:tcPr>
            <w:tcW w:w="6396" w:type="dxa"/>
          </w:tcPr>
          <w:p w:rsidR="008F690F" w:rsidRDefault="008F690F">
            <w:pPr>
              <w:pStyle w:val="Para0"/>
            </w:pPr>
            <w:r>
              <w:t>Australian Energy Market Operator</w:t>
            </w:r>
          </w:p>
        </w:tc>
      </w:tr>
      <w:tr w:rsidR="00B84F15" w:rsidTr="004F1B22">
        <w:trPr>
          <w:trHeight w:val="615"/>
        </w:trPr>
        <w:tc>
          <w:tcPr>
            <w:tcW w:w="3510" w:type="dxa"/>
          </w:tcPr>
          <w:p w:rsidR="00B84F15" w:rsidRDefault="00B84F15">
            <w:pPr>
              <w:pStyle w:val="Para0"/>
            </w:pPr>
            <w:r>
              <w:t>AETA</w:t>
            </w:r>
          </w:p>
        </w:tc>
        <w:tc>
          <w:tcPr>
            <w:tcW w:w="6396" w:type="dxa"/>
          </w:tcPr>
          <w:p w:rsidR="00B84F15" w:rsidRDefault="00B84F15">
            <w:pPr>
              <w:pStyle w:val="Para0"/>
            </w:pPr>
            <w:r>
              <w:t>Australian Energy Technology Assessment</w:t>
            </w:r>
          </w:p>
        </w:tc>
      </w:tr>
      <w:tr w:rsidR="004F1B22" w:rsidTr="004F1B22">
        <w:trPr>
          <w:trHeight w:val="615"/>
        </w:trPr>
        <w:tc>
          <w:tcPr>
            <w:tcW w:w="3510" w:type="dxa"/>
          </w:tcPr>
          <w:p w:rsidR="004F1B22" w:rsidRDefault="004F1B22">
            <w:pPr>
              <w:pStyle w:val="Para0"/>
            </w:pPr>
            <w:r>
              <w:t>CCGT</w:t>
            </w:r>
          </w:p>
        </w:tc>
        <w:tc>
          <w:tcPr>
            <w:tcW w:w="6396" w:type="dxa"/>
          </w:tcPr>
          <w:p w:rsidR="004F1B22" w:rsidRDefault="004F1B22">
            <w:pPr>
              <w:pStyle w:val="Para0"/>
            </w:pPr>
            <w:r>
              <w:t>Combined Cycle Gas Turbine</w:t>
            </w:r>
          </w:p>
        </w:tc>
      </w:tr>
      <w:tr w:rsidR="004F1B22" w:rsidTr="004F1B22">
        <w:trPr>
          <w:trHeight w:val="615"/>
        </w:trPr>
        <w:tc>
          <w:tcPr>
            <w:tcW w:w="3510" w:type="dxa"/>
          </w:tcPr>
          <w:p w:rsidR="004F1B22" w:rsidRDefault="004F1B22">
            <w:pPr>
              <w:pStyle w:val="Para0"/>
            </w:pPr>
            <w:r>
              <w:t>CCS</w:t>
            </w:r>
          </w:p>
        </w:tc>
        <w:tc>
          <w:tcPr>
            <w:tcW w:w="6396" w:type="dxa"/>
          </w:tcPr>
          <w:p w:rsidR="004F1B22" w:rsidRDefault="004F1B22">
            <w:pPr>
              <w:pStyle w:val="Para0"/>
            </w:pPr>
            <w:r>
              <w:t>Combined Capture and Storage</w:t>
            </w:r>
          </w:p>
        </w:tc>
      </w:tr>
      <w:tr w:rsidR="0054018E" w:rsidTr="004F1B22">
        <w:trPr>
          <w:trHeight w:val="615"/>
        </w:trPr>
        <w:tc>
          <w:tcPr>
            <w:tcW w:w="3510" w:type="dxa"/>
          </w:tcPr>
          <w:p w:rsidR="0054018E" w:rsidRDefault="0054018E">
            <w:pPr>
              <w:pStyle w:val="Para0"/>
            </w:pPr>
            <w:r>
              <w:t>CfD</w:t>
            </w:r>
          </w:p>
        </w:tc>
        <w:tc>
          <w:tcPr>
            <w:tcW w:w="6396" w:type="dxa"/>
          </w:tcPr>
          <w:p w:rsidR="0054018E" w:rsidRDefault="0054018E">
            <w:pPr>
              <w:pStyle w:val="Para0"/>
            </w:pPr>
            <w:r>
              <w:t>Contract for Differences</w:t>
            </w:r>
          </w:p>
        </w:tc>
      </w:tr>
      <w:tr w:rsidR="006178D0" w:rsidTr="004F1B22">
        <w:trPr>
          <w:trHeight w:val="615"/>
        </w:trPr>
        <w:tc>
          <w:tcPr>
            <w:tcW w:w="3510" w:type="dxa"/>
          </w:tcPr>
          <w:p w:rsidR="006178D0" w:rsidRDefault="006178D0">
            <w:pPr>
              <w:pStyle w:val="Para0"/>
            </w:pPr>
            <w:r>
              <w:t>CPI</w:t>
            </w:r>
          </w:p>
        </w:tc>
        <w:tc>
          <w:tcPr>
            <w:tcW w:w="6396" w:type="dxa"/>
          </w:tcPr>
          <w:p w:rsidR="006178D0" w:rsidRDefault="006178D0">
            <w:pPr>
              <w:pStyle w:val="Para0"/>
            </w:pPr>
            <w:r>
              <w:t>Consumer Price Index</w:t>
            </w:r>
          </w:p>
        </w:tc>
      </w:tr>
      <w:tr w:rsidR="00F55D39" w:rsidTr="004F1B22">
        <w:trPr>
          <w:trHeight w:val="615"/>
        </w:trPr>
        <w:tc>
          <w:tcPr>
            <w:tcW w:w="3510" w:type="dxa"/>
          </w:tcPr>
          <w:p w:rsidR="00F55D39" w:rsidRDefault="00F55D39">
            <w:pPr>
              <w:pStyle w:val="Para0"/>
            </w:pPr>
            <w:r>
              <w:t>DOGMMA</w:t>
            </w:r>
          </w:p>
        </w:tc>
        <w:tc>
          <w:tcPr>
            <w:tcW w:w="6396" w:type="dxa"/>
          </w:tcPr>
          <w:p w:rsidR="00F55D39" w:rsidRDefault="00F55D39">
            <w:pPr>
              <w:pStyle w:val="Para0"/>
            </w:pPr>
            <w:r>
              <w:t>Distributed On-site Generation Market Model Australia</w:t>
            </w:r>
          </w:p>
        </w:tc>
      </w:tr>
      <w:tr w:rsidR="00AD522C" w:rsidTr="004F1B22">
        <w:trPr>
          <w:trHeight w:val="615"/>
        </w:trPr>
        <w:tc>
          <w:tcPr>
            <w:tcW w:w="3510" w:type="dxa"/>
          </w:tcPr>
          <w:p w:rsidR="00AD522C" w:rsidRDefault="00AD522C">
            <w:pPr>
              <w:pStyle w:val="Para0"/>
            </w:pPr>
            <w:r>
              <w:t>EITEI</w:t>
            </w:r>
          </w:p>
        </w:tc>
        <w:tc>
          <w:tcPr>
            <w:tcW w:w="6396" w:type="dxa"/>
          </w:tcPr>
          <w:p w:rsidR="00AD522C" w:rsidRDefault="00AD522C">
            <w:pPr>
              <w:pStyle w:val="Para0"/>
            </w:pPr>
            <w:r>
              <w:t>Emission-intensive, Trade-exposed industry</w:t>
            </w:r>
          </w:p>
        </w:tc>
      </w:tr>
      <w:tr w:rsidR="00B84F15" w:rsidTr="004F1B22">
        <w:trPr>
          <w:trHeight w:val="615"/>
        </w:trPr>
        <w:tc>
          <w:tcPr>
            <w:tcW w:w="3510" w:type="dxa"/>
          </w:tcPr>
          <w:p w:rsidR="00B84F15" w:rsidRDefault="00B84F15">
            <w:pPr>
              <w:pStyle w:val="Para0"/>
            </w:pPr>
            <w:r>
              <w:t>EPC</w:t>
            </w:r>
          </w:p>
        </w:tc>
        <w:tc>
          <w:tcPr>
            <w:tcW w:w="6396" w:type="dxa"/>
          </w:tcPr>
          <w:p w:rsidR="00B84F15" w:rsidRDefault="00B84F15">
            <w:pPr>
              <w:pStyle w:val="Para0"/>
            </w:pPr>
            <w:r>
              <w:t>Engineer-Procure-Construct</w:t>
            </w:r>
          </w:p>
        </w:tc>
      </w:tr>
      <w:tr w:rsidR="00DF3E90" w:rsidTr="004F1B22">
        <w:trPr>
          <w:trHeight w:val="615"/>
        </w:trPr>
        <w:tc>
          <w:tcPr>
            <w:tcW w:w="3510" w:type="dxa"/>
          </w:tcPr>
          <w:p w:rsidR="00DF3E90" w:rsidRDefault="00DF3E90">
            <w:pPr>
              <w:pStyle w:val="Para0"/>
            </w:pPr>
            <w:r>
              <w:t>ERF</w:t>
            </w:r>
          </w:p>
        </w:tc>
        <w:tc>
          <w:tcPr>
            <w:tcW w:w="6396" w:type="dxa"/>
          </w:tcPr>
          <w:p w:rsidR="00DF3E90" w:rsidRDefault="00DF3E90">
            <w:pPr>
              <w:pStyle w:val="Para0"/>
            </w:pPr>
            <w:r>
              <w:t>Emissions Reduction Fund</w:t>
            </w:r>
          </w:p>
        </w:tc>
      </w:tr>
      <w:tr w:rsidR="0043089D" w:rsidTr="004F1B22">
        <w:trPr>
          <w:trHeight w:val="615"/>
        </w:trPr>
        <w:tc>
          <w:tcPr>
            <w:tcW w:w="3510" w:type="dxa"/>
          </w:tcPr>
          <w:p w:rsidR="0043089D" w:rsidRDefault="0043089D">
            <w:pPr>
              <w:pStyle w:val="Para0"/>
            </w:pPr>
            <w:r>
              <w:t>ESOO</w:t>
            </w:r>
          </w:p>
        </w:tc>
        <w:tc>
          <w:tcPr>
            <w:tcW w:w="6396" w:type="dxa"/>
          </w:tcPr>
          <w:p w:rsidR="0043089D" w:rsidRDefault="0043089D">
            <w:pPr>
              <w:pStyle w:val="Para0"/>
            </w:pPr>
            <w:r>
              <w:t>Electricity Statement of Opportunities</w:t>
            </w:r>
          </w:p>
        </w:tc>
      </w:tr>
      <w:tr w:rsidR="00BE521B" w:rsidTr="004F1B22">
        <w:trPr>
          <w:trHeight w:val="615"/>
        </w:trPr>
        <w:tc>
          <w:tcPr>
            <w:tcW w:w="3510" w:type="dxa"/>
          </w:tcPr>
          <w:p w:rsidR="00BE521B" w:rsidRDefault="00BE521B">
            <w:pPr>
              <w:pStyle w:val="Para0"/>
            </w:pPr>
            <w:r>
              <w:t>FiT</w:t>
            </w:r>
          </w:p>
        </w:tc>
        <w:tc>
          <w:tcPr>
            <w:tcW w:w="6396" w:type="dxa"/>
          </w:tcPr>
          <w:p w:rsidR="00BE521B" w:rsidRDefault="00BE521B" w:rsidP="006239C2">
            <w:pPr>
              <w:pStyle w:val="Para0"/>
            </w:pPr>
            <w:r>
              <w:t>Feed-in</w:t>
            </w:r>
            <w:r w:rsidR="006239C2">
              <w:t xml:space="preserve"> </w:t>
            </w:r>
            <w:r>
              <w:t>Tariff</w:t>
            </w:r>
          </w:p>
        </w:tc>
      </w:tr>
      <w:tr w:rsidR="00B84F15" w:rsidTr="004F1B22">
        <w:trPr>
          <w:trHeight w:val="615"/>
        </w:trPr>
        <w:tc>
          <w:tcPr>
            <w:tcW w:w="3510" w:type="dxa"/>
          </w:tcPr>
          <w:p w:rsidR="00B84F15" w:rsidRDefault="00B84F15">
            <w:pPr>
              <w:pStyle w:val="Para0"/>
            </w:pPr>
            <w:r>
              <w:t>GFC</w:t>
            </w:r>
          </w:p>
        </w:tc>
        <w:tc>
          <w:tcPr>
            <w:tcW w:w="6396" w:type="dxa"/>
          </w:tcPr>
          <w:p w:rsidR="00B84F15" w:rsidRDefault="00B84F15">
            <w:pPr>
              <w:pStyle w:val="Para0"/>
            </w:pPr>
            <w:r>
              <w:t>Global Financial Crisis</w:t>
            </w:r>
          </w:p>
        </w:tc>
      </w:tr>
      <w:tr w:rsidR="00B84F15" w:rsidTr="004F1B22">
        <w:trPr>
          <w:trHeight w:val="615"/>
        </w:trPr>
        <w:tc>
          <w:tcPr>
            <w:tcW w:w="3510" w:type="dxa"/>
          </w:tcPr>
          <w:p w:rsidR="00B84F15" w:rsidRDefault="00B84F15">
            <w:pPr>
              <w:pStyle w:val="Para0"/>
            </w:pPr>
            <w:r>
              <w:t>IDC</w:t>
            </w:r>
          </w:p>
        </w:tc>
        <w:tc>
          <w:tcPr>
            <w:tcW w:w="6396" w:type="dxa"/>
          </w:tcPr>
          <w:p w:rsidR="00B84F15" w:rsidRDefault="00B84F15">
            <w:pPr>
              <w:pStyle w:val="Para0"/>
            </w:pPr>
            <w:r>
              <w:t>Interest During Construction</w:t>
            </w:r>
          </w:p>
        </w:tc>
      </w:tr>
      <w:tr w:rsidR="00620452" w:rsidTr="004F1B22">
        <w:trPr>
          <w:trHeight w:val="615"/>
        </w:trPr>
        <w:tc>
          <w:tcPr>
            <w:tcW w:w="3510" w:type="dxa"/>
          </w:tcPr>
          <w:p w:rsidR="00620452" w:rsidRDefault="00620452">
            <w:pPr>
              <w:pStyle w:val="Para0"/>
            </w:pPr>
            <w:r>
              <w:t>IEA</w:t>
            </w:r>
          </w:p>
        </w:tc>
        <w:tc>
          <w:tcPr>
            <w:tcW w:w="6396" w:type="dxa"/>
          </w:tcPr>
          <w:p w:rsidR="00620452" w:rsidRDefault="00620452">
            <w:pPr>
              <w:pStyle w:val="Para0"/>
            </w:pPr>
            <w:r>
              <w:t>International Energy Agency</w:t>
            </w:r>
          </w:p>
        </w:tc>
      </w:tr>
      <w:tr w:rsidR="004F1B22" w:rsidTr="004F1B22">
        <w:trPr>
          <w:trHeight w:val="615"/>
        </w:trPr>
        <w:tc>
          <w:tcPr>
            <w:tcW w:w="3510" w:type="dxa"/>
          </w:tcPr>
          <w:p w:rsidR="004F1B22" w:rsidRDefault="004F1B22">
            <w:pPr>
              <w:pStyle w:val="Para0"/>
            </w:pPr>
            <w:r>
              <w:t>IGCC</w:t>
            </w:r>
          </w:p>
        </w:tc>
        <w:tc>
          <w:tcPr>
            <w:tcW w:w="6396" w:type="dxa"/>
          </w:tcPr>
          <w:p w:rsidR="004F1B22" w:rsidRDefault="004F1B22">
            <w:pPr>
              <w:pStyle w:val="Para0"/>
            </w:pPr>
            <w:r>
              <w:t>Integrated Gasification Combined Cycle</w:t>
            </w:r>
          </w:p>
        </w:tc>
      </w:tr>
      <w:tr w:rsidR="008F690F" w:rsidTr="004F1B22">
        <w:trPr>
          <w:trHeight w:val="615"/>
        </w:trPr>
        <w:tc>
          <w:tcPr>
            <w:tcW w:w="3510" w:type="dxa"/>
          </w:tcPr>
          <w:p w:rsidR="008F690F" w:rsidRDefault="008F690F">
            <w:pPr>
              <w:pStyle w:val="Para0"/>
            </w:pPr>
            <w:r>
              <w:t>IMO</w:t>
            </w:r>
          </w:p>
        </w:tc>
        <w:tc>
          <w:tcPr>
            <w:tcW w:w="6396" w:type="dxa"/>
          </w:tcPr>
          <w:p w:rsidR="008F690F" w:rsidRDefault="008F690F">
            <w:pPr>
              <w:pStyle w:val="Para0"/>
            </w:pPr>
            <w:r>
              <w:t>Independent Market Operator</w:t>
            </w:r>
            <w:r w:rsidR="0043089D">
              <w:t xml:space="preserve"> (WA)</w:t>
            </w:r>
          </w:p>
        </w:tc>
      </w:tr>
      <w:tr w:rsidR="00BE521B" w:rsidTr="004F1B22">
        <w:trPr>
          <w:trHeight w:val="615"/>
        </w:trPr>
        <w:tc>
          <w:tcPr>
            <w:tcW w:w="3510" w:type="dxa"/>
          </w:tcPr>
          <w:p w:rsidR="00BE521B" w:rsidRDefault="00BE521B">
            <w:pPr>
              <w:pStyle w:val="Para0"/>
            </w:pPr>
            <w:r>
              <w:t>LET</w:t>
            </w:r>
          </w:p>
        </w:tc>
        <w:tc>
          <w:tcPr>
            <w:tcW w:w="6396" w:type="dxa"/>
          </w:tcPr>
          <w:p w:rsidR="00BE521B" w:rsidRDefault="000F04FD" w:rsidP="000F04FD">
            <w:pPr>
              <w:pStyle w:val="Para0"/>
            </w:pPr>
            <w:r>
              <w:t>Low E</w:t>
            </w:r>
            <w:r w:rsidR="00BE521B">
              <w:t>mission Target</w:t>
            </w:r>
          </w:p>
        </w:tc>
      </w:tr>
      <w:tr w:rsidR="00620452" w:rsidTr="004F1B22">
        <w:trPr>
          <w:trHeight w:val="615"/>
        </w:trPr>
        <w:tc>
          <w:tcPr>
            <w:tcW w:w="3510" w:type="dxa"/>
          </w:tcPr>
          <w:p w:rsidR="00620452" w:rsidRDefault="00620452">
            <w:pPr>
              <w:pStyle w:val="Para0"/>
            </w:pPr>
            <w:r>
              <w:t>LGC</w:t>
            </w:r>
          </w:p>
        </w:tc>
        <w:tc>
          <w:tcPr>
            <w:tcW w:w="6396" w:type="dxa"/>
          </w:tcPr>
          <w:p w:rsidR="00620452" w:rsidRDefault="00620452" w:rsidP="006873CF">
            <w:pPr>
              <w:pStyle w:val="Para0"/>
            </w:pPr>
            <w:r>
              <w:t>Large-scale Generation Certificate</w:t>
            </w:r>
          </w:p>
        </w:tc>
      </w:tr>
      <w:tr w:rsidR="006873CF" w:rsidTr="004F1B22">
        <w:trPr>
          <w:trHeight w:val="615"/>
        </w:trPr>
        <w:tc>
          <w:tcPr>
            <w:tcW w:w="3510" w:type="dxa"/>
          </w:tcPr>
          <w:p w:rsidR="006873CF" w:rsidRDefault="006873CF">
            <w:pPr>
              <w:pStyle w:val="Para0"/>
            </w:pPr>
            <w:r>
              <w:t>LNG</w:t>
            </w:r>
          </w:p>
        </w:tc>
        <w:tc>
          <w:tcPr>
            <w:tcW w:w="6396" w:type="dxa"/>
          </w:tcPr>
          <w:p w:rsidR="006873CF" w:rsidRDefault="006873CF" w:rsidP="006873CF">
            <w:pPr>
              <w:pStyle w:val="Para0"/>
            </w:pPr>
            <w:r>
              <w:t>Liquefied Natural Gas</w:t>
            </w:r>
          </w:p>
        </w:tc>
      </w:tr>
      <w:tr w:rsidR="00E16A7A" w:rsidTr="004F1B22">
        <w:trPr>
          <w:trHeight w:val="615"/>
        </w:trPr>
        <w:tc>
          <w:tcPr>
            <w:tcW w:w="3510" w:type="dxa"/>
          </w:tcPr>
          <w:p w:rsidR="00E16A7A" w:rsidRDefault="00E16A7A">
            <w:pPr>
              <w:pStyle w:val="Para0"/>
            </w:pPr>
            <w:r>
              <w:t>LRET</w:t>
            </w:r>
          </w:p>
        </w:tc>
        <w:tc>
          <w:tcPr>
            <w:tcW w:w="6396" w:type="dxa"/>
          </w:tcPr>
          <w:p w:rsidR="00E16A7A" w:rsidRDefault="00E16A7A">
            <w:pPr>
              <w:pStyle w:val="Para0"/>
            </w:pPr>
            <w:r>
              <w:t>Large-scale Renewable Energy Target</w:t>
            </w:r>
          </w:p>
        </w:tc>
      </w:tr>
      <w:tr w:rsidR="00F55D39" w:rsidTr="004F1B22">
        <w:trPr>
          <w:trHeight w:val="615"/>
        </w:trPr>
        <w:tc>
          <w:tcPr>
            <w:tcW w:w="3510" w:type="dxa"/>
          </w:tcPr>
          <w:p w:rsidR="00F55D39" w:rsidRDefault="00F55D39">
            <w:pPr>
              <w:pStyle w:val="Para0"/>
            </w:pPr>
            <w:r>
              <w:lastRenderedPageBreak/>
              <w:t>MMAGas</w:t>
            </w:r>
          </w:p>
        </w:tc>
        <w:tc>
          <w:tcPr>
            <w:tcW w:w="6396" w:type="dxa"/>
          </w:tcPr>
          <w:p w:rsidR="00F55D39" w:rsidRDefault="00F55D39">
            <w:pPr>
              <w:pStyle w:val="Para0"/>
            </w:pPr>
            <w:r>
              <w:t xml:space="preserve">Market Model Australia </w:t>
            </w:r>
            <w:r w:rsidRPr="00952F9C">
              <w:rPr>
                <w:lang w:val="en-GB"/>
              </w:rPr>
              <w:t>–</w:t>
            </w:r>
            <w:r>
              <w:t xml:space="preserve"> Gas</w:t>
            </w:r>
          </w:p>
        </w:tc>
      </w:tr>
      <w:tr w:rsidR="00053D75" w:rsidTr="004F1B22">
        <w:trPr>
          <w:trHeight w:val="615"/>
        </w:trPr>
        <w:tc>
          <w:tcPr>
            <w:tcW w:w="3510" w:type="dxa"/>
          </w:tcPr>
          <w:p w:rsidR="00053D75" w:rsidRDefault="00053D75">
            <w:pPr>
              <w:pStyle w:val="Para0"/>
            </w:pPr>
            <w:r>
              <w:t>NEFR</w:t>
            </w:r>
          </w:p>
        </w:tc>
        <w:tc>
          <w:tcPr>
            <w:tcW w:w="6396" w:type="dxa"/>
          </w:tcPr>
          <w:p w:rsidR="00053D75" w:rsidRDefault="00053D75">
            <w:pPr>
              <w:pStyle w:val="Para0"/>
            </w:pPr>
            <w:r>
              <w:t>National Electricity Forecasting Report</w:t>
            </w:r>
          </w:p>
        </w:tc>
      </w:tr>
      <w:tr w:rsidR="004F1B22" w:rsidTr="004F1B22">
        <w:trPr>
          <w:trHeight w:val="615"/>
        </w:trPr>
        <w:tc>
          <w:tcPr>
            <w:tcW w:w="3510" w:type="dxa"/>
          </w:tcPr>
          <w:p w:rsidR="004F1B22" w:rsidRDefault="004F1B22">
            <w:pPr>
              <w:pStyle w:val="Para0"/>
            </w:pPr>
            <w:r>
              <w:t>NEM</w:t>
            </w:r>
          </w:p>
        </w:tc>
        <w:tc>
          <w:tcPr>
            <w:tcW w:w="6396" w:type="dxa"/>
          </w:tcPr>
          <w:p w:rsidR="004F1B22" w:rsidRDefault="004F1B22">
            <w:pPr>
              <w:pStyle w:val="Para0"/>
            </w:pPr>
            <w:r>
              <w:t>National Electricity Market</w:t>
            </w:r>
          </w:p>
        </w:tc>
      </w:tr>
      <w:tr w:rsidR="0043089D" w:rsidTr="004F1B22">
        <w:trPr>
          <w:trHeight w:val="615"/>
        </w:trPr>
        <w:tc>
          <w:tcPr>
            <w:tcW w:w="3510" w:type="dxa"/>
          </w:tcPr>
          <w:p w:rsidR="0043089D" w:rsidRDefault="0043089D">
            <w:pPr>
              <w:pStyle w:val="Para0"/>
            </w:pPr>
            <w:r>
              <w:t>NTNDP</w:t>
            </w:r>
          </w:p>
        </w:tc>
        <w:tc>
          <w:tcPr>
            <w:tcW w:w="6396" w:type="dxa"/>
          </w:tcPr>
          <w:p w:rsidR="0043089D" w:rsidRDefault="0043089D">
            <w:pPr>
              <w:pStyle w:val="Para0"/>
            </w:pPr>
            <w:r>
              <w:t>National Transmission Network Development Plan</w:t>
            </w:r>
          </w:p>
        </w:tc>
      </w:tr>
      <w:tr w:rsidR="00566419" w:rsidTr="004F1B22">
        <w:trPr>
          <w:trHeight w:val="615"/>
        </w:trPr>
        <w:tc>
          <w:tcPr>
            <w:tcW w:w="3510" w:type="dxa"/>
          </w:tcPr>
          <w:p w:rsidR="00566419" w:rsidRDefault="00566419">
            <w:pPr>
              <w:pStyle w:val="Para0"/>
            </w:pPr>
            <w:r>
              <w:t>PED</w:t>
            </w:r>
          </w:p>
        </w:tc>
        <w:tc>
          <w:tcPr>
            <w:tcW w:w="6396" w:type="dxa"/>
          </w:tcPr>
          <w:p w:rsidR="00566419" w:rsidRDefault="00566419">
            <w:pPr>
              <w:pStyle w:val="Para0"/>
            </w:pPr>
            <w:r>
              <w:t>Price Elasticity of Demand</w:t>
            </w:r>
          </w:p>
        </w:tc>
      </w:tr>
      <w:tr w:rsidR="00E16A7A" w:rsidTr="004F1B22">
        <w:trPr>
          <w:trHeight w:val="615"/>
        </w:trPr>
        <w:tc>
          <w:tcPr>
            <w:tcW w:w="3510" w:type="dxa"/>
          </w:tcPr>
          <w:p w:rsidR="00E16A7A" w:rsidRDefault="00E16A7A">
            <w:pPr>
              <w:pStyle w:val="Para0"/>
            </w:pPr>
            <w:r>
              <w:t>PPA</w:t>
            </w:r>
          </w:p>
        </w:tc>
        <w:tc>
          <w:tcPr>
            <w:tcW w:w="6396" w:type="dxa"/>
          </w:tcPr>
          <w:p w:rsidR="00E16A7A" w:rsidRDefault="00E16A7A">
            <w:pPr>
              <w:pStyle w:val="Para0"/>
            </w:pPr>
            <w:r>
              <w:t>Power Purchase Agreement</w:t>
            </w:r>
          </w:p>
        </w:tc>
      </w:tr>
      <w:tr w:rsidR="00F55D39" w:rsidTr="004F1B22">
        <w:trPr>
          <w:trHeight w:val="615"/>
        </w:trPr>
        <w:tc>
          <w:tcPr>
            <w:tcW w:w="3510" w:type="dxa"/>
          </w:tcPr>
          <w:p w:rsidR="00F55D39" w:rsidRDefault="00F55D39">
            <w:pPr>
              <w:pStyle w:val="Para0"/>
            </w:pPr>
            <w:r>
              <w:t>PV</w:t>
            </w:r>
          </w:p>
        </w:tc>
        <w:tc>
          <w:tcPr>
            <w:tcW w:w="6396" w:type="dxa"/>
          </w:tcPr>
          <w:p w:rsidR="00F55D39" w:rsidRDefault="00F55D39">
            <w:pPr>
              <w:pStyle w:val="Para0"/>
            </w:pPr>
            <w:r>
              <w:t>Photovoltaic</w:t>
            </w:r>
          </w:p>
        </w:tc>
      </w:tr>
      <w:tr w:rsidR="00F55D39" w:rsidTr="004F1B22">
        <w:trPr>
          <w:trHeight w:val="615"/>
        </w:trPr>
        <w:tc>
          <w:tcPr>
            <w:tcW w:w="3510" w:type="dxa"/>
          </w:tcPr>
          <w:p w:rsidR="00F55D39" w:rsidRDefault="00F55D39">
            <w:pPr>
              <w:pStyle w:val="Para0"/>
            </w:pPr>
            <w:r>
              <w:t>REMMA</w:t>
            </w:r>
          </w:p>
        </w:tc>
        <w:tc>
          <w:tcPr>
            <w:tcW w:w="6396" w:type="dxa"/>
          </w:tcPr>
          <w:p w:rsidR="00F55D39" w:rsidRDefault="00F55D39">
            <w:pPr>
              <w:pStyle w:val="Para0"/>
            </w:pPr>
            <w:r>
              <w:t>Renewable Energy Market Model Australia</w:t>
            </w:r>
          </w:p>
        </w:tc>
      </w:tr>
      <w:tr w:rsidR="00BE521B" w:rsidTr="004F1B22">
        <w:trPr>
          <w:trHeight w:val="615"/>
        </w:trPr>
        <w:tc>
          <w:tcPr>
            <w:tcW w:w="3510" w:type="dxa"/>
          </w:tcPr>
          <w:p w:rsidR="00BE521B" w:rsidRDefault="00BE521B">
            <w:pPr>
              <w:pStyle w:val="Para0"/>
            </w:pPr>
            <w:r>
              <w:t>RET</w:t>
            </w:r>
          </w:p>
        </w:tc>
        <w:tc>
          <w:tcPr>
            <w:tcW w:w="6396" w:type="dxa"/>
          </w:tcPr>
          <w:p w:rsidR="00BE521B" w:rsidRDefault="00BE521B">
            <w:pPr>
              <w:pStyle w:val="Para0"/>
            </w:pPr>
            <w:r>
              <w:t>Renewable Energy Target</w:t>
            </w:r>
          </w:p>
        </w:tc>
      </w:tr>
      <w:tr w:rsidR="005679B1" w:rsidTr="004F1B22">
        <w:trPr>
          <w:trHeight w:val="615"/>
        </w:trPr>
        <w:tc>
          <w:tcPr>
            <w:tcW w:w="3510" w:type="dxa"/>
          </w:tcPr>
          <w:p w:rsidR="005679B1" w:rsidRDefault="005679B1">
            <w:pPr>
              <w:pStyle w:val="Para0"/>
            </w:pPr>
            <w:r>
              <w:t>SRES</w:t>
            </w:r>
          </w:p>
        </w:tc>
        <w:tc>
          <w:tcPr>
            <w:tcW w:w="6396" w:type="dxa"/>
          </w:tcPr>
          <w:p w:rsidR="005679B1" w:rsidRDefault="005679B1">
            <w:pPr>
              <w:pStyle w:val="Para0"/>
            </w:pPr>
            <w:r>
              <w:t>Small-scale Renewable Energy Scheme</w:t>
            </w:r>
          </w:p>
        </w:tc>
      </w:tr>
      <w:tr w:rsidR="00F55D39" w:rsidTr="004F1B22">
        <w:trPr>
          <w:trHeight w:val="615"/>
        </w:trPr>
        <w:tc>
          <w:tcPr>
            <w:tcW w:w="3510" w:type="dxa"/>
          </w:tcPr>
          <w:p w:rsidR="00F55D39" w:rsidRDefault="00F55D39">
            <w:pPr>
              <w:pStyle w:val="Para0"/>
            </w:pPr>
            <w:r>
              <w:t>SWIS</w:t>
            </w:r>
          </w:p>
        </w:tc>
        <w:tc>
          <w:tcPr>
            <w:tcW w:w="6396" w:type="dxa"/>
          </w:tcPr>
          <w:p w:rsidR="00F55D39" w:rsidRDefault="00F55D39">
            <w:pPr>
              <w:pStyle w:val="Para0"/>
            </w:pPr>
            <w:r>
              <w:t>South-West Interconnected System</w:t>
            </w:r>
          </w:p>
        </w:tc>
      </w:tr>
      <w:tr w:rsidR="004F1B22" w:rsidTr="004F1B22">
        <w:trPr>
          <w:trHeight w:val="615"/>
        </w:trPr>
        <w:tc>
          <w:tcPr>
            <w:tcW w:w="3510" w:type="dxa"/>
          </w:tcPr>
          <w:p w:rsidR="004F1B22" w:rsidRDefault="004F1B22">
            <w:pPr>
              <w:pStyle w:val="Para0"/>
            </w:pPr>
            <w:r>
              <w:t>WEM</w:t>
            </w:r>
          </w:p>
        </w:tc>
        <w:tc>
          <w:tcPr>
            <w:tcW w:w="6396" w:type="dxa"/>
          </w:tcPr>
          <w:p w:rsidR="004F1B22" w:rsidRDefault="004F1B22">
            <w:pPr>
              <w:pStyle w:val="Para0"/>
            </w:pPr>
            <w:r>
              <w:t>Wholesale Electricity Market</w:t>
            </w:r>
            <w:r w:rsidR="0043089D">
              <w:t xml:space="preserve"> (WA)</w:t>
            </w:r>
          </w:p>
        </w:tc>
      </w:tr>
    </w:tbl>
    <w:p w:rsidR="00B01288" w:rsidRPr="00B01288" w:rsidRDefault="00B01288">
      <w:pPr>
        <w:pStyle w:val="Para0"/>
      </w:pPr>
    </w:p>
    <w:bookmarkEnd w:id="2"/>
    <w:p w:rsidR="00B937BF" w:rsidRDefault="00B937BF">
      <w:pPr>
        <w:pStyle w:val="SectionSubheading1"/>
        <w:pageBreakBefore/>
      </w:pPr>
      <w:r>
        <w:lastRenderedPageBreak/>
        <w:t xml:space="preserve">Important note about </w:t>
      </w:r>
      <w:r w:rsidR="00EE0120">
        <w:t xml:space="preserve">this </w:t>
      </w:r>
      <w:r>
        <w:t>report</w:t>
      </w:r>
    </w:p>
    <w:p w:rsidR="00B937BF" w:rsidRDefault="00B937BF">
      <w:pPr>
        <w:pStyle w:val="Para0"/>
      </w:pPr>
      <w:r>
        <w:t xml:space="preserve">The sole purpose of this report and the associated services performed by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is to assess the </w:t>
      </w:r>
      <w:r w:rsidR="00850B1B">
        <w:t>electricity sector</w:t>
      </w:r>
      <w:r>
        <w:t xml:space="preserve"> impacts of </w:t>
      </w:r>
      <w:r w:rsidR="00850B1B">
        <w:t xml:space="preserve">a range of policy </w:t>
      </w:r>
      <w:r w:rsidR="002E2EDE">
        <w:t xml:space="preserve">scenarios </w:t>
      </w:r>
      <w:r w:rsidR="00850B1B">
        <w:t xml:space="preserve">to reduce emissions of greenhouse gases </w:t>
      </w:r>
      <w:r>
        <w:t xml:space="preserve">in accordance with the scope of services set out in the contract between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and the Client. That scope of services, as described in this report, was developed with the Client. </w:t>
      </w:r>
    </w:p>
    <w:p w:rsidR="00B937BF" w:rsidRDefault="00B937BF">
      <w:pPr>
        <w:pStyle w:val="Para0"/>
      </w:pPr>
      <w:r>
        <w:t xml:space="preserve">In preparing this report,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has relied upon, and presumed accurate, any information (or confirmation of the absence thereof) provided by the Client and/or from other sources.  Except as otherwise stated in the report,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has not attempted to verify the accuracy or completeness of any such information. If the information is subsequently determined to be false, inaccurate or incomplete then it is possible that our observations and conclusions as expressed in this report may change.</w:t>
      </w:r>
    </w:p>
    <w:p w:rsidR="00B937BF" w:rsidRDefault="00B937BF">
      <w:pPr>
        <w:pStyle w:val="Para0"/>
      </w:pP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derived the data in this report from information sourced from the Client (if any) and/or available in the public domain at the time or times outlined in this report.  The passage of time, manifestation of latent conditions or impacts of future events may require further examination of the project and s</w:t>
      </w:r>
      <w:r w:rsidR="00D227DA">
        <w:t>ubsequent data analysis, and re</w:t>
      </w:r>
      <w:r w:rsidR="00D227DA">
        <w:noBreakHyphen/>
      </w:r>
      <w:r>
        <w:t xml:space="preserve">evaluation of the data, findings, observations and conclusions expressed in this report.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has prepared this report in accordance with the usual care and thoroughness of the consulting profession, for the sole purpose described above and by reference to applicable standards, guidelines, procedures and practices at the date of issue of this report. For the reasons outlined above, however, no other warranty or guarantee, whether expressed or implied, is made as to the data, observations and findings expressed in this report, to the extent permitted by law.</w:t>
      </w:r>
    </w:p>
    <w:p w:rsidR="00B937BF" w:rsidRDefault="00B937BF">
      <w:pPr>
        <w:pStyle w:val="Para0"/>
      </w:pPr>
      <w:r>
        <w:t xml:space="preserve">This report should be read in full and no excerpts are to be taken as representative of the findings.  No responsibility is accepted by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for use of any part of this report in any other context.</w:t>
      </w:r>
      <w:r w:rsidR="00C76A44">
        <w:t xml:space="preserve"> The scenario results should not be treated as a forecast for commercial purposes.</w:t>
      </w:r>
    </w:p>
    <w:p w:rsidR="00B937BF" w:rsidRPr="00A16F0E" w:rsidRDefault="00B937BF">
      <w:pPr>
        <w:pStyle w:val="Para0"/>
      </w:pPr>
      <w:r>
        <w:t xml:space="preserve">This report has been prepared on behalf of, and for the exclusive use of,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’s Client, and is subject to, and issued in accordance with, the provisions of the contract between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and the Client. </w:t>
      </w:r>
      <w:r>
        <w:fldChar w:fldCharType="begin"/>
      </w:r>
      <w:r>
        <w:instrText xml:space="preserve"> DOCVARIABLE  </w:instrText>
      </w:r>
      <w:r w:rsidRPr="00C867C8">
        <w:instrText>CoverLimitation</w:instrText>
      </w:r>
      <w:r>
        <w:instrText xml:space="preserve">  \* MERGEFORMAT </w:instrText>
      </w:r>
      <w:r>
        <w:fldChar w:fldCharType="separate"/>
      </w:r>
      <w:r w:rsidR="00921606">
        <w:t>Jacobs</w:t>
      </w:r>
      <w:r>
        <w:fldChar w:fldCharType="end"/>
      </w:r>
      <w:r>
        <w:t xml:space="preserve"> accepts no liability or responsibility whatsoever for, or in respect of, any use of, or reliance upon, this report by any third party</w:t>
      </w:r>
      <w:r w:rsidR="00D227DA">
        <w:t>.</w:t>
      </w:r>
    </w:p>
    <w:p w:rsidR="00B937BF" w:rsidRPr="00B7132C" w:rsidRDefault="00B937BF">
      <w:pPr>
        <w:pStyle w:val="Para0"/>
      </w:pPr>
    </w:p>
    <w:p w:rsidR="007D1252" w:rsidRDefault="007D1252" w:rsidP="007D1252">
      <w:pPr>
        <w:pStyle w:val="Heading1"/>
        <w:ind w:left="219"/>
      </w:pPr>
      <w:bookmarkStart w:id="3" w:name="_Toc369528047"/>
      <w:bookmarkStart w:id="4" w:name="_Toc419133299"/>
      <w:bookmarkStart w:id="5" w:name="_Toc420660037"/>
      <w:r>
        <w:lastRenderedPageBreak/>
        <w:t>Introduction</w:t>
      </w:r>
      <w:bookmarkEnd w:id="3"/>
      <w:bookmarkEnd w:id="4"/>
      <w:bookmarkEnd w:id="5"/>
    </w:p>
    <w:p w:rsidR="007D1252" w:rsidRDefault="007D1252" w:rsidP="007D1252">
      <w:pPr>
        <w:pStyle w:val="Heading2"/>
        <w:ind w:left="710"/>
      </w:pPr>
      <w:bookmarkStart w:id="6" w:name="_Toc419133300"/>
      <w:bookmarkStart w:id="7" w:name="_Toc420660038"/>
      <w:r>
        <w:t>Climate Change Authority’s Special Review and the electricity sector</w:t>
      </w:r>
      <w:bookmarkEnd w:id="6"/>
      <w:bookmarkEnd w:id="7"/>
    </w:p>
    <w:p w:rsidR="007D1252" w:rsidRDefault="007D1252" w:rsidP="007D1252">
      <w:pPr>
        <w:pStyle w:val="Para0"/>
      </w:pPr>
      <w:r>
        <w:t>This document outlines the proposed approach to modelling for the Climate Change Authority’s electricity sector analysis, for public feedback.</w:t>
      </w:r>
    </w:p>
    <w:p w:rsidR="007D1252" w:rsidRDefault="007D1252" w:rsidP="007D1252">
      <w:pPr>
        <w:pStyle w:val="Para0"/>
      </w:pPr>
      <w:r>
        <w:t>The Climate Change Authority is undertaking a Special Review of Australia’s climate action, at the request of the Minister for the Environment. As part of this Special Review the Authority will analyse options for Australia’s emissions reduction policies, and consider whether Australia should have an emissions trading scheme. The Authority will publish a draft report on emissions trading schemes for public consultation by 30 November 2015, and a final report on Australia’s emissions reduction action by 30 June 2016.</w:t>
      </w:r>
    </w:p>
    <w:p w:rsidR="007D1252" w:rsidRDefault="007D1252" w:rsidP="00A65DD5">
      <w:pPr>
        <w:pStyle w:val="Para0"/>
      </w:pPr>
      <w:r>
        <w:t>The electricity sector accounts for the largest share—around one-third—of Australia’s total greenhouse gas emissions. The Authority’s previous analysis has highlighted the important role that the electricity sector is projected to play in achieving deep emissions reductions in Australia and globally.</w:t>
      </w:r>
      <w:r>
        <w:rPr>
          <w:rStyle w:val="FootnoteReference"/>
        </w:rPr>
        <w:footnoteReference w:id="1"/>
      </w:r>
      <w:r>
        <w:t xml:space="preserve"> As the sector is characterised by long-lived capital investments, credible and consistent policy is important to providing the signals required for reducing the emissions intensity of electricity supply over time. These factors mean the sector provides a valuable case study for comparing policy options to reduce emissions, including their relative costs and benefits, effectiveness in reducing emissions and impacts on different groups. </w:t>
      </w:r>
    </w:p>
    <w:p w:rsidR="007D1252" w:rsidRDefault="007D1252" w:rsidP="007D1252">
      <w:pPr>
        <w:pStyle w:val="Para0"/>
      </w:pPr>
      <w:r>
        <w:t xml:space="preserve">The Authority’s Special Review will therefore, as part of its broader assessment of Australia’s policy options, pay particular attention to options for reducing Australia’s electricity sector emissions. The Authority has commissioned Jacobs to undertake modelling to support this work. The modelling will inform the Authority’s draft report, and the final modelling report and results will be published on the Authority’s website. The Authority welcomes feedback on this material, which should be emailed to </w:t>
      </w:r>
      <w:hyperlink r:id="rId24" w:history="1">
        <w:r w:rsidRPr="00467594">
          <w:rPr>
            <w:rStyle w:val="Hyperlink"/>
          </w:rPr>
          <w:t>submissions@climatechangeauthority.gov.au</w:t>
        </w:r>
      </w:hyperlink>
      <w:r>
        <w:t xml:space="preserve"> by </w:t>
      </w:r>
      <w:r w:rsidR="00963935" w:rsidRPr="00C622E3">
        <w:t>1</w:t>
      </w:r>
      <w:r w:rsidR="00AF7793">
        <w:t>2</w:t>
      </w:r>
      <w:r w:rsidR="00963935" w:rsidRPr="00C622E3">
        <w:t xml:space="preserve"> June</w:t>
      </w:r>
      <w:r w:rsidRPr="00C622E3">
        <w:t> 2015</w:t>
      </w:r>
      <w:r w:rsidRPr="00D37BC9">
        <w:t>.</w:t>
      </w:r>
      <w:r>
        <w:t xml:space="preserve"> Further details about the Special Review are available on the Authority’s website, </w:t>
      </w:r>
      <w:hyperlink r:id="rId25" w:history="1">
        <w:r w:rsidRPr="00FD7B2E">
          <w:rPr>
            <w:rStyle w:val="Hyperlink"/>
          </w:rPr>
          <w:t>http://www.climatechangeauthority.gov.au</w:t>
        </w:r>
      </w:hyperlink>
      <w:r>
        <w:t>.</w:t>
      </w:r>
    </w:p>
    <w:p w:rsidR="007D1252" w:rsidRDefault="007D1252" w:rsidP="007D1252">
      <w:pPr>
        <w:pStyle w:val="Para0"/>
      </w:pPr>
      <w:r>
        <w:t xml:space="preserve">The rest of this document covers the proposed policy scenarios for analysis, and proposed approach to the modelling. </w:t>
      </w:r>
    </w:p>
    <w:p w:rsidR="007D1252" w:rsidRDefault="007D1252" w:rsidP="007D1252">
      <w:pPr>
        <w:pStyle w:val="Heading2"/>
        <w:ind w:left="710"/>
      </w:pPr>
      <w:bookmarkStart w:id="8" w:name="_Toc419133301"/>
      <w:bookmarkStart w:id="9" w:name="_Ref419216950"/>
      <w:bookmarkStart w:id="10" w:name="_Toc420660039"/>
      <w:r>
        <w:t>Context for this modelling</w:t>
      </w:r>
      <w:bookmarkEnd w:id="8"/>
      <w:bookmarkEnd w:id="9"/>
      <w:bookmarkEnd w:id="10"/>
    </w:p>
    <w:p w:rsidR="007D1252" w:rsidRDefault="007D1252" w:rsidP="007D1252">
      <w:pPr>
        <w:pStyle w:val="Para0"/>
      </w:pPr>
      <w:r>
        <w:t>The purpose of the modelling is to help compare a range of illustrative policy scenarios using common sets of input assumptions, including a common emissions constraint</w:t>
      </w:r>
      <w:r w:rsidR="0026476A">
        <w:t xml:space="preserve"> (see section 3.2)</w:t>
      </w:r>
      <w:r>
        <w:t xml:space="preserve">. The work will have two broad phases. </w:t>
      </w:r>
    </w:p>
    <w:p w:rsidR="007D1252" w:rsidRDefault="007D1252" w:rsidP="007D1252">
      <w:pPr>
        <w:pStyle w:val="Para0"/>
      </w:pPr>
      <w:r>
        <w:t xml:space="preserve">Phase one will compare seven policies, </w:t>
      </w:r>
      <w:r>
        <w:rPr>
          <w:lang w:val="en-US"/>
        </w:rPr>
        <w:t>broadly representative of those proposed and discussed in recent years</w:t>
      </w:r>
      <w:r>
        <w:t>. The Authority will evaluate the policies by comparing their performance across a range of quantitative and qualitative indicators of effectiveness, efficiency and equity. Examples include:</w:t>
      </w:r>
    </w:p>
    <w:p w:rsidR="007D1252" w:rsidRDefault="007D1252" w:rsidP="007D1252">
      <w:pPr>
        <w:pStyle w:val="bulletlist"/>
        <w:ind w:left="219"/>
      </w:pPr>
      <w:r>
        <w:t>the cost effectiveness for society as a whole and the distribution of those costs</w:t>
      </w:r>
    </w:p>
    <w:p w:rsidR="007D1252" w:rsidRDefault="007D1252" w:rsidP="007D1252">
      <w:pPr>
        <w:pStyle w:val="bulletlist"/>
        <w:ind w:left="219"/>
      </w:pPr>
      <w:r>
        <w:t xml:space="preserve">the main policy risks and who bears them </w:t>
      </w:r>
    </w:p>
    <w:p w:rsidR="007D1252" w:rsidRDefault="007D1252" w:rsidP="007D1252">
      <w:pPr>
        <w:pStyle w:val="bulletlist"/>
        <w:ind w:left="219"/>
      </w:pPr>
      <w:proofErr w:type="gramStart"/>
      <w:r>
        <w:t>whether</w:t>
      </w:r>
      <w:proofErr w:type="gramEnd"/>
      <w:r>
        <w:t xml:space="preserve"> the policy can easily be scaled up or down to achieve a different emissions reduction target.</w:t>
      </w:r>
    </w:p>
    <w:p w:rsidR="007D1252" w:rsidRDefault="007D1252" w:rsidP="007D1252">
      <w:pPr>
        <w:pStyle w:val="Para0"/>
      </w:pPr>
      <w:r>
        <w:t xml:space="preserve">In phase two, the Authority will select a sub-set of better-performing policy scenarios for further investigation and refinement, including sensitivity analysis and robustness tests. </w:t>
      </w:r>
    </w:p>
    <w:p w:rsidR="007D1252" w:rsidRDefault="007D1252" w:rsidP="007D1252">
      <w:pPr>
        <w:pStyle w:val="Para0"/>
      </w:pPr>
      <w:r w:rsidRPr="00675417">
        <w:t xml:space="preserve">Over the </w:t>
      </w:r>
      <w:r>
        <w:t>coming decades</w:t>
      </w:r>
      <w:r w:rsidRPr="00675417">
        <w:t>, the electricity</w:t>
      </w:r>
      <w:r>
        <w:t xml:space="preserve"> sector may change a great deal. As part of phase two the Authority therefore intends to consider the performance of policy scenarios against a range of possible futures for the electricity sector, including one with a substantial, rapid increase in distributed generation and electricity storage technologies.</w:t>
      </w:r>
    </w:p>
    <w:p w:rsidR="007D1252" w:rsidRDefault="007D1252" w:rsidP="007D1252">
      <w:pPr>
        <w:pStyle w:val="Para0"/>
      </w:pPr>
      <w:r>
        <w:lastRenderedPageBreak/>
        <w:t xml:space="preserve">In interpreting this consultation document and the Authority’s modelling: </w:t>
      </w:r>
    </w:p>
    <w:p w:rsidR="007D1252" w:rsidRDefault="007D1252" w:rsidP="007D1252">
      <w:pPr>
        <w:pStyle w:val="bulletlist"/>
        <w:ind w:left="219"/>
      </w:pPr>
      <w:r>
        <w:t xml:space="preserve">Readers </w:t>
      </w:r>
      <w:r>
        <w:rPr>
          <w:u w:val="single"/>
        </w:rPr>
        <w:t>should not</w:t>
      </w:r>
      <w:r>
        <w:t xml:space="preserve"> interpret any of the scenarios in this exercise as the Authority’s proposals or preferred policy positions or designs. The scenario results should not be treated as a forecast for commercial purposes. Modelling is a helpful input to policy analysis, but necessarily requires many assumptions and simplifications.</w:t>
      </w:r>
    </w:p>
    <w:p w:rsidR="007D1252" w:rsidRDefault="007D1252" w:rsidP="007D1252">
      <w:pPr>
        <w:pStyle w:val="bulletlist"/>
        <w:ind w:left="219"/>
      </w:pPr>
      <w:r>
        <w:t xml:space="preserve">Readers </w:t>
      </w:r>
      <w:r w:rsidRPr="00A527BD">
        <w:rPr>
          <w:u w:val="single"/>
        </w:rPr>
        <w:t>should not</w:t>
      </w:r>
      <w:r>
        <w:t xml:space="preserve"> interpret the sectoral (rather than economy</w:t>
      </w:r>
      <w:r>
        <w:noBreakHyphen/>
        <w:t xml:space="preserve">wide) focus of this modelling as a preference for sector-specific emissions reduction policies in the electricity or any other sector. The Authority will consider questions of policy scope and coverage as part of its broader Review, and the analysis and recommendations in its November draft report will consider policies for Australia as a whole. </w:t>
      </w:r>
    </w:p>
    <w:p w:rsidR="007D1252" w:rsidRDefault="007D1252" w:rsidP="007D1252">
      <w:pPr>
        <w:pStyle w:val="Heading1"/>
        <w:ind w:left="219"/>
      </w:pPr>
      <w:bookmarkStart w:id="11" w:name="_Toc420660040"/>
      <w:r>
        <w:lastRenderedPageBreak/>
        <w:t>Scenarios to be modelled</w:t>
      </w:r>
      <w:bookmarkEnd w:id="11"/>
    </w:p>
    <w:p w:rsidR="007D1252" w:rsidRDefault="007D1252" w:rsidP="007D1252">
      <w:pPr>
        <w:pStyle w:val="Heading2"/>
        <w:keepLines w:val="0"/>
        <w:ind w:left="435" w:hanging="576"/>
        <w:rPr>
          <w:rFonts w:eastAsiaTheme="minorHAnsi"/>
        </w:rPr>
      </w:pPr>
      <w:bookmarkStart w:id="12" w:name="_Toc419133303"/>
      <w:bookmarkStart w:id="13" w:name="_Toc420660041"/>
      <w:r>
        <w:rPr>
          <w:rFonts w:eastAsiaTheme="minorHAnsi"/>
        </w:rPr>
        <w:t>O</w:t>
      </w:r>
      <w:r w:rsidRPr="00235E29">
        <w:rPr>
          <w:rFonts w:eastAsiaTheme="minorHAnsi"/>
        </w:rPr>
        <w:t xml:space="preserve">verview </w:t>
      </w:r>
      <w:r>
        <w:rPr>
          <w:rFonts w:eastAsiaTheme="minorHAnsi"/>
        </w:rPr>
        <w:t>and common features</w:t>
      </w:r>
      <w:bookmarkEnd w:id="12"/>
      <w:bookmarkEnd w:id="13"/>
    </w:p>
    <w:p w:rsidR="007D1252" w:rsidRDefault="007D1252" w:rsidP="007D1252">
      <w:pPr>
        <w:pStyle w:val="Para0"/>
      </w:pPr>
      <w:r w:rsidRPr="00235E29">
        <w:t xml:space="preserve">This </w:t>
      </w:r>
      <w:r>
        <w:t xml:space="preserve">part of the </w:t>
      </w:r>
      <w:r w:rsidRPr="00235E29">
        <w:t xml:space="preserve">document </w:t>
      </w:r>
      <w:r>
        <w:t xml:space="preserve">describes eight </w:t>
      </w:r>
      <w:r w:rsidRPr="00235E29">
        <w:t xml:space="preserve">scenarios (one reference case and seven </w:t>
      </w:r>
      <w:r>
        <w:t>policy scenarios</w:t>
      </w:r>
      <w:r w:rsidRPr="00235E29">
        <w:t xml:space="preserve">) </w:t>
      </w:r>
      <w:r>
        <w:t xml:space="preserve">that will be modelled </w:t>
      </w:r>
      <w:r w:rsidRPr="00235E29">
        <w:t xml:space="preserve">in phase one of </w:t>
      </w:r>
      <w:r>
        <w:t>the</w:t>
      </w:r>
      <w:r w:rsidRPr="00235E29">
        <w:t xml:space="preserve"> electricity sector </w:t>
      </w:r>
      <w:r>
        <w:t>analysis</w:t>
      </w:r>
      <w:r w:rsidRPr="00235E29">
        <w:t xml:space="preserve">. </w:t>
      </w:r>
    </w:p>
    <w:p w:rsidR="007D1252" w:rsidRDefault="007D1252" w:rsidP="007D1252">
      <w:pPr>
        <w:pStyle w:val="Para0"/>
      </w:pPr>
      <w:r>
        <w:t>The modelling horizon of interest is the period to 2050. The geographical scope of the modelling will be the National Electricity Market (NEM) and the Wholesale Electricity Market of Western Australia (WEM) which together make up about 95 per cent of Australia’s electricity demand</w:t>
      </w:r>
      <w:r>
        <w:rPr>
          <w:rStyle w:val="FootnoteReference"/>
        </w:rPr>
        <w:footnoteReference w:id="2"/>
      </w:r>
      <w:r>
        <w:t xml:space="preserve">. </w:t>
      </w:r>
    </w:p>
    <w:p w:rsidR="00D37BC9" w:rsidRDefault="00D37BC9" w:rsidP="007D1252">
      <w:pPr>
        <w:pStyle w:val="Para0"/>
      </w:pPr>
      <w:r>
        <w:t xml:space="preserve">In phase one of the work, both the common emissions constraint and modelling inputs determined by global rather than domestic factors (for example technology costs and the prices for internationally traded coal and LNG) will be consistent with </w:t>
      </w:r>
      <w:r w:rsidRPr="009439FF">
        <w:t xml:space="preserve">strong global action to </w:t>
      </w:r>
      <w:r w:rsidR="003443DD" w:rsidRPr="009439FF">
        <w:t>limit</w:t>
      </w:r>
      <w:r w:rsidR="003443DD">
        <w:t xml:space="preserve"> global average warming to no more than 2 degrees</w:t>
      </w:r>
      <w:r>
        <w:t>. Alternative consistent sets of emissions constraints and global inputs will be examined in phase two of the work.</w:t>
      </w:r>
    </w:p>
    <w:p w:rsidR="007D1252" w:rsidRPr="00672C54" w:rsidRDefault="007D1252" w:rsidP="007D1252">
      <w:pPr>
        <w:pStyle w:val="Para0"/>
      </w:pPr>
      <w:r>
        <w:t xml:space="preserve">The illustrative policy scenarios will be compared to a reference case incorporating the Renewable Energy Target. We </w:t>
      </w:r>
      <w:r w:rsidR="00A3445B">
        <w:t xml:space="preserve">will </w:t>
      </w:r>
      <w:r w:rsidR="003443DD">
        <w:t xml:space="preserve">model </w:t>
      </w:r>
      <w:r>
        <w:t xml:space="preserve">a Large-scale 2020 target of 33,000 GWh (as </w:t>
      </w:r>
      <w:r w:rsidR="003D798D">
        <w:t>agreed</w:t>
      </w:r>
      <w:r>
        <w:t xml:space="preserve"> by the Government and the Australian Labor Party). Each policy scenario will:</w:t>
      </w:r>
    </w:p>
    <w:p w:rsidR="007D1252" w:rsidRPr="00724DBC" w:rsidRDefault="007D1252" w:rsidP="000817DB">
      <w:pPr>
        <w:pStyle w:val="Para0bullet"/>
      </w:pPr>
      <w:r w:rsidRPr="00724DBC">
        <w:t xml:space="preserve">match the reference </w:t>
      </w:r>
      <w:r w:rsidR="00A3445B">
        <w:t>case</w:t>
      </w:r>
      <w:r w:rsidRPr="00724DBC">
        <w:t xml:space="preserve"> to 2020</w:t>
      </w:r>
    </w:p>
    <w:p w:rsidR="007D1252" w:rsidRPr="00724DBC" w:rsidRDefault="007D1252" w:rsidP="000817DB">
      <w:pPr>
        <w:pStyle w:val="Para0bullet"/>
      </w:pPr>
      <w:r w:rsidRPr="00724DBC">
        <w:t>(like the reference case) include the LRET and Small</w:t>
      </w:r>
      <w:r w:rsidRPr="00724DBC">
        <w:noBreakHyphen/>
        <w:t xml:space="preserve">scale Renewable Energy Scheme (SRES) trajectories from 2020 to 2030 </w:t>
      </w:r>
    </w:p>
    <w:p w:rsidR="007D1252" w:rsidRPr="00724DBC" w:rsidRDefault="007D1252" w:rsidP="000817DB">
      <w:pPr>
        <w:pStyle w:val="Para0bullet"/>
      </w:pPr>
      <w:r>
        <w:t>assume</w:t>
      </w:r>
      <w:r w:rsidRPr="00724DBC">
        <w:t xml:space="preserve"> all prospective zero- and low</w:t>
      </w:r>
      <w:r w:rsidRPr="00724DBC">
        <w:noBreakHyphen/>
        <w:t>emissions technologies—including nuclear—</w:t>
      </w:r>
      <w:r>
        <w:t xml:space="preserve">are available </w:t>
      </w:r>
      <w:r w:rsidRPr="00724DBC">
        <w:t>to achieve the emissions constraint</w:t>
      </w:r>
    </w:p>
    <w:p w:rsidR="007D1252" w:rsidRPr="00724DBC" w:rsidRDefault="007D1252" w:rsidP="000817DB">
      <w:pPr>
        <w:pStyle w:val="Para0bullet"/>
      </w:pPr>
      <w:r w:rsidRPr="00724DBC">
        <w:t>exclude the sector from the Emissions Reduction Fund</w:t>
      </w:r>
      <w:r w:rsidR="00595666">
        <w:t>’s</w:t>
      </w:r>
      <w:r w:rsidRPr="00724DBC">
        <w:t xml:space="preserve"> (ERF</w:t>
      </w:r>
      <w:r w:rsidR="00595666">
        <w:t>’s</w:t>
      </w:r>
      <w:r w:rsidR="00A65DD5">
        <w:t>)</w:t>
      </w:r>
      <w:r w:rsidRPr="00724DBC">
        <w:t xml:space="preserve"> </w:t>
      </w:r>
      <w:r w:rsidR="00595666">
        <w:t>safeguard mechanism, noting that option 4 examines a scenario with some features in common with the electricity sector safeguard mechanism</w:t>
      </w:r>
    </w:p>
    <w:p w:rsidR="007D1252" w:rsidRPr="00724DBC" w:rsidRDefault="007D1252" w:rsidP="000817DB">
      <w:pPr>
        <w:pStyle w:val="Para0bullet"/>
      </w:pPr>
      <w:proofErr w:type="gramStart"/>
      <w:r>
        <w:t>model</w:t>
      </w:r>
      <w:proofErr w:type="gramEnd"/>
      <w:r>
        <w:t xml:space="preserve"> the impacts of the policy on electricity users prior to any assistance being provided (for example, for the impacts of increased electricity prices on households or large electricity users)</w:t>
      </w:r>
      <w:r w:rsidRPr="00724DBC">
        <w:t xml:space="preserve">. </w:t>
      </w:r>
      <w:r>
        <w:t xml:space="preserve">This will highlight groups affected by each policy and how these differ across the scenarios examined. The design of potential assistance measures will </w:t>
      </w:r>
      <w:r w:rsidRPr="00724DBC">
        <w:t>be considered in phase two of the analysis</w:t>
      </w:r>
      <w:r w:rsidR="00A65DD5">
        <w:t>.</w:t>
      </w:r>
    </w:p>
    <w:p w:rsidR="007D1252" w:rsidRDefault="007D1252" w:rsidP="000817DB">
      <w:pPr>
        <w:pStyle w:val="Para0bullet"/>
      </w:pPr>
      <w:proofErr w:type="gramStart"/>
      <w:r w:rsidRPr="00724DBC">
        <w:t>apply</w:t>
      </w:r>
      <w:proofErr w:type="gramEnd"/>
      <w:r w:rsidRPr="00724DBC">
        <w:t xml:space="preserve"> the same design for policy features such coverage thresholds, limits on banking and borrowing of permits, and so on. This helps ensure that differences in the polic</w:t>
      </w:r>
      <w:r>
        <w:t>y scenarios</w:t>
      </w:r>
      <w:r w:rsidRPr="00724DBC">
        <w:t xml:space="preserve"> are driven by material differences between the policies</w:t>
      </w:r>
      <w:r w:rsidR="00A65DD5">
        <w:t>.</w:t>
      </w:r>
    </w:p>
    <w:p w:rsidR="007D1252" w:rsidRPr="00724DBC" w:rsidRDefault="007D1252" w:rsidP="000817DB">
      <w:pPr>
        <w:pStyle w:val="Para0bullet"/>
      </w:pPr>
      <w:r>
        <w:t>(</w:t>
      </w:r>
      <w:proofErr w:type="gramStart"/>
      <w:r>
        <w:t>where</w:t>
      </w:r>
      <w:proofErr w:type="gramEnd"/>
      <w:r>
        <w:t xml:space="preserve"> it could otherwise apply) exclude the use of ‘offsets’ from other sectors or overseas to acquit liabilities under the policy</w:t>
      </w:r>
      <w:r w:rsidRPr="00724DBC">
        <w:t>.</w:t>
      </w:r>
      <w:r>
        <w:t xml:space="preserve"> While the ability to surrender such units is an important potential design feature of some policies, its inclusion can mean that modelling results will be dominated by expected future offset prices, which are particularly uncertain. Instead, the ability to use offsets to lower compliance costs will be assessed as part of the Authority’s qualitative comparison between policy scenarios, and possibly in phase two of the modelling work.</w:t>
      </w:r>
    </w:p>
    <w:p w:rsidR="007D1252" w:rsidRPr="004B7D0D" w:rsidRDefault="007D1252" w:rsidP="00733569">
      <w:pPr>
        <w:pStyle w:val="Para0"/>
        <w:rPr>
          <w:highlight w:val="yellow"/>
        </w:rPr>
      </w:pPr>
      <w:r>
        <w:rPr>
          <w:lang w:val="en-US"/>
        </w:rPr>
        <w:t>The seven illustrative policy scenarios are:</w:t>
      </w:r>
      <w:r w:rsidRPr="00235E29">
        <w:rPr>
          <w:lang w:val="en-US"/>
        </w:rPr>
        <w:t xml:space="preserve">  </w:t>
      </w:r>
    </w:p>
    <w:p w:rsidR="007D1252" w:rsidRDefault="007D1252" w:rsidP="00733569">
      <w:pPr>
        <w:pStyle w:val="Para0number"/>
        <w:numPr>
          <w:ilvl w:val="0"/>
          <w:numId w:val="13"/>
        </w:numPr>
        <w:ind w:left="283"/>
        <w:rPr>
          <w:lang w:val="en-US"/>
        </w:rPr>
      </w:pPr>
      <w:r w:rsidRPr="00235E29">
        <w:rPr>
          <w:lang w:val="en-US"/>
        </w:rPr>
        <w:t xml:space="preserve">‘RET only’: RET expanded to achieve the </w:t>
      </w:r>
      <w:r>
        <w:rPr>
          <w:lang w:val="en-US"/>
        </w:rPr>
        <w:t>emissions constraint</w:t>
      </w:r>
      <w:r w:rsidRPr="00235E29">
        <w:rPr>
          <w:lang w:val="en-US"/>
        </w:rPr>
        <w:t>.</w:t>
      </w:r>
    </w:p>
    <w:p w:rsidR="007D1252" w:rsidRPr="009A2781" w:rsidRDefault="007D1252" w:rsidP="00733569">
      <w:pPr>
        <w:pStyle w:val="Para0number"/>
        <w:numPr>
          <w:ilvl w:val="0"/>
          <w:numId w:val="13"/>
        </w:numPr>
        <w:ind w:left="283"/>
        <w:rPr>
          <w:lang w:val="en-US"/>
        </w:rPr>
      </w:pPr>
      <w:r w:rsidRPr="00235E29">
        <w:rPr>
          <w:lang w:val="en-US"/>
        </w:rPr>
        <w:t xml:space="preserve">‘Low emissions target’: </w:t>
      </w:r>
      <w:r>
        <w:rPr>
          <w:lang w:val="en-US"/>
        </w:rPr>
        <w:t>operates in a similar manner to the ‘RET only’ policy scenario but with an expanded set of eligible technologies including</w:t>
      </w:r>
      <w:r w:rsidRPr="00235E29">
        <w:rPr>
          <w:lang w:val="en-US"/>
        </w:rPr>
        <w:t xml:space="preserve"> more efficient gas generation</w:t>
      </w:r>
      <w:r>
        <w:rPr>
          <w:lang w:val="en-US"/>
        </w:rPr>
        <w:t xml:space="preserve"> and </w:t>
      </w:r>
      <w:r>
        <w:t>carbon capture and storage (CCS)</w:t>
      </w:r>
      <w:r>
        <w:rPr>
          <w:lang w:val="en-US"/>
        </w:rPr>
        <w:t>.</w:t>
      </w:r>
      <w:r w:rsidRPr="009A2781">
        <w:rPr>
          <w:lang w:val="en-US"/>
        </w:rPr>
        <w:t xml:space="preserve"> </w:t>
      </w:r>
    </w:p>
    <w:p w:rsidR="007D1252" w:rsidRDefault="007D1252" w:rsidP="00733569">
      <w:pPr>
        <w:pStyle w:val="Para0number"/>
        <w:numPr>
          <w:ilvl w:val="0"/>
          <w:numId w:val="13"/>
        </w:numPr>
        <w:ind w:left="283"/>
        <w:rPr>
          <w:lang w:val="en-US"/>
        </w:rPr>
      </w:pPr>
      <w:r>
        <w:rPr>
          <w:lang w:val="en-US"/>
        </w:rPr>
        <w:t xml:space="preserve">Explicit carbon price via a </w:t>
      </w:r>
      <w:r w:rsidRPr="00235E29">
        <w:rPr>
          <w:lang w:val="en-US"/>
        </w:rPr>
        <w:t>‘</w:t>
      </w:r>
      <w:r>
        <w:rPr>
          <w:lang w:val="en-US"/>
        </w:rPr>
        <w:t>c</w:t>
      </w:r>
      <w:r w:rsidRPr="00235E29">
        <w:rPr>
          <w:lang w:val="en-US"/>
        </w:rPr>
        <w:t>ap and trade emissions trading scheme</w:t>
      </w:r>
      <w:r>
        <w:rPr>
          <w:lang w:val="en-US"/>
        </w:rPr>
        <w:t>’ (version A) or a ‘</w:t>
      </w:r>
      <w:r w:rsidRPr="00235E29">
        <w:rPr>
          <w:lang w:val="en-US"/>
        </w:rPr>
        <w:t>carbon tax’</w:t>
      </w:r>
      <w:r>
        <w:rPr>
          <w:lang w:val="en-US"/>
        </w:rPr>
        <w:t xml:space="preserve"> (version B)</w:t>
      </w:r>
      <w:r w:rsidRPr="00235E29">
        <w:rPr>
          <w:lang w:val="en-US"/>
        </w:rPr>
        <w:t xml:space="preserve">. </w:t>
      </w:r>
    </w:p>
    <w:p w:rsidR="007D1252" w:rsidRPr="009A2781" w:rsidRDefault="007D1252" w:rsidP="00733569">
      <w:pPr>
        <w:pStyle w:val="Para0number"/>
        <w:numPr>
          <w:ilvl w:val="0"/>
          <w:numId w:val="13"/>
        </w:numPr>
        <w:ind w:left="283"/>
        <w:rPr>
          <w:lang w:val="en-US"/>
        </w:rPr>
      </w:pPr>
      <w:r>
        <w:rPr>
          <w:lang w:val="en-US"/>
        </w:rPr>
        <w:t>‘Absolute baselines’</w:t>
      </w:r>
      <w:r w:rsidRPr="00235E29">
        <w:rPr>
          <w:lang w:val="en-US"/>
        </w:rPr>
        <w:t xml:space="preserve">: </w:t>
      </w:r>
      <w:r w:rsidR="00595666">
        <w:rPr>
          <w:lang w:val="en-US"/>
        </w:rPr>
        <w:t xml:space="preserve">a </w:t>
      </w:r>
      <w:r w:rsidRPr="00235E29">
        <w:rPr>
          <w:lang w:val="en-US"/>
        </w:rPr>
        <w:t>scenario</w:t>
      </w:r>
      <w:r>
        <w:rPr>
          <w:lang w:val="en-US"/>
        </w:rPr>
        <w:t xml:space="preserve"> </w:t>
      </w:r>
      <w:r w:rsidR="00595666">
        <w:rPr>
          <w:color w:val="000000" w:themeColor="text1"/>
        </w:rPr>
        <w:t xml:space="preserve">with some features in common </w:t>
      </w:r>
      <w:r w:rsidR="00595666">
        <w:rPr>
          <w:color w:val="000000"/>
        </w:rPr>
        <w:t xml:space="preserve">with the </w:t>
      </w:r>
      <w:r w:rsidR="00A65DD5">
        <w:rPr>
          <w:color w:val="000000"/>
        </w:rPr>
        <w:t>safeguard mechanism</w:t>
      </w:r>
      <w:r w:rsidR="00595666">
        <w:rPr>
          <w:color w:val="000000"/>
        </w:rPr>
        <w:t xml:space="preserve"> for the electricity sector under the ERF</w:t>
      </w:r>
      <w:r w:rsidRPr="00235E29">
        <w:rPr>
          <w:lang w:val="en-US"/>
        </w:rPr>
        <w:t xml:space="preserve">. </w:t>
      </w:r>
    </w:p>
    <w:p w:rsidR="007D1252" w:rsidRPr="00235E29" w:rsidRDefault="007D1252" w:rsidP="00733569">
      <w:pPr>
        <w:pStyle w:val="Para0number"/>
        <w:numPr>
          <w:ilvl w:val="0"/>
          <w:numId w:val="13"/>
        </w:numPr>
        <w:ind w:left="283"/>
        <w:rPr>
          <w:lang w:val="en-US"/>
        </w:rPr>
      </w:pPr>
      <w:r w:rsidRPr="00235E29">
        <w:rPr>
          <w:lang w:val="en-US"/>
        </w:rPr>
        <w:lastRenderedPageBreak/>
        <w:t xml:space="preserve">‘Intensity target’: </w:t>
      </w:r>
      <w:r>
        <w:rPr>
          <w:lang w:val="en-US"/>
        </w:rPr>
        <w:t>s</w:t>
      </w:r>
      <w:r w:rsidRPr="00235E29">
        <w:rPr>
          <w:lang w:val="en-US"/>
        </w:rPr>
        <w:t xml:space="preserve">ector </w:t>
      </w:r>
      <w:r>
        <w:rPr>
          <w:lang w:val="en-US"/>
        </w:rPr>
        <w:t xml:space="preserve">is </w:t>
      </w:r>
      <w:r w:rsidRPr="00235E29">
        <w:rPr>
          <w:lang w:val="en-US"/>
        </w:rPr>
        <w:t xml:space="preserve">subject to a declining sector-wide emission intensity baseline. All generators receive an allocation of permits at the baseline level of intensity; at the end of the compliance period all generators surrender permits for each tonne of </w:t>
      </w:r>
      <w:r w:rsidR="00A3445B">
        <w:rPr>
          <w:lang w:val="en-US"/>
        </w:rPr>
        <w:t>carbon dioxide equivalent emitted (tCO</w:t>
      </w:r>
      <w:r w:rsidR="00A3445B">
        <w:rPr>
          <w:vertAlign w:val="subscript"/>
          <w:lang w:val="en-US"/>
        </w:rPr>
        <w:t>2</w:t>
      </w:r>
      <w:r w:rsidR="00A3445B">
        <w:rPr>
          <w:lang w:val="en-US"/>
        </w:rPr>
        <w:t>-e)</w:t>
      </w:r>
      <w:r w:rsidRPr="00235E29">
        <w:rPr>
          <w:lang w:val="en-US"/>
        </w:rPr>
        <w:t>.</w:t>
      </w:r>
    </w:p>
    <w:p w:rsidR="007D1252" w:rsidRPr="00235E29" w:rsidRDefault="007D1252" w:rsidP="00733569">
      <w:pPr>
        <w:pStyle w:val="Para0number"/>
        <w:numPr>
          <w:ilvl w:val="0"/>
          <w:numId w:val="13"/>
        </w:numPr>
        <w:ind w:left="283"/>
        <w:rPr>
          <w:lang w:val="en-US"/>
        </w:rPr>
      </w:pPr>
      <w:r w:rsidRPr="00235E29">
        <w:rPr>
          <w:lang w:val="en-US"/>
        </w:rPr>
        <w:t xml:space="preserve">‘Regulatory approach’ of standards for existing and new generators. Maximum allowable emissions intensity standards for new generators introduced. </w:t>
      </w:r>
      <w:r>
        <w:rPr>
          <w:lang w:val="en-US"/>
        </w:rPr>
        <w:t>Existing generators</w:t>
      </w:r>
      <w:r w:rsidRPr="00235E29">
        <w:rPr>
          <w:lang w:val="en-US"/>
        </w:rPr>
        <w:t xml:space="preserve"> </w:t>
      </w:r>
      <w:r>
        <w:rPr>
          <w:lang w:val="en-US"/>
        </w:rPr>
        <w:t>are closed in order of age (version A</w:t>
      </w:r>
      <w:r w:rsidRPr="00235E29">
        <w:rPr>
          <w:lang w:val="en-US"/>
        </w:rPr>
        <w:t>) or emissions intensity (version </w:t>
      </w:r>
      <w:r>
        <w:rPr>
          <w:lang w:val="en-US"/>
        </w:rPr>
        <w:t>B</w:t>
      </w:r>
      <w:r w:rsidRPr="00235E29">
        <w:rPr>
          <w:lang w:val="en-US"/>
        </w:rPr>
        <w:t xml:space="preserve">).  </w:t>
      </w:r>
    </w:p>
    <w:p w:rsidR="007D1252" w:rsidRDefault="007D1252" w:rsidP="00733569">
      <w:pPr>
        <w:pStyle w:val="Para0number"/>
        <w:numPr>
          <w:ilvl w:val="0"/>
          <w:numId w:val="13"/>
        </w:numPr>
        <w:ind w:left="283"/>
        <w:rPr>
          <w:lang w:val="en-US"/>
        </w:rPr>
      </w:pPr>
      <w:r w:rsidRPr="00235E29">
        <w:rPr>
          <w:lang w:val="en-US"/>
        </w:rPr>
        <w:t>‘Feed-in tariffs with contracts for difference’</w:t>
      </w:r>
      <w:r>
        <w:rPr>
          <w:lang w:val="en-US"/>
        </w:rPr>
        <w:t>:</w:t>
      </w:r>
      <w:r w:rsidRPr="00235E29">
        <w:rPr>
          <w:lang w:val="en-US"/>
        </w:rPr>
        <w:t xml:space="preserve"> </w:t>
      </w:r>
      <w:r>
        <w:rPr>
          <w:lang w:val="en-US"/>
        </w:rPr>
        <w:t>incentives are provided for specific forms of low emissions generation through</w:t>
      </w:r>
      <w:r w:rsidRPr="00235E29">
        <w:rPr>
          <w:lang w:val="en-US"/>
        </w:rPr>
        <w:t xml:space="preserve"> feed-in tariffs with contracts for difference (</w:t>
      </w:r>
      <w:r>
        <w:rPr>
          <w:lang w:val="en-US"/>
        </w:rPr>
        <w:t>broadly based on</w:t>
      </w:r>
      <w:r w:rsidRPr="00235E29">
        <w:rPr>
          <w:lang w:val="en-US"/>
        </w:rPr>
        <w:t xml:space="preserve"> policy design in the United Kingdom).</w:t>
      </w:r>
    </w:p>
    <w:p w:rsidR="007D1252" w:rsidRDefault="007D1252" w:rsidP="007D1252">
      <w:pPr>
        <w:pStyle w:val="Para0"/>
      </w:pPr>
      <w:r>
        <w:t>All modelling requires a series of assumptions and simplifications, including assumptions about what market participants know about the future and their expectations about the longevity of policy settings. In particular this modelling assumes that:</w:t>
      </w:r>
    </w:p>
    <w:p w:rsidR="007D1252" w:rsidRDefault="007D1252" w:rsidP="000817DB">
      <w:pPr>
        <w:pStyle w:val="Para0bullet"/>
      </w:pPr>
      <w:r>
        <w:t>each illustrative policy remains in place over the whole study period with no expectation of regulatory change by market participants</w:t>
      </w:r>
    </w:p>
    <w:p w:rsidR="007D1252" w:rsidRDefault="007D1252" w:rsidP="000817DB">
      <w:pPr>
        <w:pStyle w:val="Para0bullet"/>
      </w:pPr>
      <w:r>
        <w:t>all market participants have perfect foresight about future costs and electricity demand</w:t>
      </w:r>
    </w:p>
    <w:p w:rsidR="007D1252" w:rsidRDefault="007D1252" w:rsidP="000817DB">
      <w:pPr>
        <w:pStyle w:val="Para0bullet"/>
      </w:pPr>
      <w:proofErr w:type="gramStart"/>
      <w:r w:rsidRPr="000646D9">
        <w:t>regulatory</w:t>
      </w:r>
      <w:proofErr w:type="gramEnd"/>
      <w:r w:rsidRPr="000646D9">
        <w:t xml:space="preserve"> settings are designed to achieve efficient outcomes over the study period with perfect foresight about future costs</w:t>
      </w:r>
      <w:r>
        <w:t>.</w:t>
      </w:r>
    </w:p>
    <w:p w:rsidR="007D1252" w:rsidRDefault="007D1252" w:rsidP="007D1252">
      <w:pPr>
        <w:pStyle w:val="Para0"/>
      </w:pPr>
      <w:r>
        <w:t>The</w:t>
      </w:r>
      <w:r w:rsidR="00A15057">
        <w:t xml:space="preserve"> Authority will conduct qualitative analysis to explore the</w:t>
      </w:r>
      <w:r>
        <w:t xml:space="preserve"> impacts of substantial and unexpected changes</w:t>
      </w:r>
      <w:r w:rsidR="004A2D30">
        <w:t xml:space="preserve"> in</w:t>
      </w:r>
      <w:r>
        <w:t xml:space="preserve"> important variables </w:t>
      </w:r>
      <w:r w:rsidR="00A15057">
        <w:t>on the performance of the policy scenarios</w:t>
      </w:r>
      <w:r>
        <w:t xml:space="preserve">. </w:t>
      </w:r>
    </w:p>
    <w:p w:rsidR="007D1252" w:rsidRPr="00CE1D11" w:rsidRDefault="007D1252" w:rsidP="007D1252">
      <w:pPr>
        <w:pStyle w:val="Para0"/>
        <w:rPr>
          <w:lang w:val="en-US"/>
        </w:rPr>
      </w:pPr>
      <w:r>
        <w:t xml:space="preserve">The next section provides a more detailed description of each scenario to be modelled. A list of specific assumptions required to model each policy is at </w:t>
      </w:r>
      <w:r>
        <w:fldChar w:fldCharType="begin"/>
      </w:r>
      <w:r>
        <w:instrText xml:space="preserve"> REF _Ref419133424 \r \h </w:instrText>
      </w:r>
      <w:r>
        <w:fldChar w:fldCharType="separate"/>
      </w:r>
      <w:r w:rsidR="00014844">
        <w:t>Appendix B</w:t>
      </w:r>
      <w:r>
        <w:fldChar w:fldCharType="end"/>
      </w:r>
      <w:r>
        <w:t xml:space="preserve">. </w:t>
      </w:r>
    </w:p>
    <w:p w:rsidR="007D1252" w:rsidRPr="00235E29" w:rsidRDefault="007D1252" w:rsidP="007D1252">
      <w:pPr>
        <w:pStyle w:val="Heading2"/>
        <w:keepLines w:val="0"/>
        <w:ind w:left="435" w:hanging="576"/>
        <w:rPr>
          <w:rFonts w:eastAsiaTheme="minorHAnsi"/>
        </w:rPr>
      </w:pPr>
      <w:bookmarkStart w:id="14" w:name="_Toc419133304"/>
      <w:bookmarkStart w:id="15" w:name="_Toc420660042"/>
      <w:r>
        <w:rPr>
          <w:rFonts w:eastAsiaTheme="minorHAnsi"/>
        </w:rPr>
        <w:t>D</w:t>
      </w:r>
      <w:r w:rsidRPr="00235E29">
        <w:rPr>
          <w:rFonts w:eastAsiaTheme="minorHAnsi"/>
        </w:rPr>
        <w:t>etailed descriptions</w:t>
      </w:r>
      <w:bookmarkEnd w:id="14"/>
      <w:bookmarkEnd w:id="15"/>
    </w:p>
    <w:p w:rsidR="007D1252" w:rsidRDefault="007D1252" w:rsidP="007D1252">
      <w:pPr>
        <w:pStyle w:val="Heading3"/>
        <w:numPr>
          <w:ilvl w:val="0"/>
          <w:numId w:val="0"/>
        </w:numPr>
        <w:ind w:left="851" w:hanging="851"/>
        <w:rPr>
          <w:rFonts w:eastAsiaTheme="minorHAnsi"/>
        </w:rPr>
      </w:pPr>
      <w:bookmarkStart w:id="16" w:name="_Toc419133305"/>
      <w:bookmarkStart w:id="17" w:name="_Toc420660043"/>
      <w:r>
        <w:rPr>
          <w:rFonts w:eastAsiaTheme="minorHAnsi"/>
        </w:rPr>
        <w:t>Reference case</w:t>
      </w:r>
      <w:bookmarkEnd w:id="16"/>
      <w:bookmarkEnd w:id="17"/>
    </w:p>
    <w:p w:rsidR="007D1252" w:rsidRDefault="007D1252" w:rsidP="007D1252">
      <w:pPr>
        <w:pStyle w:val="Para0"/>
      </w:pPr>
      <w:r>
        <w:t xml:space="preserve">The reference case provides a projection of the future and the starting point to compare the performance of the illustrative policy scenarios. Emissions will not be constrained. </w:t>
      </w:r>
    </w:p>
    <w:p w:rsidR="007D1252" w:rsidRDefault="007D1252" w:rsidP="007D1252">
      <w:pPr>
        <w:pStyle w:val="Para0"/>
      </w:pPr>
      <w:r>
        <w:t>Climate change policies in the reference case are:</w:t>
      </w:r>
    </w:p>
    <w:p w:rsidR="007D1252" w:rsidRDefault="007D1252" w:rsidP="000817DB">
      <w:pPr>
        <w:pStyle w:val="Para0bullet"/>
      </w:pPr>
      <w:r>
        <w:t>The Renewable Energy Target (both Large-scale and Small-scale)</w:t>
      </w:r>
      <w:r w:rsidR="003443DD">
        <w:t xml:space="preserve"> as agreed by the Government and the Australian Labor Party, </w:t>
      </w:r>
      <w:r>
        <w:t xml:space="preserve">with a 2020 LRET target of 33,000 GWh </w:t>
      </w:r>
      <w:r w:rsidR="003443DD">
        <w:t>and e</w:t>
      </w:r>
      <w:r>
        <w:t>missions</w:t>
      </w:r>
      <w:r>
        <w:noBreakHyphen/>
        <w:t>intensive, trade</w:t>
      </w:r>
      <w:r>
        <w:noBreakHyphen/>
        <w:t>exposed industries (EITEIs) fully exempt from RET costs.</w:t>
      </w:r>
    </w:p>
    <w:p w:rsidR="007D1252" w:rsidRDefault="007D1252" w:rsidP="000817DB">
      <w:pPr>
        <w:pStyle w:val="Para0bullet"/>
      </w:pPr>
      <w:r>
        <w:t xml:space="preserve">State-based policies affecting the sector such as feed-in-tariffs for solar photovoltaic (PV) systems. </w:t>
      </w:r>
    </w:p>
    <w:p w:rsidR="007D1252" w:rsidRDefault="007D1252" w:rsidP="007D1252">
      <w:pPr>
        <w:pStyle w:val="Para0"/>
      </w:pPr>
      <w:r>
        <w:t xml:space="preserve">The reference case will also incorporate assumptions about the speed and nature of changes in network pricing resulting from recent Australian Energy Market Commission rule changes encouraging cost-reflective network pricing (see section 3.4.1). These are relevant for the level of retail prices and the level of peak demand, which in turn affects the generation mix.  As discussed in section </w:t>
      </w:r>
      <w:r>
        <w:fldChar w:fldCharType="begin"/>
      </w:r>
      <w:r>
        <w:instrText xml:space="preserve"> REF _Ref419216950 \r \h </w:instrText>
      </w:r>
      <w:r>
        <w:fldChar w:fldCharType="separate"/>
      </w:r>
      <w:r w:rsidR="00014844">
        <w:t>1.2</w:t>
      </w:r>
      <w:r>
        <w:fldChar w:fldCharType="end"/>
      </w:r>
      <w:r>
        <w:t>, phase two will consider the performance of the illustrative policies against a different possible future for the electricity sector involving a more substantial, rapid increase in distributed generation and storage.</w:t>
      </w:r>
    </w:p>
    <w:p w:rsidR="007D1252" w:rsidRDefault="007D1252" w:rsidP="007D1252">
      <w:pPr>
        <w:pStyle w:val="Heading3"/>
        <w:numPr>
          <w:ilvl w:val="0"/>
          <w:numId w:val="0"/>
        </w:numPr>
        <w:ind w:left="851" w:hanging="851"/>
        <w:rPr>
          <w:rFonts w:eastAsiaTheme="minorHAnsi"/>
        </w:rPr>
      </w:pPr>
      <w:bookmarkStart w:id="18" w:name="_Toc419133306"/>
      <w:bookmarkStart w:id="19" w:name="_Toc420660044"/>
      <w:r>
        <w:rPr>
          <w:rFonts w:eastAsiaTheme="minorHAnsi"/>
        </w:rPr>
        <w:t>Policy scenario 1: RET only</w:t>
      </w:r>
      <w:bookmarkEnd w:id="18"/>
      <w:bookmarkEnd w:id="19"/>
    </w:p>
    <w:p w:rsidR="007D1252" w:rsidRDefault="007D1252" w:rsidP="007D1252">
      <w:pPr>
        <w:pStyle w:val="Para0"/>
      </w:pPr>
      <w:r>
        <w:t xml:space="preserve">With ‘RET only’, a new large-scale Renewable Energy Target (LRET) operates from 2020 through to 2050 such that renewable energy generation takes sufficient market share to achieve the emissions constraint. </w:t>
      </w:r>
    </w:p>
    <w:p w:rsidR="007D1252" w:rsidRDefault="007D1252" w:rsidP="007D1252">
      <w:pPr>
        <w:pStyle w:val="Para0"/>
      </w:pPr>
      <w:r>
        <w:t xml:space="preserve">The bulk of the scheme would operate in the same way as the current LRET (see Box 1). To avoid creating windfall gains for pre-existing renewables, generators constructed prior to 2020 and eligible for the current LRET would be excluded from the new policy. A new RET trajectory over and above the existing one would start in 2020, and would follow the same rough shape as the current LRET (that is, rise linearly until 2040 and </w:t>
      </w:r>
      <w:r>
        <w:lastRenderedPageBreak/>
        <w:t xml:space="preserve">then stay flat for 10 years to stabilise investments prior to end of the policy horizon). This shape is intended to accelerate investments ahead of 2040 as later investments would have limited effect on cumulative emissions to 2050. The current </w:t>
      </w:r>
      <w:r w:rsidR="00A15057">
        <w:t>SRES</w:t>
      </w:r>
      <w:r>
        <w:t xml:space="preserve"> would phase out as currently legislated, ending in 2030. </w:t>
      </w:r>
    </w:p>
    <w:tbl>
      <w:tblPr>
        <w:tblStyle w:val="TableGrid"/>
        <w:tblW w:w="0" w:type="auto"/>
        <w:tblLook w:val="04A0" w:firstRow="1" w:lastRow="0" w:firstColumn="1" w:lastColumn="0" w:noHBand="0" w:noVBand="1"/>
      </w:tblPr>
      <w:tblGrid>
        <w:gridCol w:w="9994"/>
      </w:tblGrid>
      <w:tr w:rsidR="007D1252" w:rsidRPr="00BF03D5" w:rsidTr="006C350D">
        <w:tc>
          <w:tcPr>
            <w:tcW w:w="9994" w:type="dxa"/>
            <w:shd w:val="clear" w:color="auto" w:fill="C3C5C6" w:themeFill="accent5" w:themeFillTint="66"/>
          </w:tcPr>
          <w:p w:rsidR="007D1252" w:rsidRPr="00BF03D5" w:rsidRDefault="007D1252" w:rsidP="006C350D">
            <w:pPr>
              <w:pStyle w:val="Para0"/>
              <w:rPr>
                <w:b/>
              </w:rPr>
            </w:pPr>
            <w:r w:rsidRPr="00BF03D5">
              <w:rPr>
                <w:b/>
              </w:rPr>
              <w:t>Box 1: How the existing LRET works</w:t>
            </w:r>
          </w:p>
          <w:p w:rsidR="007D1252" w:rsidRPr="00BF03D5" w:rsidRDefault="007D1252" w:rsidP="006C350D">
            <w:pPr>
              <w:pStyle w:val="Para0"/>
              <w:rPr>
                <w:b/>
              </w:rPr>
            </w:pPr>
            <w:r w:rsidRPr="00BF03D5">
              <w:t>The LRET works by creating a market for additional renewable electricity that supports investment in new renewable generation capacity. It places a legal obligation on entities that purchase wholesale electricity (mainly electricity retailers) to surrender a certain number of certificates to the regulator each year. These certificates are generated by accredited renewable generators. Each certificate represents one megawatt hour (MWh) of additional renewable energy for compliance purposes; the certificates are tradeable and can be 'banked' in unlimited quantities for use in later compliance years. Liable entities can also effectively ‘borrow’ from future surrenders (this is limited to 10 per cent of an entity’s annual liability). If a liable entity does not surrender the number of certificates required, a 'shortfall charge' applies to the outstanding amount. Costs incurred by purchasing certificates are tax</w:t>
            </w:r>
            <w:r w:rsidRPr="00BF03D5">
              <w:noBreakHyphen/>
              <w:t xml:space="preserve">deductible, while payment of the shortfall charge is not. </w:t>
            </w:r>
          </w:p>
        </w:tc>
      </w:tr>
    </w:tbl>
    <w:p w:rsidR="007D1252" w:rsidRDefault="007D1252" w:rsidP="007D1252">
      <w:pPr>
        <w:pStyle w:val="Heading3"/>
        <w:numPr>
          <w:ilvl w:val="0"/>
          <w:numId w:val="0"/>
        </w:numPr>
        <w:ind w:left="851" w:hanging="851"/>
        <w:rPr>
          <w:rFonts w:eastAsiaTheme="minorHAnsi"/>
        </w:rPr>
      </w:pPr>
      <w:bookmarkStart w:id="20" w:name="_Toc419133307"/>
      <w:bookmarkStart w:id="21" w:name="_Toc420660045"/>
      <w:r>
        <w:rPr>
          <w:rFonts w:eastAsiaTheme="minorHAnsi"/>
        </w:rPr>
        <w:t>Policy scenario 2: Low emissions target (LET)</w:t>
      </w:r>
      <w:bookmarkEnd w:id="20"/>
      <w:bookmarkEnd w:id="21"/>
    </w:p>
    <w:p w:rsidR="007D1252" w:rsidRDefault="007D1252" w:rsidP="007D1252">
      <w:pPr>
        <w:pStyle w:val="Para0"/>
      </w:pPr>
      <w:r>
        <w:t xml:space="preserve">The LET would operate in the same way as the ‘RET only’ policy but with wider eligibility. The target has the same shape as in the ‘RET only’ scenario (linear increase from 2020 to 2040 then flat to 2050); eligibility is extended to all new zero- and low-emissions generation below a threshold level of emissions intensity. CCS retrofits to existing plant would also be eligible. Eligible generators receive certificates adjusted by how much the generation outperforms the threshold intensity, such that a zero emissions generator would receive one certificate for every MWh of output, while a generator with half the threshold intensity would receive half a certificate. </w:t>
      </w:r>
    </w:p>
    <w:p w:rsidR="007D1252" w:rsidRDefault="007D1252" w:rsidP="007D1252">
      <w:pPr>
        <w:pStyle w:val="Para0"/>
      </w:pPr>
      <w:r>
        <w:t>To avoid windfall gains for pre-existing generation,</w:t>
      </w:r>
      <w:r w:rsidRPr="00A9408C">
        <w:t xml:space="preserve"> </w:t>
      </w:r>
      <w:r>
        <w:t>zero- and low</w:t>
      </w:r>
      <w:r>
        <w:noBreakHyphen/>
        <w:t xml:space="preserve">emissions generators existing at 2020 would be eligible to produce LET certificates only for any generation above pre-specified historic baselines (similar to pre-existing renewable generation under the current LRET). </w:t>
      </w:r>
    </w:p>
    <w:p w:rsidR="007D1252" w:rsidRPr="006F7B2B" w:rsidRDefault="007D1252" w:rsidP="007D1252">
      <w:pPr>
        <w:pStyle w:val="Heading3"/>
        <w:numPr>
          <w:ilvl w:val="0"/>
          <w:numId w:val="0"/>
        </w:numPr>
        <w:ind w:left="851" w:hanging="851"/>
        <w:rPr>
          <w:rFonts w:eastAsiaTheme="minorHAnsi"/>
        </w:rPr>
      </w:pPr>
      <w:bookmarkStart w:id="22" w:name="_Toc419133308"/>
      <w:bookmarkStart w:id="23" w:name="_Toc420660046"/>
      <w:r>
        <w:rPr>
          <w:rFonts w:eastAsiaTheme="minorHAnsi"/>
        </w:rPr>
        <w:t>Policy scenario 3</w:t>
      </w:r>
      <w:r w:rsidRPr="006F7B2B">
        <w:rPr>
          <w:rFonts w:eastAsiaTheme="minorHAnsi"/>
        </w:rPr>
        <w:t>A: Cap and trade</w:t>
      </w:r>
      <w:bookmarkEnd w:id="22"/>
      <w:bookmarkEnd w:id="23"/>
    </w:p>
    <w:p w:rsidR="007D1252" w:rsidRPr="005879AE" w:rsidRDefault="007D1252" w:rsidP="007D1252">
      <w:pPr>
        <w:pStyle w:val="Para0"/>
      </w:pPr>
      <w:r w:rsidRPr="005879AE">
        <w:t xml:space="preserve">In cap and trade, an absolute emissions constraint is set for the electricity supply sector as a whole. All generators whose emissions exceed a given absolute emissions threshold are liable for surrendering permits to cover all of their emissions each compliance period (for example, each year). Emissions permits are purchased through government auction or a secondary market and can be traded, banked indefinitely for future use or borrowed in limited quantities. Demand for the fixed amount of permits available in each year creates an explicit carbon price, and the relative price of electricity made from more emissions-intensive sources increases. </w:t>
      </w:r>
    </w:p>
    <w:p w:rsidR="007D1252" w:rsidRPr="00235E29" w:rsidRDefault="007D1252" w:rsidP="007D1252">
      <w:pPr>
        <w:pStyle w:val="Heading3"/>
        <w:numPr>
          <w:ilvl w:val="0"/>
          <w:numId w:val="0"/>
        </w:numPr>
        <w:ind w:left="851" w:hanging="851"/>
        <w:rPr>
          <w:rFonts w:eastAsiaTheme="minorHAnsi"/>
        </w:rPr>
      </w:pPr>
      <w:bookmarkStart w:id="24" w:name="_Toc419133309"/>
      <w:bookmarkStart w:id="25" w:name="_Toc420660047"/>
      <w:r>
        <w:rPr>
          <w:rFonts w:eastAsiaTheme="minorHAnsi"/>
        </w:rPr>
        <w:t>Policy scenario 3B: Carbon tax</w:t>
      </w:r>
      <w:bookmarkEnd w:id="24"/>
      <w:bookmarkEnd w:id="25"/>
    </w:p>
    <w:p w:rsidR="007D1252" w:rsidRDefault="007D1252" w:rsidP="007D1252">
      <w:pPr>
        <w:pStyle w:val="Para0"/>
      </w:pPr>
      <w:r>
        <w:t xml:space="preserve">A carbon tax sets a price per unit of carbon dioxide equivalent emitted. Generators whose emissions exceed a given absolute emissions threshold are liable for paying tax to cover all of their emissions each compliance period (for example, each year). The tax is an explicit carbon price and the relative price of electricity made from more emissions-intensive sources increases. </w:t>
      </w:r>
    </w:p>
    <w:p w:rsidR="007D1252" w:rsidRPr="00724DBC" w:rsidRDefault="007D1252" w:rsidP="007D1252">
      <w:pPr>
        <w:pStyle w:val="Para0"/>
      </w:pPr>
      <w:r>
        <w:t xml:space="preserve">A carbon tax and a cap and trade scheme operate in essentially the same way (in terms of economic incentives), so they have essentially identical impacts in deterministic electricity sector models. Nevertheless, these policies give rise to different risks. </w:t>
      </w:r>
      <w:r w:rsidRPr="00724DBC">
        <w:t>While both set explicit prices for carbon, a cap and trade scheme fixes the quantity of emissions and lets the price vary; a tax fixes the price of emissions and lets the quantity vary. A cap and trade scheme therefore brings more financial risks for liable entities; a carbon tax brings more risks for the environment.</w:t>
      </w:r>
    </w:p>
    <w:p w:rsidR="007D1252" w:rsidRDefault="007D1252" w:rsidP="007D1252">
      <w:pPr>
        <w:pStyle w:val="Para0"/>
      </w:pPr>
      <w:r>
        <w:t xml:space="preserve">These different risks will not be reflected in the modelling, however, the Authority will make qualitative comparisons of the policy scenarios as part of its analysis. </w:t>
      </w:r>
    </w:p>
    <w:p w:rsidR="007D1252" w:rsidRPr="00672C54" w:rsidRDefault="007D1252" w:rsidP="007D1252">
      <w:pPr>
        <w:pStyle w:val="Heading3"/>
        <w:numPr>
          <w:ilvl w:val="0"/>
          <w:numId w:val="0"/>
        </w:numPr>
        <w:ind w:left="851" w:hanging="851"/>
        <w:rPr>
          <w:rFonts w:eastAsiaTheme="minorHAnsi"/>
        </w:rPr>
      </w:pPr>
      <w:bookmarkStart w:id="26" w:name="_Toc419133310"/>
      <w:bookmarkStart w:id="27" w:name="_Toc420660048"/>
      <w:r>
        <w:rPr>
          <w:rFonts w:eastAsiaTheme="minorHAnsi"/>
        </w:rPr>
        <w:lastRenderedPageBreak/>
        <w:t>Policy scenario 4: Absolute baselines</w:t>
      </w:r>
      <w:bookmarkEnd w:id="26"/>
      <w:bookmarkEnd w:id="27"/>
      <w:r>
        <w:rPr>
          <w:rFonts w:eastAsiaTheme="minorHAnsi"/>
        </w:rPr>
        <w:t xml:space="preserve"> </w:t>
      </w:r>
    </w:p>
    <w:p w:rsidR="00C217A4" w:rsidRPr="00C217A4" w:rsidRDefault="00C217A4" w:rsidP="00C217A4">
      <w:pPr>
        <w:pStyle w:val="Para0"/>
        <w:rPr>
          <w:rFonts w:eastAsiaTheme="minorHAnsi"/>
        </w:rPr>
      </w:pPr>
      <w:bookmarkStart w:id="28" w:name="_Toc419133311"/>
      <w:r w:rsidRPr="00C217A4">
        <w:t>This scenario has some features in common with the baseline being considered for the electricity sector under the ERF safeguard mechanism, noting that the Government is still consulting on its design.  </w:t>
      </w:r>
    </w:p>
    <w:p w:rsidR="00C217A4" w:rsidRPr="00C217A4" w:rsidRDefault="00C217A4" w:rsidP="00C217A4">
      <w:pPr>
        <w:pStyle w:val="Para0"/>
        <w:rPr>
          <w:rFonts w:eastAsia="Times New Roman"/>
        </w:rPr>
      </w:pPr>
      <w:r w:rsidRPr="00C217A4">
        <w:t>Under this policy scenario an emissions baseline would be set for facilities that report their emissions under the National Greenhouse and Energy Reporting Scheme</w:t>
      </w:r>
      <w:r>
        <w:t xml:space="preserve"> in the form of </w:t>
      </w:r>
      <w:r w:rsidRPr="00C217A4">
        <w:t xml:space="preserve">a sector-wide baseline for grid-connected generators based on average emissions over specified historical period. If the sectoral baseline is exceeded, individual baselines set with reference to the same historical period would apply from the year after the sectoral baseline was exceeded. Baselines for new facilities and significant expansions will be set at a level to encourage facilities to achieve and maintain ‘best practice’. </w:t>
      </w:r>
    </w:p>
    <w:p w:rsidR="00C217A4" w:rsidRPr="00C217A4" w:rsidRDefault="00C217A4" w:rsidP="00C217A4">
      <w:pPr>
        <w:pStyle w:val="Para0"/>
      </w:pPr>
      <w:r w:rsidRPr="00C217A4">
        <w:t>The modelling assumes that baselines would decline at the rate necessary to achieve the emissions constraint. This is not a design feature of the safeguard mechanism under Government policy. The sector</w:t>
      </w:r>
      <w:r w:rsidRPr="00C217A4">
        <w:noBreakHyphen/>
        <w:t>wide baseline in the scenario is set using average annual sectoral emissions between 2009–10 and 2013–14. Based on the projected demand path, sectoral emissions will breach the baseline during the modelling horizon, triggering the application of individual baselines. These baselines will initially be set using average annual generator-specific emissions from the same period as the sectoral baseline and will then decline to achieve the emissions constraint. Baselines would only apply to generators above the industry average emissions intensity; this intensity threshold would decline over time. Given the strong emissions constraint, the scenario assumes that the ‘best practice’ requirement for new entrants would prohibit fossil fuel generators from being built without CCS.</w:t>
      </w:r>
    </w:p>
    <w:p w:rsidR="00595666" w:rsidRDefault="00C217A4" w:rsidP="00C217A4">
      <w:pPr>
        <w:pStyle w:val="Para0"/>
      </w:pPr>
      <w:r w:rsidRPr="00C217A4">
        <w:t>The scenario does not currently incorporate any ERF type crediting for electricity generators however this may be incorporated. The crediting mechanism may encourage additional energy efficiency improvements in the broader economy; the different paths for electricity demand explored in phase two of the work will incorporate different rates of efficiency improvement.</w:t>
      </w:r>
      <w:r w:rsidR="00595666">
        <w:rPr>
          <w:color w:val="000000"/>
        </w:rPr>
        <w:t xml:space="preserve"> </w:t>
      </w:r>
    </w:p>
    <w:p w:rsidR="007D1252" w:rsidRPr="00724DBC" w:rsidRDefault="007D1252" w:rsidP="00595666">
      <w:pPr>
        <w:pStyle w:val="Heading3"/>
        <w:numPr>
          <w:ilvl w:val="0"/>
          <w:numId w:val="0"/>
        </w:numPr>
        <w:ind w:left="851" w:hanging="851"/>
        <w:rPr>
          <w:rStyle w:val="AttachmentHeading2Char"/>
          <w:rFonts w:eastAsiaTheme="majorEastAsia" w:cstheme="majorBidi"/>
          <w:b/>
          <w:bCs w:val="0"/>
          <w:i w:val="0"/>
          <w:sz w:val="20"/>
          <w:szCs w:val="24"/>
          <w:lang w:val="en-AU"/>
        </w:rPr>
      </w:pPr>
      <w:bookmarkStart w:id="29" w:name="_Toc420660049"/>
      <w:r w:rsidRPr="00724DBC">
        <w:t>Policy scenario</w:t>
      </w:r>
      <w:r w:rsidRPr="00724DBC">
        <w:rPr>
          <w:rStyle w:val="AttachmentHeading2Char"/>
          <w:rFonts w:eastAsiaTheme="majorEastAsia" w:cstheme="majorBidi"/>
          <w:b/>
          <w:i w:val="0"/>
          <w:sz w:val="20"/>
          <w:szCs w:val="24"/>
          <w:lang w:val="en-AU"/>
        </w:rPr>
        <w:t xml:space="preserve"> 5: Intensity target</w:t>
      </w:r>
      <w:bookmarkEnd w:id="28"/>
      <w:bookmarkEnd w:id="29"/>
    </w:p>
    <w:p w:rsidR="007D1252" w:rsidRDefault="007D1252" w:rsidP="007D1252">
      <w:pPr>
        <w:pStyle w:val="Para0"/>
      </w:pPr>
      <w:r>
        <w:t>An emissions intensity baseline is set for the electricity supply sector as a whole (based on tonnes of carbon dioxide equivalent per megawatt hour sent out (tCO</w:t>
      </w:r>
      <w:r>
        <w:rPr>
          <w:vertAlign w:val="subscript"/>
        </w:rPr>
        <w:t>2</w:t>
      </w:r>
      <w:r>
        <w:t xml:space="preserve">-e/MWh)). All generators are allocated permits (representing one tonne of carbon dioxide equivalent) equal to their own output multiplied by the baseline. At the end of the compliance period all generators surrender permits for each tonne of </w:t>
      </w:r>
      <w:r w:rsidR="006066D3">
        <w:t>carbon dioxide equivalent emitted</w:t>
      </w:r>
      <w:r>
        <w:t xml:space="preserve">. This effectively means that generators with intensity below the baseline have surplus permits to sell (so receive a subsidy) and generators with intensity above the baseline need to buy additional permits (so incur an extra cost). Emissions permits can also be banked indefinitely for future use or borrowed in limited quantities. </w:t>
      </w:r>
    </w:p>
    <w:p w:rsidR="007D1252" w:rsidRDefault="007D1252" w:rsidP="007D1252">
      <w:pPr>
        <w:pStyle w:val="Para0"/>
      </w:pPr>
      <w:r>
        <w:t>As with a conventional cap and trade scheme, demand for permits available in each year creates an explicit carbon price, and the relative price of electricity made from more emissions-intensive sources increases. In contrast to a conventional cap and trade scheme, there is no absolute emissions cap, so in practice overall sectoral emissions will vary depending on electricity demand. In this exercise, the model will solve for the declining trajectory for emissions intensity baselines to meet the emissions constraint.</w:t>
      </w:r>
    </w:p>
    <w:p w:rsidR="007D1252" w:rsidRDefault="007D1252" w:rsidP="007D1252">
      <w:pPr>
        <w:pStyle w:val="Heading3"/>
        <w:numPr>
          <w:ilvl w:val="0"/>
          <w:numId w:val="0"/>
        </w:numPr>
        <w:ind w:left="851" w:hanging="851"/>
        <w:rPr>
          <w:rFonts w:eastAsiaTheme="minorHAnsi"/>
        </w:rPr>
      </w:pPr>
      <w:bookmarkStart w:id="30" w:name="_Toc419133312"/>
      <w:bookmarkStart w:id="31" w:name="_Toc420660050"/>
      <w:r>
        <w:rPr>
          <w:rFonts w:eastAsiaTheme="minorHAnsi"/>
        </w:rPr>
        <w:t>Policy scenario 6: Regulatory approach</w:t>
      </w:r>
      <w:bookmarkEnd w:id="30"/>
      <w:bookmarkEnd w:id="31"/>
    </w:p>
    <w:p w:rsidR="007D1252" w:rsidRDefault="007D1252" w:rsidP="007D1252">
      <w:pPr>
        <w:pStyle w:val="Para0"/>
        <w:rPr>
          <w:rFonts w:eastAsiaTheme="minorHAnsi"/>
        </w:rPr>
      </w:pPr>
      <w:r>
        <w:rPr>
          <w:rFonts w:eastAsiaTheme="minorHAnsi"/>
        </w:rPr>
        <w:t>Regulations force the closure or CCS retrofit of existing high-emitting generator</w:t>
      </w:r>
      <w:r w:rsidR="006066D3">
        <w:rPr>
          <w:rFonts w:eastAsiaTheme="minorHAnsi"/>
        </w:rPr>
        <w:t>s. There are two variants: ‘age</w:t>
      </w:r>
      <w:r w:rsidR="006066D3">
        <w:rPr>
          <w:rFonts w:eastAsiaTheme="minorHAnsi"/>
        </w:rPr>
        <w:noBreakHyphen/>
      </w:r>
      <w:r>
        <w:rPr>
          <w:rFonts w:eastAsiaTheme="minorHAnsi"/>
        </w:rPr>
        <w:t xml:space="preserve">based’ closures (option A) or ‘intensity-based’ ones (option B). New coal without CCS is prohibited in either case. </w:t>
      </w:r>
    </w:p>
    <w:p w:rsidR="007D1252" w:rsidRPr="006B3623" w:rsidRDefault="007D1252" w:rsidP="007D1252">
      <w:pPr>
        <w:pStyle w:val="Para0"/>
        <w:rPr>
          <w:rFonts w:eastAsiaTheme="minorHAnsi"/>
          <w:b/>
        </w:rPr>
      </w:pPr>
      <w:r>
        <w:rPr>
          <w:rFonts w:eastAsiaTheme="minorHAnsi"/>
        </w:rPr>
        <w:t>Each scheme would close existing coal capacity in roughly linear fashion starting with the oldest or most emissions intensive, with the order of plant closure publicly announced at the time the policy is introduced. Each plant identified for closure would be legally required to either close or</w:t>
      </w:r>
      <w:r w:rsidR="00A7236E">
        <w:rPr>
          <w:rFonts w:eastAsiaTheme="minorHAnsi"/>
        </w:rPr>
        <w:t xml:space="preserve"> CCS</w:t>
      </w:r>
      <w:r>
        <w:rPr>
          <w:rFonts w:eastAsiaTheme="minorHAnsi"/>
        </w:rPr>
        <w:t xml:space="preserve"> retrofit by its closure date. </w:t>
      </w:r>
    </w:p>
    <w:p w:rsidR="007D1252" w:rsidRDefault="007D1252" w:rsidP="007D1252">
      <w:pPr>
        <w:pStyle w:val="Para0"/>
        <w:rPr>
          <w:rFonts w:eastAsiaTheme="minorHAnsi"/>
        </w:rPr>
      </w:pPr>
      <w:r>
        <w:rPr>
          <w:rFonts w:eastAsiaTheme="minorHAnsi"/>
        </w:rPr>
        <w:t xml:space="preserve">Prior to investigation through modelling, it is not obvious whether the targeted emissions constraint can be met by </w:t>
      </w:r>
      <w:r w:rsidR="00A7236E">
        <w:rPr>
          <w:rFonts w:eastAsiaTheme="minorHAnsi"/>
        </w:rPr>
        <w:t xml:space="preserve">only </w:t>
      </w:r>
      <w:r>
        <w:rPr>
          <w:rFonts w:eastAsiaTheme="minorHAnsi"/>
        </w:rPr>
        <w:t xml:space="preserve">closing coal capacity, or whether gas capacity may also need to be withdrawn. If gas closures are required to meet the constraint, simply closing (say) the most emissions intensive may be an unnecessarily </w:t>
      </w:r>
      <w:r>
        <w:rPr>
          <w:rFonts w:eastAsiaTheme="minorHAnsi"/>
        </w:rPr>
        <w:lastRenderedPageBreak/>
        <w:t>costly approach, as it may prohibit less efficient but more flexible open-cycle gas turbines to continue to provide a peaking role. This suggests that the regulation on existing gas plants takes the form of a declining maximum level of emissions per MW capacity per year constraint, starting in 2020 at th</w:t>
      </w:r>
      <w:r w:rsidR="00A7236E">
        <w:rPr>
          <w:rFonts w:eastAsiaTheme="minorHAnsi"/>
        </w:rPr>
        <w:t>e level of a best-practice base</w:t>
      </w:r>
      <w:r w:rsidR="00A7236E">
        <w:rPr>
          <w:rFonts w:eastAsiaTheme="minorHAnsi"/>
        </w:rPr>
        <w:noBreakHyphen/>
      </w:r>
      <w:r>
        <w:rPr>
          <w:rFonts w:eastAsiaTheme="minorHAnsi"/>
        </w:rPr>
        <w:t>loading combined cycle plant, (i.e. 2,200 tonnes per MW installed per year). The gas constraint would be imposed if coal-only regulation would not be sufficient to meet the emissions constraint.</w:t>
      </w:r>
    </w:p>
    <w:p w:rsidR="007D1252" w:rsidRDefault="007D1252" w:rsidP="007D1252">
      <w:pPr>
        <w:pStyle w:val="Para0"/>
      </w:pPr>
      <w:r w:rsidRPr="00F97473">
        <w:t>For the purposes of simplicity</w:t>
      </w:r>
      <w:r>
        <w:t>,</w:t>
      </w:r>
      <w:r w:rsidRPr="00F97473">
        <w:t xml:space="preserve"> the modelling </w:t>
      </w:r>
      <w:r>
        <w:t>will</w:t>
      </w:r>
      <w:r w:rsidRPr="00F97473">
        <w:t xml:space="preserve"> assume closure requires complete withdrawal of the whole </w:t>
      </w:r>
      <w:r>
        <w:t>generator</w:t>
      </w:r>
      <w:r w:rsidRPr="00F97473">
        <w:t xml:space="preserve"> at a specific date (or complete conversion to CCS). </w:t>
      </w:r>
      <w:r>
        <w:t>In practice, i</w:t>
      </w:r>
      <w:r w:rsidRPr="00F97473">
        <w:t>f a regulatory approach were adopted it might incorporate more efficient approaches where plants are retired more gradually</w:t>
      </w:r>
      <w:r>
        <w:t xml:space="preserve"> (for example, unit by unit)</w:t>
      </w:r>
      <w:r w:rsidRPr="00F97473">
        <w:t xml:space="preserve">. </w:t>
      </w:r>
    </w:p>
    <w:p w:rsidR="007D1252" w:rsidRPr="00235E29" w:rsidRDefault="007D1252" w:rsidP="007D1252">
      <w:pPr>
        <w:pStyle w:val="Heading3"/>
        <w:numPr>
          <w:ilvl w:val="0"/>
          <w:numId w:val="0"/>
        </w:numPr>
        <w:ind w:left="851" w:hanging="851"/>
        <w:rPr>
          <w:rFonts w:eastAsiaTheme="minorHAnsi"/>
        </w:rPr>
      </w:pPr>
      <w:bookmarkStart w:id="32" w:name="_Toc419133313"/>
      <w:bookmarkStart w:id="33" w:name="_Toc420660051"/>
      <w:r>
        <w:rPr>
          <w:rFonts w:eastAsiaTheme="minorHAnsi"/>
        </w:rPr>
        <w:t>Policy scenario 7: Feed-in tariffs (FiT) with contracts for differences (CfD)</w:t>
      </w:r>
      <w:bookmarkEnd w:id="32"/>
      <w:bookmarkEnd w:id="33"/>
    </w:p>
    <w:p w:rsidR="007D1252" w:rsidRDefault="007D1252" w:rsidP="007D1252">
      <w:pPr>
        <w:pStyle w:val="Para0"/>
      </w:pPr>
      <w:r>
        <w:t>Feed-in tariff (FiT) schemes set prices rather than quantities for eligible technologies. The FiT–CfD scenario is broadly based on the scheme recently introduced into the United Kingdom.</w:t>
      </w:r>
      <w:r>
        <w:rPr>
          <w:rStyle w:val="FootnoteReference"/>
        </w:rPr>
        <w:footnoteReference w:id="3"/>
      </w:r>
      <w:r>
        <w:t xml:space="preserve"> In this approach, the government holds periodic reverse auctions to encourage new low emissions capacity at the lowest acceptable tariff. The tariff for the successful bidders is realised through a </w:t>
      </w:r>
      <w:r w:rsidR="00A7236E">
        <w:t>CfD</w:t>
      </w:r>
      <w:r>
        <w:t>, a long-term contract between the government and the generator under which the generator receives the difference between a premium (‘strike’ price) and reference wholesale electricity price for each unit of electricity generated. If the reference wholesale price exceeds the strike price, generators pay back the difference (</w:t>
      </w:r>
      <w:r>
        <w:fldChar w:fldCharType="begin"/>
      </w:r>
      <w:r>
        <w:instrText xml:space="preserve"> REF _Ref419125739 \h </w:instrText>
      </w:r>
      <w:r>
        <w:fldChar w:fldCharType="separate"/>
      </w:r>
      <w:r w:rsidR="00014844">
        <w:t xml:space="preserve">Figure </w:t>
      </w:r>
      <w:r w:rsidR="00014844">
        <w:rPr>
          <w:noProof/>
        </w:rPr>
        <w:t>1</w:t>
      </w:r>
      <w:r>
        <w:fldChar w:fldCharType="end"/>
      </w:r>
      <w:r>
        <w:t xml:space="preserve">). </w:t>
      </w:r>
    </w:p>
    <w:p w:rsidR="00D37BC9" w:rsidRDefault="00A7236E" w:rsidP="007D1252">
      <w:pPr>
        <w:pStyle w:val="Para0"/>
      </w:pPr>
      <w:r>
        <w:rPr>
          <w:rFonts w:eastAsia="Times New Roman"/>
        </w:rPr>
        <w:t>Under CfDs, p</w:t>
      </w:r>
      <w:r w:rsidR="00D37BC9" w:rsidRPr="007D1252">
        <w:rPr>
          <w:rFonts w:eastAsia="Times New Roman"/>
        </w:rPr>
        <w:t>ayments made by the government are unpredictable and potentially large. The payments are recovered from electricity consumers via a customer levy.</w:t>
      </w:r>
    </w:p>
    <w:p w:rsidR="007D1252" w:rsidRDefault="007D1252" w:rsidP="007D1252">
      <w:pPr>
        <w:pStyle w:val="Caption"/>
      </w:pPr>
      <w:bookmarkStart w:id="34" w:name="_Ref419125739"/>
      <w:bookmarkStart w:id="35" w:name="_Ref419125732"/>
      <w:r>
        <w:t xml:space="preserve">Figure </w:t>
      </w:r>
      <w:r>
        <w:fldChar w:fldCharType="begin"/>
      </w:r>
      <w:r>
        <w:instrText xml:space="preserve"> SEQ Figure \* ARABIC </w:instrText>
      </w:r>
      <w:r>
        <w:fldChar w:fldCharType="separate"/>
      </w:r>
      <w:r w:rsidR="00014844">
        <w:rPr>
          <w:noProof/>
        </w:rPr>
        <w:t>1</w:t>
      </w:r>
      <w:r>
        <w:fldChar w:fldCharType="end"/>
      </w:r>
      <w:bookmarkEnd w:id="34"/>
      <w:r>
        <w:t xml:space="preserve"> Operation of contracts for difference</w:t>
      </w:r>
      <w:bookmarkEnd w:id="35"/>
    </w:p>
    <w:p w:rsidR="007D1252" w:rsidRDefault="007D1252" w:rsidP="007D1252">
      <w:r>
        <w:rPr>
          <w:noProof/>
          <w:lang w:eastAsia="en-AU"/>
        </w:rPr>
        <w:drawing>
          <wp:inline distT="0" distB="0" distL="0" distR="0" wp14:anchorId="5F498B0E" wp14:editId="23687406">
            <wp:extent cx="5943600" cy="28917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91790"/>
                    </a:xfrm>
                    <a:prstGeom prst="rect">
                      <a:avLst/>
                    </a:prstGeom>
                  </pic:spPr>
                </pic:pic>
              </a:graphicData>
            </a:graphic>
          </wp:inline>
        </w:drawing>
      </w:r>
    </w:p>
    <w:p w:rsidR="007D1252" w:rsidRPr="00272D79" w:rsidRDefault="007D1252" w:rsidP="007D1252">
      <w:pPr>
        <w:pStyle w:val="Source"/>
        <w:rPr>
          <w:b/>
        </w:rPr>
      </w:pPr>
      <w:r>
        <w:t xml:space="preserve">Source: United Kingdom Department of Energy and Climate Change 2011, </w:t>
      </w:r>
      <w:r w:rsidRPr="00DD6559">
        <w:rPr>
          <w:i/>
        </w:rPr>
        <w:t>Planning our electric future: a White Paper for secure, affordable and low</w:t>
      </w:r>
      <w:r w:rsidRPr="00DD6559">
        <w:rPr>
          <w:i/>
        </w:rPr>
        <w:noBreakHyphen/>
        <w:t>carbon electricity</w:t>
      </w:r>
      <w:r>
        <w:t>, July 2011, London.</w:t>
      </w:r>
    </w:p>
    <w:p w:rsidR="007D1252" w:rsidRDefault="007D1252" w:rsidP="007D1252">
      <w:pPr>
        <w:pStyle w:val="Para0"/>
      </w:pPr>
      <w:r>
        <w:t>The CfD removes most electricity market risk for eligible generators. It is similar to the Power Purchase Agreements (PPAs) that emerge under Australia’s LRET, but with the following differences:</w:t>
      </w:r>
    </w:p>
    <w:p w:rsidR="007D1252" w:rsidRDefault="007D1252" w:rsidP="000817DB">
      <w:pPr>
        <w:pStyle w:val="Para0bullet"/>
      </w:pPr>
      <w:r>
        <w:t xml:space="preserve">CfD contracts are contracts between an eligible generator and the </w:t>
      </w:r>
      <w:r w:rsidR="00106F33">
        <w:t>g</w:t>
      </w:r>
      <w:r>
        <w:t>overnment rather than with liable parties under the LRET</w:t>
      </w:r>
    </w:p>
    <w:p w:rsidR="007D1252" w:rsidRDefault="007D1252" w:rsidP="000817DB">
      <w:pPr>
        <w:pStyle w:val="Para0bullet"/>
      </w:pPr>
      <w:r>
        <w:lastRenderedPageBreak/>
        <w:t xml:space="preserve">PPAs generally provide a fixed unit price for both electricity and the renewable energy certificates, so generators will not necessarily respond to wholesale market signals. Under a CfD, eligible generators receive the difference between the strike price and a reference wholesale price (for example a monthly average), but their revenue from the wholesale market depends on the actual wholesale price received. This means that CfDs maintain the incentive for eligible generators to respond to wholesale market price signals and therefore to supply electricity efficiently.  </w:t>
      </w:r>
    </w:p>
    <w:p w:rsidR="00AB7326" w:rsidRDefault="00FA2FF9" w:rsidP="007D1252">
      <w:pPr>
        <w:pStyle w:val="Heading1"/>
        <w:ind w:left="219"/>
      </w:pPr>
      <w:bookmarkStart w:id="36" w:name="_Toc420660052"/>
      <w:r>
        <w:lastRenderedPageBreak/>
        <w:t>Modelling Approach</w:t>
      </w:r>
      <w:bookmarkEnd w:id="36"/>
    </w:p>
    <w:p w:rsidR="006A0AB4" w:rsidRDefault="006A0AB4" w:rsidP="00395BA0">
      <w:pPr>
        <w:pStyle w:val="Para0"/>
      </w:pPr>
      <w:r>
        <w:t xml:space="preserve">The modelling task is to model the impact of the </w:t>
      </w:r>
      <w:r w:rsidR="00E55F75">
        <w:t xml:space="preserve">seven </w:t>
      </w:r>
      <w:r w:rsidR="0043233A">
        <w:t xml:space="preserve">policy </w:t>
      </w:r>
      <w:r w:rsidR="00A25FFD">
        <w:t>scenarios</w:t>
      </w:r>
      <w:r w:rsidR="00485014">
        <w:t xml:space="preserve"> for greenhouse gas mitigation</w:t>
      </w:r>
      <w:r w:rsidR="00E55F75">
        <w:t xml:space="preserve">. The cumulative </w:t>
      </w:r>
      <w:r w:rsidR="00ED19CE">
        <w:t xml:space="preserve">emissions </w:t>
      </w:r>
      <w:r w:rsidR="00CA4A96">
        <w:t>const</w:t>
      </w:r>
      <w:r w:rsidR="008D308B">
        <w:t>r</w:t>
      </w:r>
      <w:r w:rsidR="00CA4A96">
        <w:t xml:space="preserve">aint </w:t>
      </w:r>
      <w:r w:rsidR="00E55F75">
        <w:t xml:space="preserve">is the same for all </w:t>
      </w:r>
      <w:r w:rsidR="00A25FFD">
        <w:t>scenarios</w:t>
      </w:r>
      <w:r w:rsidR="00E55F75">
        <w:t xml:space="preserve">, but each </w:t>
      </w:r>
      <w:r w:rsidR="00A25FFD">
        <w:t xml:space="preserve">scenario </w:t>
      </w:r>
      <w:r w:rsidR="00E55F75">
        <w:t xml:space="preserve">will differ in </w:t>
      </w:r>
      <w:r w:rsidR="00CF46C6">
        <w:t>their effect</w:t>
      </w:r>
      <w:r w:rsidR="00D37BC9">
        <w:t>s</w:t>
      </w:r>
      <w:r w:rsidR="00CF46C6">
        <w:t xml:space="preserve"> on existing generation, as well as </w:t>
      </w:r>
      <w:r w:rsidR="00E55F75">
        <w:t>the adjustments</w:t>
      </w:r>
      <w:r w:rsidR="00CF46C6">
        <w:t xml:space="preserve"> and timing</w:t>
      </w:r>
      <w:r w:rsidR="00E55F75">
        <w:t xml:space="preserve"> </w:t>
      </w:r>
      <w:r w:rsidR="00CF46C6">
        <w:t>for new investment</w:t>
      </w:r>
      <w:r w:rsidR="00E55F75">
        <w:t xml:space="preserve">.  </w:t>
      </w:r>
      <w:r w:rsidR="00485014">
        <w:t>S</w:t>
      </w:r>
      <w:r w:rsidR="00A25FFD">
        <w:t xml:space="preserve">cenarios </w:t>
      </w:r>
      <w:r w:rsidR="00E55F75">
        <w:t>may also have different impacts on wholesale and retail prices, and hence may have different impacts on electricity demand.</w:t>
      </w:r>
    </w:p>
    <w:p w:rsidR="00723C5E" w:rsidRDefault="00723C5E" w:rsidP="0091735E">
      <w:pPr>
        <w:pStyle w:val="Para0"/>
      </w:pPr>
      <w:r>
        <w:t xml:space="preserve">In this section, we provide a broad outline of the approach taken to model electricity market impacts </w:t>
      </w:r>
      <w:r w:rsidR="002F19B2">
        <w:t>o</w:t>
      </w:r>
      <w:r w:rsidR="00D37BC9">
        <w:t>f</w:t>
      </w:r>
      <w:r w:rsidR="002F19B2">
        <w:t xml:space="preserve"> </w:t>
      </w:r>
      <w:r>
        <w:t xml:space="preserve">each policy.  The impacts are determined by comparing outcomes in </w:t>
      </w:r>
      <w:r w:rsidR="00ED19CE">
        <w:t xml:space="preserve">each of </w:t>
      </w:r>
      <w:r>
        <w:t>the policy scenario</w:t>
      </w:r>
      <w:r w:rsidR="00ED19CE">
        <w:t>s</w:t>
      </w:r>
      <w:r>
        <w:t xml:space="preserve"> with those for the reference scenario.</w:t>
      </w:r>
    </w:p>
    <w:p w:rsidR="00D06BB8" w:rsidRDefault="00D06BB8" w:rsidP="0036415B">
      <w:pPr>
        <w:pStyle w:val="Para0"/>
      </w:pPr>
      <w:r>
        <w:t xml:space="preserve">The estimated impacts include </w:t>
      </w:r>
      <w:r w:rsidR="007C619C">
        <w:t xml:space="preserve">those </w:t>
      </w:r>
      <w:r>
        <w:t>on:</w:t>
      </w:r>
    </w:p>
    <w:p w:rsidR="00D06BB8" w:rsidRDefault="00A9764E" w:rsidP="000817DB">
      <w:pPr>
        <w:pStyle w:val="Para0bullet"/>
      </w:pPr>
      <w:r>
        <w:t>Wholesale and retail prices</w:t>
      </w:r>
    </w:p>
    <w:p w:rsidR="00D06BB8" w:rsidRDefault="00D06BB8" w:rsidP="000817DB">
      <w:pPr>
        <w:pStyle w:val="Para0bullet"/>
      </w:pPr>
      <w:r>
        <w:t>Generation mi</w:t>
      </w:r>
      <w:r w:rsidR="00A9764E">
        <w:t>x in each region by technology</w:t>
      </w:r>
    </w:p>
    <w:p w:rsidR="00D06BB8" w:rsidRDefault="00D06BB8" w:rsidP="000817DB">
      <w:pPr>
        <w:pStyle w:val="Para0bullet"/>
      </w:pPr>
      <w:r>
        <w:t>Investment mix in new</w:t>
      </w:r>
      <w:r w:rsidR="00A9764E">
        <w:t xml:space="preserve"> generation by technology</w:t>
      </w:r>
    </w:p>
    <w:p w:rsidR="00D06BB8" w:rsidRDefault="00D06BB8" w:rsidP="000817DB">
      <w:pPr>
        <w:pStyle w:val="Para0bullet"/>
      </w:pPr>
      <w:r>
        <w:t>Resource cost of electricity supply</w:t>
      </w:r>
    </w:p>
    <w:p w:rsidR="00D06BB8" w:rsidRDefault="00D06BB8" w:rsidP="000817DB">
      <w:pPr>
        <w:pStyle w:val="Para0bullet"/>
      </w:pPr>
      <w:r>
        <w:t>Emission</w:t>
      </w:r>
      <w:r w:rsidR="00A9764E">
        <w:t>s</w:t>
      </w:r>
      <w:r>
        <w:t xml:space="preserve"> pathway</w:t>
      </w:r>
    </w:p>
    <w:p w:rsidR="00D06BB8" w:rsidRDefault="00D06BB8" w:rsidP="000817DB">
      <w:pPr>
        <w:pStyle w:val="Para0bullet"/>
      </w:pPr>
      <w:r>
        <w:t>Cost of abatement</w:t>
      </w:r>
    </w:p>
    <w:p w:rsidR="00D06BB8" w:rsidRDefault="00D06BB8" w:rsidP="000817DB">
      <w:pPr>
        <w:pStyle w:val="Para0bullet"/>
      </w:pPr>
      <w:r>
        <w:t>Generator profitability</w:t>
      </w:r>
    </w:p>
    <w:p w:rsidR="00D06BB8" w:rsidRDefault="00D06BB8" w:rsidP="000817DB">
      <w:pPr>
        <w:pStyle w:val="Para0bullet"/>
      </w:pPr>
      <w:r>
        <w:t>Supply reliability (through such measures as energy not served and loss of load hours)</w:t>
      </w:r>
    </w:p>
    <w:p w:rsidR="00D06BB8" w:rsidRDefault="00D06BB8" w:rsidP="00395BA0">
      <w:pPr>
        <w:pStyle w:val="Para0"/>
      </w:pPr>
      <w:r>
        <w:t xml:space="preserve">The modelling will also provide insights into how the </w:t>
      </w:r>
      <w:r w:rsidR="00A9764E">
        <w:t xml:space="preserve">illustrative </w:t>
      </w:r>
      <w:r>
        <w:t xml:space="preserve">policy </w:t>
      </w:r>
      <w:r w:rsidR="00A9764E">
        <w:t xml:space="preserve">may </w:t>
      </w:r>
      <w:r>
        <w:t xml:space="preserve">affect the electricity sector and what the issues and uncertainties </w:t>
      </w:r>
      <w:r w:rsidR="009C73DC">
        <w:t>may</w:t>
      </w:r>
      <w:r>
        <w:t xml:space="preserve"> be with each policy </w:t>
      </w:r>
      <w:r w:rsidR="00A25FFD">
        <w:t>scenario</w:t>
      </w:r>
      <w:r>
        <w:t>.</w:t>
      </w:r>
    </w:p>
    <w:p w:rsidR="00FA2FF9" w:rsidRDefault="00AB34D1" w:rsidP="00F71D7E">
      <w:pPr>
        <w:pStyle w:val="Heading2"/>
        <w:ind w:left="710"/>
      </w:pPr>
      <w:bookmarkStart w:id="37" w:name="_Ref418779312"/>
      <w:bookmarkStart w:id="38" w:name="_Toc420660053"/>
      <w:r>
        <w:t>Models used</w:t>
      </w:r>
      <w:bookmarkEnd w:id="37"/>
      <w:bookmarkEnd w:id="38"/>
    </w:p>
    <w:p w:rsidR="00FA2FF9" w:rsidRDefault="009E5B22" w:rsidP="00395BA0">
      <w:pPr>
        <w:pStyle w:val="Para0"/>
      </w:pPr>
      <w:r>
        <w:t xml:space="preserve">Jacobs uses a suite of </w:t>
      </w:r>
      <w:r w:rsidR="001022F8">
        <w:t xml:space="preserve">three </w:t>
      </w:r>
      <w:r>
        <w:t xml:space="preserve">models to determine </w:t>
      </w:r>
      <w:r w:rsidR="00395BA0">
        <w:t xml:space="preserve"> the </w:t>
      </w:r>
      <w:r>
        <w:t xml:space="preserve">least cost generation </w:t>
      </w:r>
      <w:r w:rsidR="00395BA0">
        <w:t xml:space="preserve">mix </w:t>
      </w:r>
      <w:r>
        <w:t>in the electricity sector</w:t>
      </w:r>
      <w:r w:rsidR="00395BA0">
        <w:t xml:space="preserve"> -</w:t>
      </w:r>
      <w:r>
        <w:t xml:space="preserve"> that is, the electricity sector investments required to satisfy demand at least resource cost for society as a whole given input prices, policies and the emissions constraint. This</w:t>
      </w:r>
      <w:r w:rsidR="00FA2FF9">
        <w:t xml:space="preserve"> requires iteration between </w:t>
      </w:r>
      <w:r>
        <w:t>three</w:t>
      </w:r>
      <w:r w:rsidR="00FA2FF9">
        <w:t xml:space="preserve"> models to determine both the direct impacts and interactions between the electricity market and the various ancillary markets used as instruments to meet </w:t>
      </w:r>
      <w:r w:rsidR="00CA4A96">
        <w:t>the emissions constraint</w:t>
      </w:r>
      <w:r w:rsidR="00FA2FF9">
        <w:t>.</w:t>
      </w:r>
      <w:r w:rsidR="001022F8">
        <w:t xml:space="preserve"> The three models are: Strategist, the electricity sector dispatch and investment model; REMMA, the renewable energy market model; and DOGMMA</w:t>
      </w:r>
      <w:r w:rsidR="00A9764E">
        <w:t>,</w:t>
      </w:r>
      <w:r w:rsidR="001022F8">
        <w:t xml:space="preserve"> a model that projects the uptake of small-scale embedded generation</w:t>
      </w:r>
      <w:r w:rsidR="00A9764E">
        <w:t xml:space="preserve"> and storage technologies</w:t>
      </w:r>
      <w:r w:rsidR="001022F8">
        <w:t>.</w:t>
      </w:r>
      <w:r w:rsidR="00FA2FF9">
        <w:t xml:space="preserve">  </w:t>
      </w:r>
      <w:r w:rsidR="00FA2FF9">
        <w:fldChar w:fldCharType="begin"/>
      </w:r>
      <w:r w:rsidR="00FA2FF9">
        <w:instrText xml:space="preserve"> REF _Ref418585208 \h </w:instrText>
      </w:r>
      <w:r w:rsidR="00FA2FF9">
        <w:fldChar w:fldCharType="separate"/>
      </w:r>
      <w:r w:rsidR="00014844">
        <w:t xml:space="preserve">Figure </w:t>
      </w:r>
      <w:r w:rsidR="00014844">
        <w:rPr>
          <w:noProof/>
        </w:rPr>
        <w:t>2</w:t>
      </w:r>
      <w:r w:rsidR="00FA2FF9">
        <w:fldChar w:fldCharType="end"/>
      </w:r>
      <w:r w:rsidR="00FA2FF9">
        <w:t xml:space="preserve"> shows the interactions between the models.  </w:t>
      </w:r>
    </w:p>
    <w:p w:rsidR="00FA2FF9" w:rsidRDefault="00FA2FF9" w:rsidP="0091735E">
      <w:pPr>
        <w:pStyle w:val="Para0"/>
      </w:pPr>
      <w:r>
        <w:t xml:space="preserve">The approach to modelling the electricity market impacts, associated fuel combustion and emissions is to utilise externally derived electricity demand forecasts (adjusted for </w:t>
      </w:r>
      <w:r w:rsidR="00106F33">
        <w:t xml:space="preserve">the </w:t>
      </w:r>
      <w:r>
        <w:t xml:space="preserve">embedded generation component) in our </w:t>
      </w:r>
      <w:r w:rsidR="001022F8">
        <w:t xml:space="preserve">Strategist </w:t>
      </w:r>
      <w:r>
        <w:t xml:space="preserve">model of the major electricity systems in Australia.  </w:t>
      </w:r>
      <w:r w:rsidR="001022F8">
        <w:t xml:space="preserve">Strategist </w:t>
      </w:r>
      <w:r>
        <w:t>accounts for the economic relationships between generating plant</w:t>
      </w:r>
      <w:r w:rsidR="00A9764E">
        <w:t>s</w:t>
      </w:r>
      <w:r>
        <w:t xml:space="preserve"> in the system.  In particular, </w:t>
      </w:r>
      <w:r w:rsidR="001022F8">
        <w:t xml:space="preserve">Strategist </w:t>
      </w:r>
      <w:r>
        <w:t>calculates production of each power station given the availability of the station, the availability of other power stations and the relative costs of each generating plant in the system</w:t>
      </w:r>
      <w:r w:rsidR="006C5943">
        <w:t xml:space="preserve"> to match the demand profile, assuming a sufficient level of competition to drive efficient dispatch</w:t>
      </w:r>
      <w:r>
        <w:t xml:space="preserve">.   </w:t>
      </w:r>
    </w:p>
    <w:p w:rsidR="00FA2FF9" w:rsidRDefault="001022F8" w:rsidP="0091735E">
      <w:pPr>
        <w:pStyle w:val="Para0"/>
      </w:pPr>
      <w:r>
        <w:t>The iterative approach is as follows.</w:t>
      </w:r>
      <w:r w:rsidR="00FA2FF9">
        <w:t xml:space="preserve">  An initial estimate of </w:t>
      </w:r>
      <w:r w:rsidR="00A9764E">
        <w:t xml:space="preserve">total </w:t>
      </w:r>
      <w:r w:rsidR="00FA2FF9">
        <w:t xml:space="preserve">electricity demand and retail price projections are used to work out the level of embedded generation each year and the level and timing of new large-scale renewable generation.  The level of embedded generation determines the net demand for electricity faced by the electricity grid, which is input into the electricity market models.  The level and location of new renewable generation </w:t>
      </w:r>
      <w:r w:rsidR="00C51849">
        <w:t xml:space="preserve">(from REMMA) </w:t>
      </w:r>
      <w:r w:rsidR="00FA2FF9">
        <w:t xml:space="preserve">is also input into </w:t>
      </w:r>
      <w:r>
        <w:t>Strategist</w:t>
      </w:r>
      <w:r w:rsidR="00FA2FF9">
        <w:t xml:space="preserve">.  </w:t>
      </w:r>
      <w:r>
        <w:t>Strategist</w:t>
      </w:r>
      <w:r w:rsidR="00F71D7E">
        <w:t xml:space="preserve"> </w:t>
      </w:r>
      <w:r w:rsidR="00FA2FF9">
        <w:t>then simulate</w:t>
      </w:r>
      <w:r w:rsidR="006C5943">
        <w:t xml:space="preserve">s the response of the thermal generation sector </w:t>
      </w:r>
      <w:r w:rsidR="00FA2FF9">
        <w:t>to produce a new set of wholesale and ultimately retail price projections.  The whole process is repeated until a stable set of wholesale prices and renewable energy mix by region is achieved.</w:t>
      </w:r>
    </w:p>
    <w:p w:rsidR="00FA2FF9" w:rsidRDefault="00FA2FF9" w:rsidP="0036415B">
      <w:pPr>
        <w:pStyle w:val="Caption"/>
      </w:pPr>
      <w:bookmarkStart w:id="39" w:name="_Ref418585208"/>
      <w:r>
        <w:lastRenderedPageBreak/>
        <w:t xml:space="preserve">Figure </w:t>
      </w:r>
      <w:r w:rsidR="00941D78">
        <w:fldChar w:fldCharType="begin"/>
      </w:r>
      <w:r w:rsidR="00941D78">
        <w:instrText xml:space="preserve"> SEQ Figure \* ARABIC </w:instrText>
      </w:r>
      <w:r w:rsidR="00941D78">
        <w:fldChar w:fldCharType="separate"/>
      </w:r>
      <w:r w:rsidR="00014844">
        <w:rPr>
          <w:noProof/>
        </w:rPr>
        <w:t>2</w:t>
      </w:r>
      <w:r w:rsidR="00941D78">
        <w:fldChar w:fldCharType="end"/>
      </w:r>
      <w:bookmarkEnd w:id="39"/>
      <w:r>
        <w:t>: Modelling approach</w:t>
      </w:r>
    </w:p>
    <w:p w:rsidR="00FA2FF9" w:rsidRDefault="00FA2FF9" w:rsidP="0036415B">
      <w:pPr>
        <w:pStyle w:val="Para0"/>
      </w:pPr>
      <w:r>
        <w:rPr>
          <w:noProof/>
          <w:lang w:eastAsia="en-AU"/>
        </w:rPr>
        <mc:AlternateContent>
          <mc:Choice Requires="wps">
            <w:drawing>
              <wp:anchor distT="0" distB="0" distL="114300" distR="114300" simplePos="0" relativeHeight="251661312" behindDoc="0" locked="0" layoutInCell="1" allowOverlap="1" wp14:anchorId="7937DF25" wp14:editId="6F788DE4">
                <wp:simplePos x="0" y="0"/>
                <wp:positionH relativeFrom="column">
                  <wp:posOffset>832485</wp:posOffset>
                </wp:positionH>
                <wp:positionV relativeFrom="paragraph">
                  <wp:posOffset>20955</wp:posOffset>
                </wp:positionV>
                <wp:extent cx="4210050" cy="962025"/>
                <wp:effectExtent l="0" t="0" r="0" b="9525"/>
                <wp:wrapNone/>
                <wp:docPr id="6" name="U-Turn Arrow 6"/>
                <wp:cNvGraphicFramePr/>
                <a:graphic xmlns:a="http://schemas.openxmlformats.org/drawingml/2006/main">
                  <a:graphicData uri="http://schemas.microsoft.com/office/word/2010/wordprocessingShape">
                    <wps:wsp>
                      <wps:cNvSpPr/>
                      <wps:spPr>
                        <a:xfrm flipH="1">
                          <a:off x="0" y="0"/>
                          <a:ext cx="4210050" cy="962025"/>
                        </a:xfrm>
                        <a:prstGeom prst="uturnArrow">
                          <a:avLst>
                            <a:gd name="adj1" fmla="val 25000"/>
                            <a:gd name="adj2" fmla="val 6250"/>
                            <a:gd name="adj3" fmla="val 28125"/>
                            <a:gd name="adj4" fmla="val 43750"/>
                            <a:gd name="adj5" fmla="val 10000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3569" w:rsidRPr="00AA5E9D" w:rsidRDefault="00733569" w:rsidP="00FA2FF9">
                            <w:pPr>
                              <w:jc w:val="center"/>
                              <w:rPr>
                                <w14:textOutline w14:w="9525" w14:cap="rnd" w14:cmpd="sng" w14:algn="ctr">
                                  <w14:solidFill>
                                    <w14:schemeClr w14:val="accent5"/>
                                  </w14:solidFill>
                                  <w14:prstDash w14:val="solid"/>
                                  <w14:bevel/>
                                </w14:textOutline>
                              </w:rPr>
                            </w:pPr>
                            <w:r w:rsidRPr="00AA5E9D">
                              <w:rPr>
                                <w14:textOutline w14:w="9525" w14:cap="rnd" w14:cmpd="sng" w14:algn="ctr">
                                  <w14:solidFill>
                                    <w14:schemeClr w14:val="accent5"/>
                                  </w14:solidFill>
                                  <w14:prstDash w14:val="solid"/>
                                  <w14:bevel/>
                                </w14:textOutline>
                              </w:rPr>
                              <w:t xml:space="preserve">Prices affect demand response </w:t>
                            </w:r>
                          </w:p>
                          <w:p w:rsidR="00733569" w:rsidRDefault="00733569" w:rsidP="00FA2F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6" o:spid="_x0000_s1026" style="position:absolute;margin-left:65.55pt;margin-top:1.65pt;width:331.5pt;height:75.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05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" adj="-11796480,,5400" path="m,962025l,420886c,188437,188437,,420886,l3789164,v232449,,420886,188437,420886,420886l4210050,691455r,l4149923,962025,4089797,691455r,l4089797,420886v,-166035,-134598,-300633,-300633,-300633l420886,120253v-166035,,-300633,134598,-300633,300633l120253,962025,,962025xe" fillcolor="#597ab5 [3204]" stroked="f" strokeweight="2pt">
                <v:stroke joinstyle="miter"/>
                <v:formulas/>
                <v:path arrowok="t" o:connecttype="custom" o:connectlocs="0,962025;0,420886;420886,0;3789164,0;4210050,420886;4210050,691455;4210050,691455;4149923,962025;4089797,691455;4089797,691455;4089797,420886;3789164,120253;420886,120253;120253,420886;120253,962025;0,962025" o:connectangles="0,0,0,0,0,0,0,0,0,0,0,0,0,0,0,0" textboxrect="0,0,4210050,962025"/>
                <v:textbox>
                  <w:txbxContent>
                    <w:p w:rsidR="00733569" w:rsidRPr="00AA5E9D" w:rsidRDefault="00733569" w:rsidP="00FA2FF9">
                      <w:pPr>
                        <w:jc w:val="center"/>
                        <w:rPr>
                          <w14:textOutline w14:w="9525" w14:cap="rnd" w14:cmpd="sng" w14:algn="ctr">
                            <w14:solidFill>
                              <w14:schemeClr w14:val="accent5"/>
                            </w14:solidFill>
                            <w14:prstDash w14:val="solid"/>
                            <w14:bevel/>
                          </w14:textOutline>
                        </w:rPr>
                      </w:pPr>
                      <w:r w:rsidRPr="00AA5E9D">
                        <w:rPr>
                          <w14:textOutline w14:w="9525" w14:cap="rnd" w14:cmpd="sng" w14:algn="ctr">
                            <w14:solidFill>
                              <w14:schemeClr w14:val="accent5"/>
                            </w14:solidFill>
                            <w14:prstDash w14:val="solid"/>
                            <w14:bevel/>
                          </w14:textOutline>
                        </w:rPr>
                        <w:t xml:space="preserve">Prices affect demand response </w:t>
                      </w:r>
                    </w:p>
                    <w:p w:rsidR="00733569" w:rsidRDefault="00733569" w:rsidP="00FA2FF9"/>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EE862FA" wp14:editId="342A1A77">
                <wp:simplePos x="0" y="0"/>
                <wp:positionH relativeFrom="column">
                  <wp:posOffset>2727960</wp:posOffset>
                </wp:positionH>
                <wp:positionV relativeFrom="paragraph">
                  <wp:posOffset>2345690</wp:posOffset>
                </wp:positionV>
                <wp:extent cx="1333500" cy="457200"/>
                <wp:effectExtent l="0" t="0" r="0" b="0"/>
                <wp:wrapNone/>
                <wp:docPr id="8" name="U-Turn Arrow 8"/>
                <wp:cNvGraphicFramePr/>
                <a:graphic xmlns:a="http://schemas.openxmlformats.org/drawingml/2006/main">
                  <a:graphicData uri="http://schemas.microsoft.com/office/word/2010/wordprocessingShape">
                    <wps:wsp>
                      <wps:cNvSpPr/>
                      <wps:spPr>
                        <a:xfrm flipH="1" flipV="1">
                          <a:off x="0" y="0"/>
                          <a:ext cx="1333500" cy="457200"/>
                        </a:xfrm>
                        <a:prstGeom prst="uturnArrow">
                          <a:avLst>
                            <a:gd name="adj1" fmla="val 25000"/>
                            <a:gd name="adj2" fmla="val 9693"/>
                            <a:gd name="adj3" fmla="val 29082"/>
                            <a:gd name="adj4" fmla="val 43750"/>
                            <a:gd name="adj5" fmla="val 7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8" o:spid="_x0000_s1026" style="position:absolute;margin-left:214.8pt;margin-top:184.7pt;width:105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13335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" path="m,457200l,200025c,89554,89554,,200025,r933450,c1243946,,1333500,89554,1333500,200025r,9912l1333500,209937r-44316,132963l1244867,209937r,l1244867,200025v,-61520,-49872,-111392,-111392,-111392l200025,88633v-61520,,-111392,49872,-111392,111392l88633,457200,,457200xe" fillcolor="#597ab5 [3204]" stroked="f" strokeweight="2pt">
                <v:path arrowok="t" o:connecttype="custom" o:connectlocs="0,457200;0,200025;200025,0;1133475,0;1333500,200025;1333500,209937;1333500,209937;1289184,342900;1244867,209937;1244867,209937;1244867,200025;1133475,88633;200025,88633;88633,200025;88633,457200;0,457200" o:connectangles="0,0,0,0,0,0,0,0,0,0,0,0,0,0,0,0"/>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E4614A1" wp14:editId="719256AD">
                <wp:simplePos x="0" y="0"/>
                <wp:positionH relativeFrom="column">
                  <wp:posOffset>2556510</wp:posOffset>
                </wp:positionH>
                <wp:positionV relativeFrom="paragraph">
                  <wp:posOffset>2802890</wp:posOffset>
                </wp:positionV>
                <wp:extent cx="1771650" cy="247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71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3569" w:rsidRPr="0062510D" w:rsidRDefault="00733569" w:rsidP="00FA2FF9">
                            <w:pPr>
                              <w:rPr>
                                <w14:textOutline w14:w="9525" w14:cap="rnd" w14:cmpd="sng" w14:algn="ctr">
                                  <w14:solidFill>
                                    <w14:schemeClr w14:val="bg1">
                                      <w14:lumMod w14:val="50000"/>
                                    </w14:schemeClr>
                                  </w14:solidFill>
                                  <w14:prstDash w14:val="solid"/>
                                  <w14:bevel/>
                                </w14:textOutline>
                              </w:rPr>
                            </w:pPr>
                            <w:r w:rsidRPr="0062510D">
                              <w:rPr>
                                <w14:textOutline w14:w="9525" w14:cap="rnd" w14:cmpd="sng" w14:algn="ctr">
                                  <w14:solidFill>
                                    <w14:schemeClr w14:val="bg1">
                                      <w14:lumMod w14:val="50000"/>
                                    </w14:schemeClr>
                                  </w14:solidFill>
                                  <w14:prstDash w14:val="solid"/>
                                  <w14:bevel/>
                                </w14:textOutline>
                              </w:rPr>
                              <w:t>Prices earnt by renewables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01.3pt;margin-top:220.7pt;width:139.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" fillcolor="white [3201]" stroked="f" strokeweight=".5pt">
                <v:textbox>
                  <w:txbxContent>
                    <w:p w:rsidR="00733569" w:rsidRPr="0062510D" w:rsidRDefault="00733569" w:rsidP="00FA2FF9">
                      <w:pPr>
                        <w:rPr>
                          <w14:textOutline w14:w="9525" w14:cap="rnd" w14:cmpd="sng" w14:algn="ctr">
                            <w14:solidFill>
                              <w14:schemeClr w14:val="bg1">
                                <w14:lumMod w14:val="50000"/>
                              </w14:schemeClr>
                            </w14:solidFill>
                            <w14:prstDash w14:val="solid"/>
                            <w14:bevel/>
                          </w14:textOutline>
                        </w:rPr>
                      </w:pPr>
                      <w:r w:rsidRPr="0062510D">
                        <w:rPr>
                          <w14:textOutline w14:w="9525" w14:cap="rnd" w14:cmpd="sng" w14:algn="ctr">
                            <w14:solidFill>
                              <w14:schemeClr w14:val="bg1">
                                <w14:lumMod w14:val="50000"/>
                              </w14:schemeClr>
                            </w14:solidFill>
                            <w14:prstDash w14:val="solid"/>
                            <w14:bevel/>
                          </w14:textOutline>
                        </w:rPr>
                        <w:t>Prices earnt by renewables</w:t>
                      </w:r>
                    </w:p>
                  </w:txbxContent>
                </v:textbox>
              </v:shape>
            </w:pict>
          </mc:Fallback>
        </mc:AlternateContent>
      </w:r>
      <w:r>
        <w:rPr>
          <w:noProof/>
          <w:lang w:eastAsia="en-AU"/>
        </w:rPr>
        <w:drawing>
          <wp:inline distT="0" distB="0" distL="0" distR="0" wp14:anchorId="16142429" wp14:editId="1DBBEF5F">
            <wp:extent cx="5486400" cy="3200400"/>
            <wp:effectExtent l="19050" t="0" r="762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95BA0" w:rsidRPr="00F71D7E" w:rsidRDefault="00395BA0" w:rsidP="00F71D7E">
      <w:pPr>
        <w:pStyle w:val="Para0"/>
        <w:spacing w:before="0"/>
        <w:rPr>
          <w:sz w:val="16"/>
          <w:szCs w:val="16"/>
        </w:rPr>
      </w:pPr>
      <w:r w:rsidRPr="00F71D7E">
        <w:rPr>
          <w:sz w:val="16"/>
          <w:szCs w:val="16"/>
        </w:rPr>
        <w:t>Source: Jacobs</w:t>
      </w:r>
    </w:p>
    <w:p w:rsidR="00FA2FF9" w:rsidRDefault="008D308B" w:rsidP="00395BA0">
      <w:pPr>
        <w:pStyle w:val="Para0"/>
      </w:pPr>
      <w:r>
        <w:t>F</w:t>
      </w:r>
      <w:r w:rsidR="007C619C">
        <w:t xml:space="preserve">urther detail about the modelling approach and each of the models used is at </w:t>
      </w:r>
      <w:r w:rsidR="00322EFA">
        <w:fldChar w:fldCharType="begin"/>
      </w:r>
      <w:r w:rsidR="00322EFA">
        <w:instrText xml:space="preserve"> REF _Ref418784365 \r \h </w:instrText>
      </w:r>
      <w:r w:rsidR="00322EFA">
        <w:fldChar w:fldCharType="separate"/>
      </w:r>
      <w:r w:rsidR="00014844">
        <w:t>Appendix A</w:t>
      </w:r>
      <w:r w:rsidR="00322EFA">
        <w:fldChar w:fldCharType="end"/>
      </w:r>
      <w:r w:rsidR="00322EFA">
        <w:t>.</w:t>
      </w:r>
    </w:p>
    <w:p w:rsidR="00FA2FF9" w:rsidRDefault="00FA2FF9" w:rsidP="00F71D7E">
      <w:pPr>
        <w:pStyle w:val="Heading2"/>
        <w:ind w:left="710"/>
      </w:pPr>
      <w:bookmarkStart w:id="40" w:name="_Toc420660054"/>
      <w:r>
        <w:t>Emission</w:t>
      </w:r>
      <w:r w:rsidR="00963935">
        <w:t>s</w:t>
      </w:r>
      <w:r>
        <w:t xml:space="preserve"> constraint</w:t>
      </w:r>
      <w:bookmarkEnd w:id="40"/>
    </w:p>
    <w:p w:rsidR="001E18DA" w:rsidRDefault="001E18DA" w:rsidP="00C622E3">
      <w:pPr>
        <w:pStyle w:val="Para0"/>
      </w:pPr>
      <w:r>
        <w:t>In order to facilitate a like-for-like comparison of policies, the modelling will constrain each policy scenario to achieve the same cumulative emissions. The Authority has specified that the emissions constraint be set</w:t>
      </w:r>
      <w:r w:rsidRPr="006B62C4">
        <w:t xml:space="preserve"> at a level </w:t>
      </w:r>
      <w:r>
        <w:t xml:space="preserve">consistent with Australia’s contribution to a likely chance (two-thirds) of </w:t>
      </w:r>
      <w:r w:rsidRPr="00E22F91">
        <w:t>lim</w:t>
      </w:r>
      <w:r>
        <w:t xml:space="preserve">iting </w:t>
      </w:r>
      <w:r w:rsidR="00ED19CE">
        <w:t xml:space="preserve">global average </w:t>
      </w:r>
      <w:r>
        <w:t>warming to no more than 2 </w:t>
      </w:r>
      <w:r w:rsidRPr="00E22F91">
        <w:t>degrees</w:t>
      </w:r>
      <w:r>
        <w:t xml:space="preserve">—this implies very deep cuts in electricity sector emissions by 2050. </w:t>
      </w:r>
      <w:r w:rsidR="004A2D30">
        <w:t xml:space="preserve">Weaker </w:t>
      </w:r>
      <w:r>
        <w:t xml:space="preserve">emissions constraints will be examined as part of the sensitivity analysis in phase two of the work. </w:t>
      </w:r>
    </w:p>
    <w:p w:rsidR="001E18DA" w:rsidRPr="00C024D9" w:rsidRDefault="001E18DA" w:rsidP="0091735E">
      <w:r>
        <w:t xml:space="preserve">There is no single ‘correct’ level of emissions within Australia’s electricity sector consistent with limiting warming to 2 degrees—it </w:t>
      </w:r>
      <w:r w:rsidR="00ED19CE">
        <w:t xml:space="preserve">will </w:t>
      </w:r>
      <w:r>
        <w:t xml:space="preserve">depend on future economic conditions, technology costs and policies across the economy. </w:t>
      </w:r>
    </w:p>
    <w:p w:rsidR="001E18DA" w:rsidRDefault="00ED19CE" w:rsidP="0036415B">
      <w:r>
        <w:t>For the purposes of this modelling exercise, t</w:t>
      </w:r>
      <w:r w:rsidR="001E18DA">
        <w:t xml:space="preserve">he </w:t>
      </w:r>
      <w:r w:rsidR="001E18DA" w:rsidRPr="00E54C0D">
        <w:t xml:space="preserve">constraint </w:t>
      </w:r>
      <w:r w:rsidR="001E18DA">
        <w:t xml:space="preserve">will </w:t>
      </w:r>
      <w:r w:rsidR="001E18DA" w:rsidRPr="00E54C0D">
        <w:t>be</w:t>
      </w:r>
      <w:r w:rsidR="001E18DA">
        <w:t xml:space="preserve"> determined by using the </w:t>
      </w:r>
      <w:r>
        <w:t>explicit carbon price</w:t>
      </w:r>
      <w:r w:rsidR="001E18DA">
        <w:t xml:space="preserve"> scenario (scenario </w:t>
      </w:r>
      <w:r w:rsidR="00B320D9">
        <w:t>3</w:t>
      </w:r>
      <w:r w:rsidR="001E18DA">
        <w:t>). This involves:</w:t>
      </w:r>
    </w:p>
    <w:p w:rsidR="001E18DA" w:rsidRDefault="00395BA0" w:rsidP="000817DB">
      <w:pPr>
        <w:pStyle w:val="Para0bullet"/>
      </w:pPr>
      <w:r>
        <w:t>U</w:t>
      </w:r>
      <w:r w:rsidR="001E18DA">
        <w:t xml:space="preserve">sing a carbon price projection </w:t>
      </w:r>
      <w:r w:rsidR="001E18DA" w:rsidRPr="00E54C0D">
        <w:t>consistent with a likely</w:t>
      </w:r>
      <w:r w:rsidR="001E18DA">
        <w:t xml:space="preserve"> </w:t>
      </w:r>
      <w:r w:rsidR="001E18DA" w:rsidRPr="00E54C0D">
        <w:t xml:space="preserve">chance of achieving the </w:t>
      </w:r>
      <w:r w:rsidR="001E18DA">
        <w:t>2</w:t>
      </w:r>
      <w:r w:rsidR="001E18DA" w:rsidRPr="00E54C0D">
        <w:t> degree goal</w:t>
      </w:r>
      <w:r w:rsidR="001E18DA">
        <w:t xml:space="preserve"> as an input into the carbon price scenario in the modelling</w:t>
      </w:r>
    </w:p>
    <w:p w:rsidR="001E18DA" w:rsidRDefault="00395BA0" w:rsidP="000817DB">
      <w:pPr>
        <w:pStyle w:val="Para0bullet"/>
      </w:pPr>
      <w:r>
        <w:t>U</w:t>
      </w:r>
      <w:r w:rsidR="001E18DA">
        <w:t>sing the resulting emissions to 2050 as the cumulative sectoral emissions constraint for all other policy scenarios.</w:t>
      </w:r>
    </w:p>
    <w:p w:rsidR="00A31A20" w:rsidRDefault="001E18DA" w:rsidP="00C622E3">
      <w:pPr>
        <w:pStyle w:val="Para0"/>
      </w:pPr>
      <w:r>
        <w:t xml:space="preserve">The Authority has specified the carbon price projection should be the </w:t>
      </w:r>
      <w:r w:rsidR="00544D83">
        <w:t xml:space="preserve">relevant </w:t>
      </w:r>
      <w:r>
        <w:t xml:space="preserve">median estimates </w:t>
      </w:r>
      <w:r w:rsidRPr="00E54C0D">
        <w:t>from the Inter</w:t>
      </w:r>
      <w:r w:rsidR="00ED19CE">
        <w:t>governmental</w:t>
      </w:r>
      <w:r w:rsidRPr="00E54C0D">
        <w:t xml:space="preserve"> Panel on Climate Change’s</w:t>
      </w:r>
      <w:r w:rsidR="00ED19CE">
        <w:t xml:space="preserve"> </w:t>
      </w:r>
      <w:r>
        <w:t>Fifth Assessment Report</w:t>
      </w:r>
      <w:r w:rsidR="00A9764E">
        <w:rPr>
          <w:rStyle w:val="FootnoteReference"/>
        </w:rPr>
        <w:footnoteReference w:id="4"/>
      </w:r>
      <w:r>
        <w:t xml:space="preserve">. </w:t>
      </w:r>
    </w:p>
    <w:p w:rsidR="00A31A20" w:rsidRPr="00F71D7E" w:rsidRDefault="00843166" w:rsidP="00A31A20">
      <w:pPr>
        <w:pStyle w:val="Para0"/>
        <w:rPr>
          <w:rFonts w:eastAsia="Times New Roman" w:cs="Times New Roman"/>
          <w:color w:val="000000"/>
          <w:szCs w:val="20"/>
          <w:lang w:val="en-GB"/>
        </w:rPr>
      </w:pPr>
      <w:r>
        <w:rPr>
          <w:rFonts w:eastAsia="Times New Roman" w:cs="Times New Roman"/>
          <w:color w:val="000000"/>
          <w:szCs w:val="20"/>
          <w:lang w:val="en-GB"/>
        </w:rPr>
        <w:t>The p</w:t>
      </w:r>
      <w:r w:rsidRPr="00F71D7E">
        <w:rPr>
          <w:rFonts w:eastAsia="Times New Roman" w:cs="Times New Roman"/>
          <w:color w:val="000000"/>
          <w:szCs w:val="20"/>
          <w:lang w:val="en-GB"/>
        </w:rPr>
        <w:t>aths for</w:t>
      </w:r>
      <w:r w:rsidR="00A31A20" w:rsidRPr="00F71D7E">
        <w:rPr>
          <w:rFonts w:eastAsia="Times New Roman" w:cs="Times New Roman"/>
          <w:color w:val="000000"/>
          <w:szCs w:val="20"/>
          <w:lang w:val="en-GB"/>
        </w:rPr>
        <w:t xml:space="preserve"> </w:t>
      </w:r>
      <w:r w:rsidR="00A41160">
        <w:t xml:space="preserve">modelling inputs determined by global rather than domestic factors (for example the prices for internationally traded coal and LNG) </w:t>
      </w:r>
      <w:r w:rsidR="00A31A20" w:rsidRPr="00F71D7E">
        <w:rPr>
          <w:rFonts w:eastAsia="Times New Roman" w:cs="Times New Roman"/>
          <w:color w:val="000000"/>
          <w:szCs w:val="20"/>
          <w:lang w:val="en-GB"/>
        </w:rPr>
        <w:t>are</w:t>
      </w:r>
      <w:r>
        <w:rPr>
          <w:rFonts w:eastAsia="Times New Roman" w:cs="Times New Roman"/>
          <w:color w:val="000000"/>
          <w:szCs w:val="20"/>
          <w:lang w:val="en-GB"/>
        </w:rPr>
        <w:t xml:space="preserve"> likely to be influenced by the strength and pace of global action to reduce emissions. In </w:t>
      </w:r>
      <w:proofErr w:type="gramStart"/>
      <w:r>
        <w:rPr>
          <w:rFonts w:eastAsia="Times New Roman" w:cs="Times New Roman"/>
          <w:color w:val="000000"/>
          <w:szCs w:val="20"/>
          <w:lang w:val="en-GB"/>
        </w:rPr>
        <w:t>phase</w:t>
      </w:r>
      <w:proofErr w:type="gramEnd"/>
      <w:r>
        <w:rPr>
          <w:rFonts w:eastAsia="Times New Roman" w:cs="Times New Roman"/>
          <w:color w:val="000000"/>
          <w:szCs w:val="20"/>
          <w:lang w:val="en-GB"/>
        </w:rPr>
        <w:t> one, their values are</w:t>
      </w:r>
      <w:r w:rsidR="00A31A20" w:rsidRPr="00F71D7E">
        <w:rPr>
          <w:rFonts w:eastAsia="Times New Roman" w:cs="Times New Roman"/>
          <w:color w:val="000000"/>
          <w:szCs w:val="20"/>
          <w:lang w:val="en-GB"/>
        </w:rPr>
        <w:t xml:space="preserve"> </w:t>
      </w:r>
      <w:r>
        <w:rPr>
          <w:rFonts w:eastAsia="Times New Roman" w:cs="Times New Roman"/>
          <w:color w:val="000000"/>
          <w:szCs w:val="20"/>
          <w:lang w:val="en-GB"/>
        </w:rPr>
        <w:t xml:space="preserve">chosen to be </w:t>
      </w:r>
      <w:r w:rsidR="00A31A20" w:rsidRPr="00F71D7E">
        <w:rPr>
          <w:rFonts w:eastAsia="Times New Roman" w:cs="Times New Roman"/>
          <w:color w:val="000000"/>
          <w:szCs w:val="20"/>
          <w:lang w:val="en-GB"/>
        </w:rPr>
        <w:t xml:space="preserve">consistent </w:t>
      </w:r>
      <w:r w:rsidR="003443DD">
        <w:rPr>
          <w:rFonts w:eastAsia="Times New Roman" w:cs="Times New Roman"/>
          <w:color w:val="000000"/>
          <w:szCs w:val="20"/>
          <w:lang w:val="en-GB"/>
        </w:rPr>
        <w:t xml:space="preserve">with </w:t>
      </w:r>
      <w:r w:rsidR="003443DD" w:rsidRPr="00702637">
        <w:t>strong global action to limit</w:t>
      </w:r>
      <w:r w:rsidR="003443DD">
        <w:t xml:space="preserve"> global average wa</w:t>
      </w:r>
      <w:r w:rsidR="00106F33">
        <w:t>rming to no more than 2 degrees</w:t>
      </w:r>
      <w:r w:rsidR="003443DD">
        <w:t xml:space="preserve"> </w:t>
      </w:r>
      <w:r>
        <w:rPr>
          <w:rFonts w:eastAsia="Times New Roman" w:cs="Times New Roman"/>
          <w:color w:val="000000"/>
          <w:szCs w:val="20"/>
          <w:lang w:val="en-GB"/>
        </w:rPr>
        <w:t xml:space="preserve">(see sections </w:t>
      </w:r>
      <w:r>
        <w:rPr>
          <w:rFonts w:eastAsia="Times New Roman" w:cs="Times New Roman"/>
          <w:color w:val="000000"/>
          <w:szCs w:val="20"/>
          <w:lang w:val="en-GB"/>
        </w:rPr>
        <w:fldChar w:fldCharType="begin"/>
      </w:r>
      <w:r>
        <w:rPr>
          <w:rFonts w:eastAsia="Times New Roman" w:cs="Times New Roman"/>
          <w:color w:val="000000"/>
          <w:szCs w:val="20"/>
          <w:lang w:val="en-GB"/>
        </w:rPr>
        <w:instrText xml:space="preserve"> REF _Ref419134836 \r \h </w:instrText>
      </w:r>
      <w:r>
        <w:rPr>
          <w:rFonts w:eastAsia="Times New Roman" w:cs="Times New Roman"/>
          <w:color w:val="000000"/>
          <w:szCs w:val="20"/>
          <w:lang w:val="en-GB"/>
        </w:rPr>
      </w:r>
      <w:r>
        <w:rPr>
          <w:rFonts w:eastAsia="Times New Roman" w:cs="Times New Roman"/>
          <w:color w:val="000000"/>
          <w:szCs w:val="20"/>
          <w:lang w:val="en-GB"/>
        </w:rPr>
        <w:fldChar w:fldCharType="separate"/>
      </w:r>
      <w:r w:rsidR="00014844">
        <w:rPr>
          <w:rFonts w:eastAsia="Times New Roman" w:cs="Times New Roman"/>
          <w:color w:val="000000"/>
          <w:szCs w:val="20"/>
          <w:lang w:val="en-GB"/>
        </w:rPr>
        <w:t>3.4.4</w:t>
      </w:r>
      <w:r>
        <w:rPr>
          <w:rFonts w:eastAsia="Times New Roman" w:cs="Times New Roman"/>
          <w:color w:val="000000"/>
          <w:szCs w:val="20"/>
          <w:lang w:val="en-GB"/>
        </w:rPr>
        <w:fldChar w:fldCharType="end"/>
      </w:r>
      <w:r>
        <w:rPr>
          <w:rFonts w:eastAsia="Times New Roman" w:cs="Times New Roman"/>
          <w:color w:val="000000"/>
          <w:szCs w:val="20"/>
          <w:lang w:val="en-GB"/>
        </w:rPr>
        <w:t xml:space="preserve"> to </w:t>
      </w:r>
      <w:r>
        <w:rPr>
          <w:rFonts w:eastAsia="Times New Roman" w:cs="Times New Roman"/>
          <w:color w:val="000000"/>
          <w:szCs w:val="20"/>
          <w:lang w:val="en-GB"/>
        </w:rPr>
        <w:fldChar w:fldCharType="begin"/>
      </w:r>
      <w:r>
        <w:rPr>
          <w:rFonts w:eastAsia="Times New Roman" w:cs="Times New Roman"/>
          <w:color w:val="000000"/>
          <w:szCs w:val="20"/>
          <w:lang w:val="en-GB"/>
        </w:rPr>
        <w:instrText xml:space="preserve"> REF _Ref419134821 \r \h </w:instrText>
      </w:r>
      <w:r>
        <w:rPr>
          <w:rFonts w:eastAsia="Times New Roman" w:cs="Times New Roman"/>
          <w:color w:val="000000"/>
          <w:szCs w:val="20"/>
          <w:lang w:val="en-GB"/>
        </w:rPr>
      </w:r>
      <w:r>
        <w:rPr>
          <w:rFonts w:eastAsia="Times New Roman" w:cs="Times New Roman"/>
          <w:color w:val="000000"/>
          <w:szCs w:val="20"/>
          <w:lang w:val="en-GB"/>
        </w:rPr>
        <w:fldChar w:fldCharType="separate"/>
      </w:r>
      <w:r w:rsidR="00014844">
        <w:rPr>
          <w:rFonts w:eastAsia="Times New Roman" w:cs="Times New Roman"/>
          <w:color w:val="000000"/>
          <w:szCs w:val="20"/>
          <w:lang w:val="en-GB"/>
        </w:rPr>
        <w:t>3.4.6</w:t>
      </w:r>
      <w:r>
        <w:rPr>
          <w:rFonts w:eastAsia="Times New Roman" w:cs="Times New Roman"/>
          <w:color w:val="000000"/>
          <w:szCs w:val="20"/>
          <w:lang w:val="en-GB"/>
        </w:rPr>
        <w:fldChar w:fldCharType="end"/>
      </w:r>
      <w:r>
        <w:rPr>
          <w:rFonts w:eastAsia="Times New Roman" w:cs="Times New Roman"/>
          <w:color w:val="000000"/>
          <w:szCs w:val="20"/>
          <w:lang w:val="en-GB"/>
        </w:rPr>
        <w:t>)</w:t>
      </w:r>
      <w:r w:rsidR="00A31A20" w:rsidRPr="00F71D7E">
        <w:rPr>
          <w:rFonts w:eastAsia="Times New Roman" w:cs="Times New Roman"/>
          <w:color w:val="000000"/>
          <w:szCs w:val="20"/>
          <w:lang w:val="en-GB"/>
        </w:rPr>
        <w:t>. Alternative consistent sets of emissions constraints and global inputs will be examined in phase two of the work.</w:t>
      </w:r>
    </w:p>
    <w:p w:rsidR="00FA2FF9" w:rsidRDefault="008D308B" w:rsidP="00FA2FF9">
      <w:pPr>
        <w:pStyle w:val="Heading2"/>
        <w:ind w:left="851"/>
      </w:pPr>
      <w:bookmarkStart w:id="41" w:name="_Toc420660055"/>
      <w:r>
        <w:lastRenderedPageBreak/>
        <w:t>Electricity d</w:t>
      </w:r>
      <w:r w:rsidR="00FA2FF9">
        <w:t>emand</w:t>
      </w:r>
      <w:bookmarkEnd w:id="41"/>
    </w:p>
    <w:p w:rsidR="006C350D" w:rsidRDefault="006C350D" w:rsidP="006C350D">
      <w:pPr>
        <w:pStyle w:val="Para0"/>
        <w:rPr>
          <w:rFonts w:eastAsiaTheme="minorHAnsi"/>
        </w:rPr>
      </w:pPr>
      <w:r>
        <w:t>As described in section 3.1, Jacobs’ models take total projected electricity demand as an input and forecast</w:t>
      </w:r>
      <w:r w:rsidR="00594A32">
        <w:t>s</w:t>
      </w:r>
      <w:r>
        <w:t xml:space="preserve"> grid-based and embedded generation.</w:t>
      </w:r>
    </w:p>
    <w:p w:rsidR="006C350D" w:rsidRDefault="006C350D" w:rsidP="006C350D">
      <w:pPr>
        <w:pStyle w:val="Para0"/>
        <w:rPr>
          <w:rFonts w:eastAsia="Times New Roman"/>
        </w:rPr>
      </w:pPr>
      <w:r>
        <w:t xml:space="preserve">The core electricity demand projection for the modelling is based on the series from the Department of the Environment’s 2014-15 emission projections. These official projections use a total electricity demand series developed by Pitt&amp;Sherry and ACIL Allen. For the purpose of this exercise, the original series will be extended to 2050 by applying the average growth rate from the final five years of the original projection </w:t>
      </w:r>
      <w:r w:rsidR="003777F0">
        <w:t xml:space="preserve">and </w:t>
      </w:r>
      <w:r>
        <w:t>restricted to areas covered by the NEM and WEM</w:t>
      </w:r>
      <w:r w:rsidR="003777F0" w:rsidRPr="00544D83">
        <w:rPr>
          <w:rStyle w:val="FootnoteReference"/>
        </w:rPr>
        <w:footnoteReference w:id="5"/>
      </w:r>
      <w:r w:rsidRPr="00544D83">
        <w:t>.</w:t>
      </w:r>
      <w:r>
        <w:t xml:space="preserve"> In these projections:</w:t>
      </w:r>
    </w:p>
    <w:p w:rsidR="006C350D" w:rsidRPr="006C350D" w:rsidRDefault="006C350D" w:rsidP="000817DB">
      <w:pPr>
        <w:pStyle w:val="Para0bullet"/>
      </w:pPr>
      <w:r w:rsidRPr="006C350D">
        <w:t>Residential demand increases slightly from 2017 onwards as retail prices are projected to level off. Per</w:t>
      </w:r>
      <w:r w:rsidR="009439FF">
        <w:t> </w:t>
      </w:r>
      <w:r w:rsidRPr="006C350D">
        <w:t>capita consumption continues to decline slightly as energy efficiency standards for buildings and appliance drive increases in end use efficiency.</w:t>
      </w:r>
    </w:p>
    <w:p w:rsidR="006C350D" w:rsidRPr="006C350D" w:rsidRDefault="006C350D" w:rsidP="000817DB">
      <w:pPr>
        <w:pStyle w:val="Para0bullet"/>
      </w:pPr>
      <w:r w:rsidRPr="006C350D">
        <w:t>General business demand is projected to grow in line with, but less quickly than, economic activity.</w:t>
      </w:r>
    </w:p>
    <w:p w:rsidR="006C350D" w:rsidRPr="006C350D" w:rsidRDefault="006C350D" w:rsidP="000817DB">
      <w:pPr>
        <w:pStyle w:val="Para0bullet"/>
      </w:pPr>
      <w:r w:rsidRPr="006C350D">
        <w:t xml:space="preserve">Large industrial demand is projected to decrease slowly over the projection period after an initial increase driven by gas developments in Queensland. </w:t>
      </w:r>
    </w:p>
    <w:p w:rsidR="006C350D" w:rsidRDefault="006C350D" w:rsidP="006C350D">
      <w:pPr>
        <w:pStyle w:val="Para0"/>
      </w:pPr>
      <w:r>
        <w:t xml:space="preserve">Relative to the latest demand forecasts from the </w:t>
      </w:r>
      <w:r w:rsidR="009439FF">
        <w:t xml:space="preserve">NEM and WEM </w:t>
      </w:r>
      <w:r>
        <w:t>market operators (the Australian Energy Market Operator and Independent Market Operator, respectively)</w:t>
      </w:r>
      <w:proofErr w:type="gramStart"/>
      <w:r>
        <w:t>,</w:t>
      </w:r>
      <w:proofErr w:type="gramEnd"/>
      <w:r>
        <w:t xml:space="preserve"> the projections are </w:t>
      </w:r>
      <w:r w:rsidRPr="006C350D">
        <w:t>broadly similar at an aggregate level, with the Department of the Environment series slightly higher than both the AEMO and IMO projections across the forecast horizon</w:t>
      </w:r>
      <w:r w:rsidR="000A52B7" w:rsidRPr="00544D83">
        <w:t xml:space="preserve">. </w:t>
      </w:r>
      <w:r w:rsidR="00AA6B42" w:rsidRPr="00C622E3">
        <w:fldChar w:fldCharType="begin"/>
      </w:r>
      <w:r w:rsidR="00AA6B42" w:rsidRPr="00544D83">
        <w:instrText xml:space="preserve"> REF _Ref419724914 \h </w:instrText>
      </w:r>
      <w:r w:rsidR="003777F0" w:rsidRPr="00C622E3">
        <w:instrText xml:space="preserve"> \* MERGEFORMAT </w:instrText>
      </w:r>
      <w:r w:rsidR="00AA6B42" w:rsidRPr="00C622E3">
        <w:fldChar w:fldCharType="separate"/>
      </w:r>
      <w:r w:rsidR="00014844">
        <w:t xml:space="preserve">Figure </w:t>
      </w:r>
      <w:r w:rsidR="00014844">
        <w:rPr>
          <w:noProof/>
        </w:rPr>
        <w:t>3</w:t>
      </w:r>
      <w:r w:rsidR="00AA6B42" w:rsidRPr="00C622E3">
        <w:fldChar w:fldCharType="end"/>
      </w:r>
      <w:r w:rsidR="000A52B7" w:rsidRPr="00C622E3">
        <w:t xml:space="preserve"> shows the grid-based generation components of each series. </w:t>
      </w:r>
      <w:r w:rsidRPr="00F201E9">
        <w:t>The</w:t>
      </w:r>
      <w:r w:rsidRPr="006C350D">
        <w:t xml:space="preserve"> main driver of the differences is the projected faster growth of general business demand in the Department of the Environment series.</w:t>
      </w:r>
    </w:p>
    <w:p w:rsidR="006C350D" w:rsidRDefault="006C350D" w:rsidP="006C350D">
      <w:pPr>
        <w:pStyle w:val="Caption"/>
      </w:pPr>
      <w:bookmarkStart w:id="42" w:name="_Ref419724914"/>
      <w:r>
        <w:t xml:space="preserve">Figure </w:t>
      </w:r>
      <w:r>
        <w:fldChar w:fldCharType="begin"/>
      </w:r>
      <w:r>
        <w:instrText xml:space="preserve"> SEQ Figure \* ARABIC </w:instrText>
      </w:r>
      <w:r>
        <w:fldChar w:fldCharType="separate"/>
      </w:r>
      <w:r w:rsidR="00014844">
        <w:rPr>
          <w:noProof/>
        </w:rPr>
        <w:t>3</w:t>
      </w:r>
      <w:r>
        <w:fldChar w:fldCharType="end"/>
      </w:r>
      <w:bookmarkEnd w:id="42"/>
      <w:r>
        <w:t xml:space="preserve"> </w:t>
      </w:r>
      <w:r w:rsidR="00594A32">
        <w:t>Electricity</w:t>
      </w:r>
      <w:r w:rsidR="00594A32" w:rsidRPr="00BC1E52">
        <w:t xml:space="preserve"> </w:t>
      </w:r>
      <w:r w:rsidRPr="00BC1E52">
        <w:t>demand</w:t>
      </w:r>
      <w:r>
        <w:t xml:space="preserve"> in the NE</w:t>
      </w:r>
      <w:r w:rsidR="00434A63">
        <w:t>M and WEM</w:t>
      </w:r>
      <w:r w:rsidR="00594A32">
        <w:t xml:space="preserve">: comparison </w:t>
      </w:r>
    </w:p>
    <w:p w:rsidR="00F201E9" w:rsidRPr="00D951F2" w:rsidRDefault="00F201E9" w:rsidP="00DD4EB1">
      <w:pPr>
        <w:pStyle w:val="Para0"/>
        <w:keepNext/>
        <w:keepLines/>
      </w:pPr>
      <w:r>
        <w:rPr>
          <w:noProof/>
          <w:lang w:eastAsia="en-AU"/>
        </w:rPr>
        <w:drawing>
          <wp:inline distT="0" distB="0" distL="0" distR="0" wp14:anchorId="3201613B" wp14:editId="79FBDE62">
            <wp:extent cx="5943600" cy="259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93975"/>
                    </a:xfrm>
                    <a:prstGeom prst="rect">
                      <a:avLst/>
                    </a:prstGeom>
                  </pic:spPr>
                </pic:pic>
              </a:graphicData>
            </a:graphic>
          </wp:inline>
        </w:drawing>
      </w:r>
    </w:p>
    <w:p w:rsidR="00A66ED7" w:rsidRDefault="006C350D" w:rsidP="00CA7512">
      <w:pPr>
        <w:pStyle w:val="Para0"/>
      </w:pPr>
      <w:r w:rsidRPr="00C622E3">
        <w:rPr>
          <w:sz w:val="16"/>
        </w:rPr>
        <w:t xml:space="preserve">Notes: AEMO and IMO series are the latest medium demand projections from </w:t>
      </w:r>
      <w:r w:rsidR="003F1490" w:rsidRPr="00C622E3">
        <w:rPr>
          <w:sz w:val="16"/>
        </w:rPr>
        <w:t xml:space="preserve">the National Electricity Forecasting Report Update December 2014 </w:t>
      </w:r>
      <w:r w:rsidRPr="00C622E3">
        <w:rPr>
          <w:sz w:val="16"/>
        </w:rPr>
        <w:t xml:space="preserve">and </w:t>
      </w:r>
      <w:r w:rsidR="003F1490" w:rsidRPr="00C622E3">
        <w:rPr>
          <w:sz w:val="16"/>
        </w:rPr>
        <w:t>SWIS Electricity Demand Outlook June 2014</w:t>
      </w:r>
      <w:r w:rsidRPr="00C622E3">
        <w:rPr>
          <w:sz w:val="16"/>
        </w:rPr>
        <w:t xml:space="preserve">, respectively. Both are ‘sent out’, that is, they include transmission and distribution losses but exclude auxiliary generation. </w:t>
      </w:r>
      <w:r w:rsidR="009F0AEC" w:rsidRPr="00C622E3">
        <w:rPr>
          <w:sz w:val="16"/>
        </w:rPr>
        <w:t>Neither series in this figure includes</w:t>
      </w:r>
      <w:r w:rsidR="003777F0" w:rsidRPr="00C622E3">
        <w:rPr>
          <w:sz w:val="16"/>
        </w:rPr>
        <w:t xml:space="preserve"> ‘grid exempt’ demand (for example, embedded generation such as methane generation at coal mines). </w:t>
      </w:r>
      <w:r w:rsidR="00B30105" w:rsidRPr="00C622E3">
        <w:rPr>
          <w:sz w:val="16"/>
        </w:rPr>
        <w:t>Two adjustments have been made to the Department of Environment series for the pu</w:t>
      </w:r>
      <w:r w:rsidR="000A52B7" w:rsidRPr="00C622E3">
        <w:rPr>
          <w:sz w:val="16"/>
        </w:rPr>
        <w:t>rposes of this comparison of grid-based demand</w:t>
      </w:r>
      <w:r w:rsidR="00C179F8" w:rsidRPr="00C622E3">
        <w:rPr>
          <w:sz w:val="16"/>
        </w:rPr>
        <w:t xml:space="preserve">, </w:t>
      </w:r>
      <w:r w:rsidR="00B30105" w:rsidRPr="00C622E3">
        <w:rPr>
          <w:sz w:val="16"/>
        </w:rPr>
        <w:t>but not to the series used in the modelling. First, p</w:t>
      </w:r>
      <w:r w:rsidRPr="00C622E3">
        <w:rPr>
          <w:sz w:val="16"/>
        </w:rPr>
        <w:t>rojected generation from rooftop PV</w:t>
      </w:r>
      <w:r w:rsidR="00B30105" w:rsidRPr="00C622E3">
        <w:rPr>
          <w:sz w:val="16"/>
        </w:rPr>
        <w:t xml:space="preserve"> has been removed</w:t>
      </w:r>
      <w:r w:rsidR="00B75063" w:rsidRPr="00C622E3">
        <w:rPr>
          <w:sz w:val="16"/>
        </w:rPr>
        <w:t xml:space="preserve">; </w:t>
      </w:r>
      <w:r w:rsidR="00B30105" w:rsidRPr="00C622E3">
        <w:rPr>
          <w:sz w:val="16"/>
        </w:rPr>
        <w:t xml:space="preserve">as per section </w:t>
      </w:r>
      <w:r w:rsidR="00B30105" w:rsidRPr="00C622E3">
        <w:rPr>
          <w:sz w:val="16"/>
        </w:rPr>
        <w:fldChar w:fldCharType="begin"/>
      </w:r>
      <w:r w:rsidR="00B30105" w:rsidRPr="00C622E3">
        <w:rPr>
          <w:sz w:val="16"/>
        </w:rPr>
        <w:instrText xml:space="preserve"> REF _Ref418779312 \r \h </w:instrText>
      </w:r>
      <w:r w:rsidR="00544D83">
        <w:rPr>
          <w:sz w:val="16"/>
        </w:rPr>
        <w:instrText xml:space="preserve"> \* MERGEFORMAT </w:instrText>
      </w:r>
      <w:r w:rsidR="00B30105" w:rsidRPr="00C622E3">
        <w:rPr>
          <w:sz w:val="16"/>
        </w:rPr>
      </w:r>
      <w:r w:rsidR="00B30105" w:rsidRPr="00C622E3">
        <w:rPr>
          <w:sz w:val="16"/>
        </w:rPr>
        <w:fldChar w:fldCharType="separate"/>
      </w:r>
      <w:r w:rsidR="00014844">
        <w:rPr>
          <w:sz w:val="16"/>
        </w:rPr>
        <w:t>3.1</w:t>
      </w:r>
      <w:r w:rsidR="00B30105" w:rsidRPr="00C622E3">
        <w:rPr>
          <w:sz w:val="16"/>
        </w:rPr>
        <w:fldChar w:fldCharType="end"/>
      </w:r>
      <w:r w:rsidR="00B75063" w:rsidRPr="00C622E3">
        <w:rPr>
          <w:sz w:val="16"/>
        </w:rPr>
        <w:t xml:space="preserve"> it</w:t>
      </w:r>
      <w:r w:rsidR="00B30105" w:rsidRPr="00C622E3">
        <w:rPr>
          <w:sz w:val="16"/>
        </w:rPr>
        <w:t xml:space="preserve"> is included in the estimate of total demand used as an initial input into Jacobs’ suite of models</w:t>
      </w:r>
      <w:r w:rsidRPr="00C622E3">
        <w:rPr>
          <w:sz w:val="16"/>
        </w:rPr>
        <w:t>.</w:t>
      </w:r>
      <w:r w:rsidR="003F1490" w:rsidRPr="00C622E3">
        <w:rPr>
          <w:sz w:val="16"/>
        </w:rPr>
        <w:t xml:space="preserve"> </w:t>
      </w:r>
      <w:r w:rsidR="00B30105" w:rsidRPr="00C622E3">
        <w:rPr>
          <w:sz w:val="16"/>
        </w:rPr>
        <w:t>Second, the</w:t>
      </w:r>
      <w:r w:rsidR="003F1490" w:rsidRPr="00C622E3">
        <w:rPr>
          <w:sz w:val="16"/>
        </w:rPr>
        <w:t xml:space="preserve"> Department of Environment series </w:t>
      </w:r>
      <w:r w:rsidR="00C179F8" w:rsidRPr="00C622E3">
        <w:rPr>
          <w:sz w:val="16"/>
        </w:rPr>
        <w:t xml:space="preserve">constructed for this comparison figure </w:t>
      </w:r>
      <w:r w:rsidR="003F1490" w:rsidRPr="00C622E3">
        <w:rPr>
          <w:sz w:val="16"/>
        </w:rPr>
        <w:t xml:space="preserve">includes </w:t>
      </w:r>
      <w:r w:rsidR="00B30105" w:rsidRPr="00C622E3">
        <w:rPr>
          <w:sz w:val="16"/>
        </w:rPr>
        <w:t xml:space="preserve">both on- and off-grid </w:t>
      </w:r>
      <w:r w:rsidR="003F1490" w:rsidRPr="00C622E3">
        <w:rPr>
          <w:sz w:val="16"/>
        </w:rPr>
        <w:t>large</w:t>
      </w:r>
      <w:r w:rsidR="000A52B7" w:rsidRPr="00C622E3">
        <w:rPr>
          <w:sz w:val="16"/>
        </w:rPr>
        <w:t>-</w:t>
      </w:r>
      <w:r w:rsidR="003F1490" w:rsidRPr="00C622E3">
        <w:rPr>
          <w:sz w:val="16"/>
        </w:rPr>
        <w:t>scale solar</w:t>
      </w:r>
      <w:r w:rsidR="00B30105" w:rsidRPr="00C622E3">
        <w:rPr>
          <w:sz w:val="16"/>
        </w:rPr>
        <w:t xml:space="preserve"> so will slightly overestimate total projected generation from large-scale solar in the NEM and WEM</w:t>
      </w:r>
      <w:r w:rsidR="00004644" w:rsidRPr="00C622E3">
        <w:rPr>
          <w:sz w:val="16"/>
        </w:rPr>
        <w:t>.</w:t>
      </w:r>
      <w:r w:rsidR="003F1490" w:rsidRPr="00C622E3">
        <w:rPr>
          <w:sz w:val="16"/>
        </w:rPr>
        <w:t xml:space="preserve"> </w:t>
      </w:r>
    </w:p>
    <w:p w:rsidR="00DD4EB1" w:rsidRDefault="00DD4EB1" w:rsidP="00DD4EB1">
      <w:pPr>
        <w:pStyle w:val="Para0"/>
      </w:pPr>
      <w:r>
        <w:lastRenderedPageBreak/>
        <w:t>Further information on the series will be available in the forthcoming technical sectoral emissions projections papers which will be available on the Department of the Environment’s website.</w:t>
      </w:r>
    </w:p>
    <w:p w:rsidR="00856F91" w:rsidRDefault="00856F91" w:rsidP="00CA7512">
      <w:pPr>
        <w:pStyle w:val="Para0"/>
      </w:pPr>
      <w:r>
        <w:t>Electricity demand over the period to 2050 is very uncertain</w:t>
      </w:r>
      <w:r w:rsidR="00C7658B">
        <w:t>. In addition to exploring the performance of policy scenarios against a substantial, rapid increase in distributed generation and electricity storage technologies, p</w:t>
      </w:r>
      <w:r>
        <w:t xml:space="preserve">hase two of the modelling will conduct sensitivities with higher and lower projected levels of </w:t>
      </w:r>
      <w:r w:rsidR="00C7658B">
        <w:t xml:space="preserve">total (grid-based and embedded) </w:t>
      </w:r>
      <w:r>
        <w:t xml:space="preserve">demand. </w:t>
      </w:r>
    </w:p>
    <w:p w:rsidR="000E2BCD" w:rsidRDefault="00856F91" w:rsidP="00CA7512">
      <w:pPr>
        <w:pStyle w:val="Para0"/>
      </w:pPr>
      <w:r>
        <w:t>In phase one, f</w:t>
      </w:r>
      <w:r w:rsidR="007A539D">
        <w:t>or each of the policy scenarios, t</w:t>
      </w:r>
      <w:r w:rsidR="00C51849">
        <w:t>he core demand path will be adjusted to reflect the impact of each policy on demand through its impact on electricity price</w:t>
      </w:r>
      <w:r w:rsidR="00415F07">
        <w:t xml:space="preserve">s. </w:t>
      </w:r>
      <w:r w:rsidR="00415F07" w:rsidRPr="00EB7441">
        <w:t xml:space="preserve">The </w:t>
      </w:r>
      <w:r w:rsidR="000E2BCD">
        <w:t>size</w:t>
      </w:r>
      <w:r w:rsidR="00415F07" w:rsidRPr="00EB7441">
        <w:t xml:space="preserve"> of the expected </w:t>
      </w:r>
      <w:r w:rsidR="000E2BCD">
        <w:t>change in electricity demand</w:t>
      </w:r>
      <w:r w:rsidR="00415F07" w:rsidRPr="00EB7441">
        <w:t xml:space="preserve"> depends on</w:t>
      </w:r>
      <w:r w:rsidR="000E2BCD">
        <w:t>:</w:t>
      </w:r>
    </w:p>
    <w:p w:rsidR="000E2BCD" w:rsidRDefault="000E2BCD" w:rsidP="00F71D7E">
      <w:pPr>
        <w:pStyle w:val="ListBullet3"/>
        <w:tabs>
          <w:tab w:val="clear" w:pos="926"/>
          <w:tab w:val="num" w:pos="78"/>
        </w:tabs>
        <w:ind w:left="360"/>
      </w:pPr>
      <w:r>
        <w:t>H</w:t>
      </w:r>
      <w:r w:rsidR="00415F07">
        <w:t>ow much and in what direction each policy affects the overall prices faced by consumers</w:t>
      </w:r>
      <w:r w:rsidR="00737473">
        <w:t>,</w:t>
      </w:r>
      <w:r>
        <w:t xml:space="preserve"> and</w:t>
      </w:r>
    </w:p>
    <w:p w:rsidR="000E2BCD" w:rsidRDefault="000E2BCD" w:rsidP="00F71D7E">
      <w:pPr>
        <w:pStyle w:val="ListBullet3"/>
        <w:tabs>
          <w:tab w:val="clear" w:pos="926"/>
          <w:tab w:val="num" w:pos="78"/>
        </w:tabs>
        <w:ind w:left="360"/>
      </w:pPr>
      <w:r>
        <w:t>How responsive demand is projected to be to a price change (the estimated elasticity of demand)</w:t>
      </w:r>
      <w:r w:rsidR="00415F07">
        <w:t xml:space="preserve">.  </w:t>
      </w:r>
    </w:p>
    <w:p w:rsidR="00CA7512" w:rsidRDefault="00415F07" w:rsidP="00CA7512">
      <w:pPr>
        <w:pStyle w:val="Para0"/>
      </w:pPr>
      <w:r>
        <w:t>The demand impacts are estimated by adjusting the core demand path with</w:t>
      </w:r>
      <w:r w:rsidR="00C51849">
        <w:t xml:space="preserve"> long-run own price elasticities of demand (PED). </w:t>
      </w:r>
      <w:r w:rsidR="000E2BCD">
        <w:t>Elasticities used are based on those from AEMO 2014 (</w:t>
      </w:r>
      <w:r w:rsidR="00CA7512">
        <w:fldChar w:fldCharType="begin"/>
      </w:r>
      <w:r w:rsidR="00CA7512">
        <w:instrText xml:space="preserve"> REF _Ref400618463 \h </w:instrText>
      </w:r>
      <w:r w:rsidR="00CA7512">
        <w:fldChar w:fldCharType="separate"/>
      </w:r>
      <w:r w:rsidR="00014844">
        <w:t xml:space="preserve">Table </w:t>
      </w:r>
      <w:r w:rsidR="00014844">
        <w:rPr>
          <w:noProof/>
        </w:rPr>
        <w:t>1</w:t>
      </w:r>
      <w:r w:rsidR="00CA7512">
        <w:fldChar w:fldCharType="end"/>
      </w:r>
      <w:r w:rsidR="000E2BCD">
        <w:t>)</w:t>
      </w:r>
      <w:r w:rsidR="00CA7512" w:rsidRPr="00952F9C">
        <w:t xml:space="preserve">.  </w:t>
      </w:r>
      <w:r w:rsidR="00782076">
        <w:t xml:space="preserve">These elasticities apply to </w:t>
      </w:r>
      <w:r w:rsidR="0096553A">
        <w:t>all loads (</w:t>
      </w:r>
      <w:r w:rsidR="00782076">
        <w:t>residential</w:t>
      </w:r>
      <w:r w:rsidR="0096553A">
        <w:t xml:space="preserve">, </w:t>
      </w:r>
      <w:r w:rsidR="00782076">
        <w:t>commercial</w:t>
      </w:r>
      <w:r w:rsidR="0096553A">
        <w:t>,</w:t>
      </w:r>
      <w:r w:rsidR="00782076">
        <w:t xml:space="preserve"> industrial</w:t>
      </w:r>
      <w:r w:rsidR="0096553A">
        <w:t xml:space="preserve"> and large loads)</w:t>
      </w:r>
      <w:r w:rsidR="00782076">
        <w:t xml:space="preserve"> in each state</w:t>
      </w:r>
      <w:r w:rsidR="0096553A">
        <w:t xml:space="preserve"> because the underlying price used to derive the elasticities</w:t>
      </w:r>
      <w:r w:rsidR="00F225D5">
        <w:t>,</w:t>
      </w:r>
      <w:r w:rsidR="0096553A">
        <w:t xml:space="preserve"> referred to as the Total Price of Elasticity, is essentially the average customer electricity price</w:t>
      </w:r>
      <w:r w:rsidR="00F225D5">
        <w:t xml:space="preserve"> weighted across all classes</w:t>
      </w:r>
      <w:r w:rsidR="0096553A">
        <w:t xml:space="preserve">. </w:t>
      </w:r>
      <w:r w:rsidR="00CA7512" w:rsidRPr="00952F9C">
        <w:t>Th</w:t>
      </w:r>
      <w:r w:rsidR="00782076">
        <w:t>ese</w:t>
      </w:r>
      <w:r w:rsidR="00CA7512" w:rsidRPr="00952F9C">
        <w:t xml:space="preserve"> PED</w:t>
      </w:r>
      <w:r w:rsidR="0096553A">
        <w:t>s</w:t>
      </w:r>
      <w:r w:rsidR="00CA7512" w:rsidRPr="00952F9C">
        <w:t xml:space="preserve"> represent the</w:t>
      </w:r>
      <w:r w:rsidR="00CA7512" w:rsidRPr="00486752">
        <w:t xml:space="preserve"> </w:t>
      </w:r>
      <w:r w:rsidR="00CA7512" w:rsidRPr="00952F9C">
        <w:t>percentage change in demand expected for a 1% increase in electricity price.</w:t>
      </w:r>
    </w:p>
    <w:p w:rsidR="00CA7512" w:rsidRPr="00952F9C" w:rsidRDefault="00CA7512" w:rsidP="00C622E3">
      <w:pPr>
        <w:pStyle w:val="Caption"/>
        <w:keepLines/>
      </w:pPr>
      <w:bookmarkStart w:id="43" w:name="_Ref400618463"/>
      <w:bookmarkStart w:id="44" w:name="_Ref227034972"/>
      <w:bookmarkStart w:id="45" w:name="_Toc229834175"/>
      <w:bookmarkStart w:id="46" w:name="_Toc257185958"/>
      <w:bookmarkStart w:id="47" w:name="_Toc317181342"/>
      <w:bookmarkStart w:id="48" w:name="_Toc362953693"/>
      <w:r>
        <w:t xml:space="preserve">Table </w:t>
      </w:r>
      <w:r>
        <w:fldChar w:fldCharType="begin"/>
      </w:r>
      <w:r>
        <w:instrText xml:space="preserve"> SEQ Table \* ARABIC </w:instrText>
      </w:r>
      <w:r>
        <w:fldChar w:fldCharType="separate"/>
      </w:r>
      <w:r w:rsidR="00014844">
        <w:rPr>
          <w:noProof/>
        </w:rPr>
        <w:t>1</w:t>
      </w:r>
      <w:r>
        <w:fldChar w:fldCharType="end"/>
      </w:r>
      <w:bookmarkEnd w:id="43"/>
      <w:r w:rsidRPr="009038E7">
        <w:t xml:space="preserve">: </w:t>
      </w:r>
      <w:bookmarkEnd w:id="44"/>
      <w:r w:rsidRPr="00952F9C">
        <w:t xml:space="preserve"> Assumed </w:t>
      </w:r>
      <w:r>
        <w:t xml:space="preserve">regional </w:t>
      </w:r>
      <w:r w:rsidRPr="00952F9C">
        <w:t>price elasticity of demand</w:t>
      </w:r>
      <w:bookmarkEnd w:id="45"/>
      <w:bookmarkEnd w:id="46"/>
      <w:bookmarkEnd w:id="47"/>
      <w:bookmarkEnd w:id="48"/>
    </w:p>
    <w:tbl>
      <w:tblPr>
        <w:tblStyle w:val="Table2"/>
        <w:tblW w:w="0" w:type="auto"/>
        <w:tblInd w:w="0" w:type="dxa"/>
        <w:tblLook w:val="01E0" w:firstRow="1" w:lastRow="1" w:firstColumn="1" w:lastColumn="1" w:noHBand="0" w:noVBand="0"/>
      </w:tblPr>
      <w:tblGrid>
        <w:gridCol w:w="2874"/>
        <w:gridCol w:w="2694"/>
      </w:tblGrid>
      <w:tr w:rsidR="00CA7512" w:rsidRPr="00952F9C" w:rsidTr="00C622E3">
        <w:trPr>
          <w:cnfStyle w:val="100000000000" w:firstRow="1" w:lastRow="0" w:firstColumn="0" w:lastColumn="0" w:oddVBand="0" w:evenVBand="0" w:oddHBand="0" w:evenHBand="0" w:firstRowFirstColumn="0" w:firstRowLastColumn="0" w:lastRowFirstColumn="0" w:lastRowLastColumn="0"/>
          <w:cantSplit/>
        </w:trPr>
        <w:tc>
          <w:tcPr>
            <w:tcW w:w="2874" w:type="dxa"/>
            <w:shd w:val="clear" w:color="auto" w:fill="002669" w:themeFill="accent6" w:themeFillShade="BF"/>
          </w:tcPr>
          <w:p w:rsidR="00CA7512" w:rsidRPr="00AD1AAF" w:rsidRDefault="00CA7512" w:rsidP="00C622E3">
            <w:pPr>
              <w:pStyle w:val="Tablesmalltext"/>
              <w:keepNext/>
              <w:keepLines/>
              <w:rPr>
                <w:color w:val="FFFFFF" w:themeColor="background1"/>
                <w:sz w:val="20"/>
                <w:szCs w:val="20"/>
              </w:rPr>
            </w:pPr>
            <w:r w:rsidRPr="00AD1AAF">
              <w:rPr>
                <w:color w:val="FFFFFF" w:themeColor="background1"/>
                <w:sz w:val="20"/>
                <w:szCs w:val="20"/>
              </w:rPr>
              <w:t>State</w:t>
            </w:r>
          </w:p>
        </w:tc>
        <w:tc>
          <w:tcPr>
            <w:tcW w:w="2694" w:type="dxa"/>
            <w:shd w:val="clear" w:color="auto" w:fill="002669" w:themeFill="accent6" w:themeFillShade="BF"/>
          </w:tcPr>
          <w:p w:rsidR="00CA7512" w:rsidRPr="00AD1AAF" w:rsidRDefault="00CA7512" w:rsidP="00C622E3">
            <w:pPr>
              <w:pStyle w:val="Tablesmalltext"/>
              <w:keepNext/>
              <w:keepLines/>
              <w:rPr>
                <w:color w:val="FFFFFF" w:themeColor="background1"/>
                <w:sz w:val="20"/>
                <w:szCs w:val="20"/>
              </w:rPr>
            </w:pPr>
            <w:r w:rsidRPr="00AD1AAF">
              <w:rPr>
                <w:color w:val="FFFFFF" w:themeColor="background1"/>
                <w:sz w:val="20"/>
                <w:szCs w:val="20"/>
              </w:rPr>
              <w:t>Price elasticity (%)</w:t>
            </w:r>
          </w:p>
        </w:tc>
      </w:tr>
      <w:tr w:rsidR="00CA7512" w:rsidRPr="00952F9C" w:rsidTr="00C622E3">
        <w:trPr>
          <w:cantSplit/>
        </w:trPr>
        <w:tc>
          <w:tcPr>
            <w:tcW w:w="2874" w:type="dxa"/>
          </w:tcPr>
          <w:p w:rsidR="00CA7512" w:rsidRPr="00AD1AAF" w:rsidRDefault="00CA7512" w:rsidP="00C622E3">
            <w:pPr>
              <w:pStyle w:val="Tablesmalltext"/>
              <w:keepNext/>
              <w:keepLines/>
              <w:rPr>
                <w:sz w:val="20"/>
                <w:szCs w:val="20"/>
              </w:rPr>
            </w:pPr>
            <w:r w:rsidRPr="00AD1AAF">
              <w:rPr>
                <w:sz w:val="20"/>
                <w:szCs w:val="20"/>
              </w:rPr>
              <w:t>N</w:t>
            </w:r>
            <w:r w:rsidR="0091735E">
              <w:rPr>
                <w:sz w:val="20"/>
                <w:szCs w:val="20"/>
              </w:rPr>
              <w:t xml:space="preserve">ew </w:t>
            </w:r>
            <w:r w:rsidRPr="00AD1AAF">
              <w:rPr>
                <w:sz w:val="20"/>
                <w:szCs w:val="20"/>
              </w:rPr>
              <w:t>S</w:t>
            </w:r>
            <w:r w:rsidR="0091735E">
              <w:rPr>
                <w:sz w:val="20"/>
                <w:szCs w:val="20"/>
              </w:rPr>
              <w:t xml:space="preserve">outh </w:t>
            </w:r>
            <w:r w:rsidRPr="00AD1AAF">
              <w:rPr>
                <w:sz w:val="20"/>
                <w:szCs w:val="20"/>
              </w:rPr>
              <w:t>W</w:t>
            </w:r>
            <w:r w:rsidR="0091735E">
              <w:rPr>
                <w:sz w:val="20"/>
                <w:szCs w:val="20"/>
              </w:rPr>
              <w:t>ales</w:t>
            </w:r>
          </w:p>
        </w:tc>
        <w:tc>
          <w:tcPr>
            <w:tcW w:w="2694" w:type="dxa"/>
          </w:tcPr>
          <w:p w:rsidR="00CA7512" w:rsidRPr="00AD1AAF" w:rsidRDefault="00CA7512" w:rsidP="00C622E3">
            <w:pPr>
              <w:pStyle w:val="Tablesmalltext"/>
              <w:keepNext/>
              <w:keepLines/>
              <w:rPr>
                <w:sz w:val="20"/>
                <w:szCs w:val="20"/>
              </w:rPr>
            </w:pPr>
            <w:r w:rsidRPr="00AD1AAF">
              <w:rPr>
                <w:sz w:val="20"/>
                <w:szCs w:val="20"/>
              </w:rPr>
              <w:t>-0.</w:t>
            </w:r>
            <w:r w:rsidR="00254CF7">
              <w:rPr>
                <w:sz w:val="20"/>
                <w:szCs w:val="20"/>
              </w:rPr>
              <w:t>31</w:t>
            </w:r>
            <w:r w:rsidR="00F71D7E">
              <w:rPr>
                <w:sz w:val="20"/>
                <w:szCs w:val="20"/>
              </w:rPr>
              <w:t>3</w:t>
            </w:r>
          </w:p>
        </w:tc>
      </w:tr>
      <w:tr w:rsidR="00CA7512" w:rsidRPr="00952F9C" w:rsidTr="00C622E3">
        <w:trPr>
          <w:cantSplit/>
        </w:trPr>
        <w:tc>
          <w:tcPr>
            <w:tcW w:w="2874" w:type="dxa"/>
          </w:tcPr>
          <w:p w:rsidR="00CA7512" w:rsidRPr="00AD1AAF" w:rsidRDefault="0091735E" w:rsidP="00C622E3">
            <w:pPr>
              <w:pStyle w:val="Tablesmalltext"/>
              <w:keepNext/>
              <w:keepLines/>
              <w:rPr>
                <w:sz w:val="20"/>
                <w:szCs w:val="20"/>
              </w:rPr>
            </w:pPr>
            <w:r w:rsidRPr="00AD1AAF">
              <w:rPr>
                <w:sz w:val="20"/>
                <w:szCs w:val="20"/>
              </w:rPr>
              <w:t>V</w:t>
            </w:r>
            <w:r>
              <w:rPr>
                <w:sz w:val="20"/>
                <w:szCs w:val="20"/>
              </w:rPr>
              <w:t>ictoria</w:t>
            </w:r>
          </w:p>
        </w:tc>
        <w:tc>
          <w:tcPr>
            <w:tcW w:w="2694" w:type="dxa"/>
          </w:tcPr>
          <w:p w:rsidR="00CA7512" w:rsidRPr="00AD1AAF" w:rsidRDefault="00CA7512" w:rsidP="00C622E3">
            <w:pPr>
              <w:pStyle w:val="Tablesmalltext"/>
              <w:keepNext/>
              <w:keepLines/>
              <w:rPr>
                <w:sz w:val="20"/>
                <w:szCs w:val="20"/>
              </w:rPr>
            </w:pPr>
            <w:r w:rsidRPr="00AD1AAF">
              <w:rPr>
                <w:sz w:val="20"/>
                <w:szCs w:val="20"/>
              </w:rPr>
              <w:t>-0.</w:t>
            </w:r>
            <w:r w:rsidR="00254CF7">
              <w:rPr>
                <w:sz w:val="20"/>
                <w:szCs w:val="20"/>
              </w:rPr>
              <w:t>20</w:t>
            </w:r>
            <w:r w:rsidR="00F71D7E">
              <w:rPr>
                <w:sz w:val="20"/>
                <w:szCs w:val="20"/>
              </w:rPr>
              <w:t>8</w:t>
            </w:r>
          </w:p>
        </w:tc>
      </w:tr>
      <w:tr w:rsidR="00CA7512" w:rsidRPr="00952F9C" w:rsidTr="00C622E3">
        <w:trPr>
          <w:cantSplit/>
        </w:trPr>
        <w:tc>
          <w:tcPr>
            <w:tcW w:w="2874" w:type="dxa"/>
          </w:tcPr>
          <w:p w:rsidR="00CA7512" w:rsidRPr="00AD1AAF" w:rsidRDefault="0091735E" w:rsidP="00C622E3">
            <w:pPr>
              <w:pStyle w:val="Tablesmalltext"/>
              <w:keepNext/>
              <w:keepLines/>
              <w:rPr>
                <w:sz w:val="20"/>
                <w:szCs w:val="20"/>
              </w:rPr>
            </w:pPr>
            <w:r w:rsidRPr="00AD1AAF">
              <w:rPr>
                <w:sz w:val="20"/>
                <w:szCs w:val="20"/>
              </w:rPr>
              <w:t>Q</w:t>
            </w:r>
            <w:r>
              <w:rPr>
                <w:sz w:val="20"/>
                <w:szCs w:val="20"/>
              </w:rPr>
              <w:t>ueensland</w:t>
            </w:r>
          </w:p>
        </w:tc>
        <w:tc>
          <w:tcPr>
            <w:tcW w:w="2694" w:type="dxa"/>
          </w:tcPr>
          <w:p w:rsidR="00CA7512" w:rsidRPr="00AD1AAF" w:rsidRDefault="00CA7512" w:rsidP="00C622E3">
            <w:pPr>
              <w:pStyle w:val="Tablesmalltext"/>
              <w:keepNext/>
              <w:keepLines/>
              <w:rPr>
                <w:sz w:val="20"/>
                <w:szCs w:val="20"/>
              </w:rPr>
            </w:pPr>
            <w:r w:rsidRPr="00AD1AAF">
              <w:rPr>
                <w:sz w:val="20"/>
                <w:szCs w:val="20"/>
              </w:rPr>
              <w:t>-0.</w:t>
            </w:r>
            <w:r w:rsidR="00254CF7">
              <w:rPr>
                <w:sz w:val="20"/>
                <w:szCs w:val="20"/>
              </w:rPr>
              <w:t>28</w:t>
            </w:r>
            <w:r w:rsidR="00F71D7E">
              <w:rPr>
                <w:sz w:val="20"/>
                <w:szCs w:val="20"/>
              </w:rPr>
              <w:t>4</w:t>
            </w:r>
          </w:p>
        </w:tc>
      </w:tr>
      <w:tr w:rsidR="00CA7512" w:rsidRPr="00952F9C" w:rsidTr="00C622E3">
        <w:trPr>
          <w:cantSplit/>
        </w:trPr>
        <w:tc>
          <w:tcPr>
            <w:tcW w:w="2874" w:type="dxa"/>
          </w:tcPr>
          <w:p w:rsidR="00CA7512" w:rsidRPr="00AD1AAF" w:rsidRDefault="0091735E" w:rsidP="00C622E3">
            <w:pPr>
              <w:pStyle w:val="Tablesmalltext"/>
              <w:keepNext/>
              <w:keepLines/>
              <w:rPr>
                <w:sz w:val="20"/>
                <w:szCs w:val="20"/>
              </w:rPr>
            </w:pPr>
            <w:r w:rsidRPr="00AD1AAF">
              <w:rPr>
                <w:sz w:val="20"/>
                <w:szCs w:val="20"/>
              </w:rPr>
              <w:t>S</w:t>
            </w:r>
            <w:r>
              <w:rPr>
                <w:sz w:val="20"/>
                <w:szCs w:val="20"/>
              </w:rPr>
              <w:t>outh Australia</w:t>
            </w:r>
          </w:p>
        </w:tc>
        <w:tc>
          <w:tcPr>
            <w:tcW w:w="2694" w:type="dxa"/>
          </w:tcPr>
          <w:p w:rsidR="00CA7512" w:rsidRPr="00AD1AAF" w:rsidRDefault="00CA7512" w:rsidP="00C622E3">
            <w:pPr>
              <w:pStyle w:val="Tablesmalltext"/>
              <w:keepNext/>
              <w:keepLines/>
              <w:rPr>
                <w:sz w:val="20"/>
                <w:szCs w:val="20"/>
              </w:rPr>
            </w:pPr>
            <w:r w:rsidRPr="00AD1AAF">
              <w:rPr>
                <w:sz w:val="20"/>
                <w:szCs w:val="20"/>
              </w:rPr>
              <w:t>-0.</w:t>
            </w:r>
            <w:r w:rsidR="00254CF7">
              <w:rPr>
                <w:sz w:val="20"/>
                <w:szCs w:val="20"/>
              </w:rPr>
              <w:t>14</w:t>
            </w:r>
            <w:r w:rsidR="00F71D7E">
              <w:rPr>
                <w:sz w:val="20"/>
                <w:szCs w:val="20"/>
              </w:rPr>
              <w:t>1</w:t>
            </w:r>
          </w:p>
        </w:tc>
      </w:tr>
      <w:tr w:rsidR="00CA7512" w:rsidRPr="00952F9C" w:rsidTr="00C622E3">
        <w:trPr>
          <w:cantSplit/>
        </w:trPr>
        <w:tc>
          <w:tcPr>
            <w:tcW w:w="2874" w:type="dxa"/>
          </w:tcPr>
          <w:p w:rsidR="00CA7512" w:rsidRPr="00AD1AAF" w:rsidRDefault="0091735E" w:rsidP="00C622E3">
            <w:pPr>
              <w:pStyle w:val="Tablesmalltext"/>
              <w:keepNext/>
              <w:keepLines/>
              <w:rPr>
                <w:sz w:val="20"/>
                <w:szCs w:val="20"/>
              </w:rPr>
            </w:pPr>
            <w:r w:rsidRPr="00AD1AAF">
              <w:rPr>
                <w:sz w:val="20"/>
                <w:szCs w:val="20"/>
              </w:rPr>
              <w:t>T</w:t>
            </w:r>
            <w:r>
              <w:rPr>
                <w:sz w:val="20"/>
                <w:szCs w:val="20"/>
              </w:rPr>
              <w:t>asmania</w:t>
            </w:r>
          </w:p>
        </w:tc>
        <w:tc>
          <w:tcPr>
            <w:tcW w:w="2694" w:type="dxa"/>
          </w:tcPr>
          <w:p w:rsidR="00CA7512" w:rsidRPr="00AD1AAF" w:rsidRDefault="00CA7512" w:rsidP="00C622E3">
            <w:pPr>
              <w:pStyle w:val="Tablesmalltext"/>
              <w:keepNext/>
              <w:keepLines/>
              <w:rPr>
                <w:sz w:val="20"/>
                <w:szCs w:val="20"/>
              </w:rPr>
            </w:pPr>
            <w:r w:rsidRPr="00AD1AAF">
              <w:rPr>
                <w:sz w:val="20"/>
                <w:szCs w:val="20"/>
              </w:rPr>
              <w:t>-0.</w:t>
            </w:r>
            <w:r w:rsidR="00254CF7">
              <w:rPr>
                <w:sz w:val="20"/>
                <w:szCs w:val="20"/>
              </w:rPr>
              <w:t>40</w:t>
            </w:r>
            <w:r w:rsidR="00F71D7E">
              <w:rPr>
                <w:sz w:val="20"/>
                <w:szCs w:val="20"/>
              </w:rPr>
              <w:t>7</w:t>
            </w:r>
          </w:p>
        </w:tc>
      </w:tr>
      <w:tr w:rsidR="0091735E" w:rsidRPr="00952F9C" w:rsidTr="00C622E3">
        <w:trPr>
          <w:cantSplit/>
        </w:trPr>
        <w:tc>
          <w:tcPr>
            <w:tcW w:w="2874" w:type="dxa"/>
          </w:tcPr>
          <w:p w:rsidR="0091735E" w:rsidRPr="00AD1AAF" w:rsidDel="0091735E" w:rsidRDefault="0091735E" w:rsidP="00C622E3">
            <w:pPr>
              <w:pStyle w:val="Tablesmalltext"/>
              <w:keepNext/>
              <w:keepLines/>
              <w:rPr>
                <w:sz w:val="20"/>
                <w:szCs w:val="20"/>
              </w:rPr>
            </w:pPr>
            <w:r>
              <w:rPr>
                <w:sz w:val="20"/>
                <w:szCs w:val="20"/>
              </w:rPr>
              <w:t>Western Australia</w:t>
            </w:r>
          </w:p>
        </w:tc>
        <w:tc>
          <w:tcPr>
            <w:tcW w:w="2694" w:type="dxa"/>
          </w:tcPr>
          <w:p w:rsidR="0091735E" w:rsidRPr="00AD1AAF" w:rsidRDefault="0091735E" w:rsidP="00C622E3">
            <w:pPr>
              <w:pStyle w:val="Tablesmalltext"/>
              <w:keepNext/>
              <w:keepLines/>
              <w:rPr>
                <w:sz w:val="20"/>
                <w:szCs w:val="20"/>
              </w:rPr>
            </w:pPr>
            <w:r>
              <w:rPr>
                <w:sz w:val="20"/>
                <w:szCs w:val="20"/>
              </w:rPr>
              <w:t>-0.</w:t>
            </w:r>
            <w:r w:rsidR="00EC44CD">
              <w:rPr>
                <w:sz w:val="20"/>
                <w:szCs w:val="20"/>
              </w:rPr>
              <w:t>23</w:t>
            </w:r>
          </w:p>
        </w:tc>
      </w:tr>
    </w:tbl>
    <w:p w:rsidR="00CA7512" w:rsidRPr="00EE78D1" w:rsidRDefault="00CA7512" w:rsidP="00C622E3">
      <w:pPr>
        <w:pStyle w:val="Para0"/>
        <w:keepNext/>
        <w:keepLines/>
        <w:rPr>
          <w:sz w:val="16"/>
          <w:szCs w:val="16"/>
        </w:rPr>
      </w:pPr>
      <w:r w:rsidRPr="00EE78D1">
        <w:rPr>
          <w:sz w:val="16"/>
          <w:szCs w:val="16"/>
        </w:rPr>
        <w:t>S</w:t>
      </w:r>
      <w:r>
        <w:rPr>
          <w:sz w:val="16"/>
          <w:szCs w:val="16"/>
        </w:rPr>
        <w:t>ource</w:t>
      </w:r>
      <w:r w:rsidRPr="00EE78D1">
        <w:rPr>
          <w:sz w:val="16"/>
          <w:szCs w:val="16"/>
        </w:rPr>
        <w:t xml:space="preserve">: </w:t>
      </w:r>
      <w:r>
        <w:rPr>
          <w:sz w:val="16"/>
          <w:szCs w:val="16"/>
        </w:rPr>
        <w:t xml:space="preserve">AEMO NEFR </w:t>
      </w:r>
      <w:r w:rsidR="00254CF7">
        <w:rPr>
          <w:sz w:val="16"/>
          <w:szCs w:val="16"/>
        </w:rPr>
        <w:t xml:space="preserve">2014 </w:t>
      </w:r>
      <w:r>
        <w:rPr>
          <w:sz w:val="16"/>
          <w:szCs w:val="16"/>
        </w:rPr>
        <w:t>Forecast Methodology Information Paper</w:t>
      </w:r>
      <w:r w:rsidR="0091735E">
        <w:rPr>
          <w:sz w:val="16"/>
          <w:szCs w:val="16"/>
        </w:rPr>
        <w:t xml:space="preserve"> for the NEM states</w:t>
      </w:r>
      <w:r w:rsidR="0091735E">
        <w:rPr>
          <w:rStyle w:val="FootnoteReference"/>
          <w:szCs w:val="16"/>
        </w:rPr>
        <w:footnoteReference w:id="6"/>
      </w:r>
      <w:r w:rsidR="0091735E">
        <w:rPr>
          <w:sz w:val="16"/>
          <w:szCs w:val="16"/>
        </w:rPr>
        <w:t xml:space="preserve">.  </w:t>
      </w:r>
      <w:r w:rsidR="00EC44CD">
        <w:rPr>
          <w:sz w:val="16"/>
          <w:szCs w:val="16"/>
        </w:rPr>
        <w:t xml:space="preserve">The </w:t>
      </w:r>
      <w:r w:rsidR="0091735E">
        <w:rPr>
          <w:sz w:val="16"/>
          <w:szCs w:val="16"/>
        </w:rPr>
        <w:t>Western Australia</w:t>
      </w:r>
      <w:r w:rsidR="00414BBA">
        <w:rPr>
          <w:sz w:val="16"/>
          <w:szCs w:val="16"/>
        </w:rPr>
        <w:t>n</w:t>
      </w:r>
      <w:r w:rsidR="00EC44CD">
        <w:rPr>
          <w:sz w:val="16"/>
          <w:szCs w:val="16"/>
        </w:rPr>
        <w:t xml:space="preserve"> elasticity is based on information from Synergy.</w:t>
      </w:r>
    </w:p>
    <w:p w:rsidR="00CA7512" w:rsidRDefault="00114EF6" w:rsidP="00CA7512">
      <w:pPr>
        <w:pStyle w:val="Para0"/>
      </w:pPr>
      <w:r>
        <w:t xml:space="preserve">These elasticities </w:t>
      </w:r>
      <w:r w:rsidR="00B90DCF">
        <w:t>are defined on an ‘energy over time’ basis</w:t>
      </w:r>
      <w:r>
        <w:t xml:space="preserve">. </w:t>
      </w:r>
      <w:r w:rsidR="00B90DCF">
        <w:t>Peak demand is less elastic. We</w:t>
      </w:r>
      <w:r w:rsidR="00CA7512" w:rsidRPr="00952F9C">
        <w:t xml:space="preserve"> assume the </w:t>
      </w:r>
      <w:r w:rsidR="00B90DCF">
        <w:t xml:space="preserve">peak </w:t>
      </w:r>
      <w:r w:rsidR="00CA7512" w:rsidRPr="00952F9C">
        <w:t xml:space="preserve">demand </w:t>
      </w:r>
      <w:r w:rsidR="00B90DCF">
        <w:t>elasticity</w:t>
      </w:r>
      <w:r w:rsidR="00B90DCF" w:rsidRPr="00952F9C">
        <w:t xml:space="preserve"> </w:t>
      </w:r>
      <w:r w:rsidR="00B90DCF">
        <w:t>will</w:t>
      </w:r>
      <w:r w:rsidR="00B90DCF" w:rsidRPr="00952F9C">
        <w:t xml:space="preserve"> </w:t>
      </w:r>
      <w:r w:rsidR="00CA7512" w:rsidRPr="00952F9C">
        <w:t xml:space="preserve">be </w:t>
      </w:r>
      <w:r w:rsidR="00B90DCF">
        <w:t xml:space="preserve">reduced by the proportion of air conditioning demand in the peak demand. This is because air conditioning demand is observed to be relatively inelastic. </w:t>
      </w:r>
    </w:p>
    <w:p w:rsidR="00217B41" w:rsidRPr="00952F9C" w:rsidRDefault="00217B41" w:rsidP="00CA7512">
      <w:pPr>
        <w:pStyle w:val="Para0"/>
      </w:pPr>
      <w:r>
        <w:t>Further material on demand</w:t>
      </w:r>
      <w:r w:rsidR="00322EFA">
        <w:t xml:space="preserve"> is at </w:t>
      </w:r>
      <w:r w:rsidR="00322EFA">
        <w:fldChar w:fldCharType="begin"/>
      </w:r>
      <w:r w:rsidR="00322EFA">
        <w:instrText xml:space="preserve"> REF _Ref418784332 \r \h </w:instrText>
      </w:r>
      <w:r w:rsidR="00322EFA">
        <w:fldChar w:fldCharType="separate"/>
      </w:r>
      <w:r w:rsidR="00014844">
        <w:t>Appendix C</w:t>
      </w:r>
      <w:r w:rsidR="00322EFA">
        <w:fldChar w:fldCharType="end"/>
      </w:r>
      <w:r>
        <w:t>.</w:t>
      </w:r>
    </w:p>
    <w:p w:rsidR="00AB7326" w:rsidRDefault="00A31234" w:rsidP="0083054D">
      <w:pPr>
        <w:pStyle w:val="Heading2"/>
        <w:ind w:left="851"/>
      </w:pPr>
      <w:bookmarkStart w:id="49" w:name="_Toc420660056"/>
      <w:r>
        <w:t>Other a</w:t>
      </w:r>
      <w:r w:rsidR="00AB7326">
        <w:t>ssumptions</w:t>
      </w:r>
      <w:bookmarkEnd w:id="49"/>
    </w:p>
    <w:p w:rsidR="00CA7512" w:rsidRPr="00952F9C" w:rsidRDefault="008A3125" w:rsidP="0083054D">
      <w:pPr>
        <w:pStyle w:val="Heading3"/>
      </w:pPr>
      <w:bookmarkStart w:id="50" w:name="_Toc406862218"/>
      <w:bookmarkStart w:id="51" w:name="_Ref419443569"/>
      <w:bookmarkStart w:id="52" w:name="_Toc420660057"/>
      <w:bookmarkStart w:id="53" w:name="_Toc331774705"/>
      <w:bookmarkStart w:id="54" w:name="_Toc362434895"/>
      <w:r>
        <w:t>General</w:t>
      </w:r>
      <w:r w:rsidR="00CA7512">
        <w:t xml:space="preserve"> assumptions</w:t>
      </w:r>
      <w:bookmarkEnd w:id="50"/>
      <w:bookmarkEnd w:id="51"/>
      <w:bookmarkEnd w:id="52"/>
      <w:r w:rsidR="00CA7512" w:rsidRPr="00952F9C">
        <w:t xml:space="preserve"> </w:t>
      </w:r>
      <w:bookmarkEnd w:id="53"/>
      <w:bookmarkEnd w:id="54"/>
    </w:p>
    <w:p w:rsidR="00CA7512" w:rsidRPr="00952F9C" w:rsidRDefault="008A3125" w:rsidP="0083054D">
      <w:pPr>
        <w:pStyle w:val="Para0"/>
        <w:keepNext/>
        <w:keepLines/>
      </w:pPr>
      <w:r>
        <w:t>S</w:t>
      </w:r>
      <w:r w:rsidR="00CA7512">
        <w:t xml:space="preserve">tructural </w:t>
      </w:r>
      <w:r w:rsidR="00CA7512" w:rsidRPr="00952F9C">
        <w:t>assumptions used in the modelling include:</w:t>
      </w:r>
    </w:p>
    <w:p w:rsidR="00CA7512" w:rsidRPr="00952F9C" w:rsidRDefault="00CA7512" w:rsidP="00C84F25">
      <w:pPr>
        <w:pStyle w:val="Para0bullet"/>
      </w:pPr>
      <w:r w:rsidRPr="00952F9C">
        <w:t xml:space="preserve">Capacity is installed to meet the reserve </w:t>
      </w:r>
      <w:r>
        <w:t>requirements</w:t>
      </w:r>
      <w:r w:rsidR="0036415B">
        <w:rPr>
          <w:rStyle w:val="FootnoteReference"/>
        </w:rPr>
        <w:footnoteReference w:id="7"/>
      </w:r>
      <w:r w:rsidRPr="00952F9C">
        <w:t xml:space="preserve"> for the NEM in each region</w:t>
      </w:r>
      <w:r>
        <w:t>.</w:t>
      </w:r>
      <w:r w:rsidRPr="00952F9C">
        <w:t xml:space="preserve">  </w:t>
      </w:r>
      <w:r w:rsidR="00F25F77">
        <w:t>Unless induced by policy (for example the RET), a</w:t>
      </w:r>
      <w:r>
        <w:t>dditional capacity on top of what is required to meet reliability criteria is unlikely as this would tend to depress prices below levels to recover costs of new plant</w:t>
      </w:r>
      <w:r w:rsidR="00A812F5">
        <w:rPr>
          <w:rStyle w:val="FootnoteReference"/>
        </w:rPr>
        <w:footnoteReference w:id="8"/>
      </w:r>
      <w:r>
        <w:t>.</w:t>
      </w:r>
    </w:p>
    <w:p w:rsidR="00CA7512" w:rsidRDefault="00CA7512" w:rsidP="00C84F25">
      <w:pPr>
        <w:pStyle w:val="Para0bullet"/>
      </w:pPr>
      <w:r>
        <w:lastRenderedPageBreak/>
        <w:t>A</w:t>
      </w:r>
      <w:r w:rsidRPr="00952F9C">
        <w:t>nnual demand shapes consistent with the relative growth in summer and winter peak demand.</w:t>
      </w:r>
      <w:r>
        <w:t xml:space="preserve"> </w:t>
      </w:r>
      <w:r w:rsidRPr="00952F9C">
        <w:t xml:space="preserve">The </w:t>
      </w:r>
      <w:r>
        <w:t xml:space="preserve">native </w:t>
      </w:r>
      <w:r w:rsidRPr="00952F9C">
        <w:t xml:space="preserve">load shape </w:t>
      </w:r>
      <w:r w:rsidR="00782076">
        <w:t>is</w:t>
      </w:r>
      <w:r w:rsidRPr="00952F9C">
        <w:t xml:space="preserve"> based on 2010/11 load profile for the NEM </w:t>
      </w:r>
      <w:r w:rsidR="004A02EC">
        <w:t xml:space="preserve">and WEM </w:t>
      </w:r>
      <w:r w:rsidRPr="00952F9C">
        <w:t>regions</w:t>
      </w:r>
      <w:r>
        <w:t xml:space="preserve">, with this being representative of a normal year in terms of weather patterns.  The load profile presented to the thermal generation plant is modified by </w:t>
      </w:r>
      <w:r w:rsidR="001A7E28">
        <w:t xml:space="preserve">two factors: the small scale </w:t>
      </w:r>
      <w:r>
        <w:t>solar and wind resources added to the market since 2010/11</w:t>
      </w:r>
      <w:r w:rsidR="001A7E28">
        <w:t xml:space="preserve"> and forecast by the modelling to be added; and the changing trend in growth of peak demand relative to average demand implicit in the forecasts</w:t>
      </w:r>
      <w:r>
        <w:t>.</w:t>
      </w:r>
    </w:p>
    <w:p w:rsidR="00CA7512" w:rsidRDefault="00CA7512" w:rsidP="004853C0">
      <w:pPr>
        <w:pStyle w:val="Para0bullet"/>
      </w:pPr>
      <w:r>
        <w:t xml:space="preserve">Wind generation </w:t>
      </w:r>
      <w:r w:rsidR="00737473">
        <w:t>varies by location</w:t>
      </w:r>
      <w:r>
        <w:t>:</w:t>
      </w:r>
    </w:p>
    <w:p w:rsidR="004853C0" w:rsidRDefault="004853C0" w:rsidP="004853C0">
      <w:pPr>
        <w:pStyle w:val="Para2dash"/>
        <w:numPr>
          <w:ilvl w:val="0"/>
          <w:numId w:val="10"/>
        </w:numPr>
        <w:ind w:left="851"/>
      </w:pPr>
      <w:r>
        <w:t>Wind generation profiles in South Australia, Victoria and N</w:t>
      </w:r>
      <w:r w:rsidR="00737473">
        <w:t xml:space="preserve">ew </w:t>
      </w:r>
      <w:r>
        <w:t>S</w:t>
      </w:r>
      <w:r w:rsidR="00737473">
        <w:t xml:space="preserve">outh </w:t>
      </w:r>
      <w:r>
        <w:t>W</w:t>
      </w:r>
      <w:r w:rsidR="00737473">
        <w:t>ales</w:t>
      </w:r>
      <w:r>
        <w:t xml:space="preserve"> </w:t>
      </w:r>
      <w:r w:rsidR="00737473">
        <w:t xml:space="preserve">are </w:t>
      </w:r>
      <w:r>
        <w:t xml:space="preserve">based on the observed aggregate wind power patterns for each region from the 2013/14 financial year.  Where historical data is limited (for example in </w:t>
      </w:r>
      <w:r w:rsidR="00737473">
        <w:t>New South Wales</w:t>
      </w:r>
      <w:r>
        <w:t>), we will use AEMO’s projected wind traces, developed for the 2014 NTNDP study</w:t>
      </w:r>
      <w:r w:rsidRPr="0071025D">
        <w:rPr>
          <w:rStyle w:val="FootnoteReference"/>
        </w:rPr>
        <w:footnoteReference w:id="9"/>
      </w:r>
      <w:r>
        <w:t>.</w:t>
      </w:r>
    </w:p>
    <w:p w:rsidR="00CA7512" w:rsidRDefault="00CA7512" w:rsidP="00CA7512">
      <w:pPr>
        <w:pStyle w:val="Para2dash"/>
        <w:numPr>
          <w:ilvl w:val="0"/>
          <w:numId w:val="10"/>
        </w:numPr>
        <w:ind w:left="851"/>
      </w:pPr>
      <w:r>
        <w:t>Wind power in Tasmania is treated as if it were a contributor to hydro energy.  This reflects the expectation that hydro generation will be dispatched around the wind generation with regard to regional load and trading opportunities on Basslink</w:t>
      </w:r>
      <w:r w:rsidR="00A812F5">
        <w:t>.</w:t>
      </w:r>
    </w:p>
    <w:p w:rsidR="00CA7512" w:rsidRDefault="00CA7512" w:rsidP="00CA7512">
      <w:pPr>
        <w:pStyle w:val="Para2dash"/>
        <w:numPr>
          <w:ilvl w:val="0"/>
          <w:numId w:val="10"/>
        </w:numPr>
        <w:ind w:left="851"/>
      </w:pPr>
      <w:r>
        <w:t xml:space="preserve">Wind power in Queensland is less significant </w:t>
      </w:r>
      <w:r w:rsidR="00782076">
        <w:t xml:space="preserve">than in other states over the modelling horizon </w:t>
      </w:r>
      <w:r>
        <w:t>and is modelled as an unreliable thermal generator.  A partial outage and full outage model is used to approximate the availability of wind power</w:t>
      </w:r>
      <w:r w:rsidR="001A7E28">
        <w:rPr>
          <w:rStyle w:val="FootnoteReference"/>
        </w:rPr>
        <w:footnoteReference w:id="10"/>
      </w:r>
      <w:r>
        <w:t>.</w:t>
      </w:r>
      <w:r w:rsidR="001A7E28">
        <w:t xml:space="preserve"> </w:t>
      </w:r>
    </w:p>
    <w:p w:rsidR="00C91EAF" w:rsidRPr="0038029B" w:rsidRDefault="0038029B" w:rsidP="00CA7512">
      <w:pPr>
        <w:pStyle w:val="Para2dash"/>
        <w:numPr>
          <w:ilvl w:val="0"/>
          <w:numId w:val="10"/>
        </w:numPr>
        <w:ind w:left="851"/>
      </w:pPr>
      <w:r w:rsidRPr="0038029B">
        <w:t>Wind gener</w:t>
      </w:r>
      <w:r>
        <w:t>ation profiles in the WEM are treated the same as those of the major wind regions in the NEM.</w:t>
      </w:r>
    </w:p>
    <w:p w:rsidR="00C235E6" w:rsidRDefault="00CA7512" w:rsidP="00123F71">
      <w:pPr>
        <w:pStyle w:val="Para0bullet"/>
      </w:pPr>
      <w:r w:rsidRPr="00952F9C">
        <w:t>Generators behav</w:t>
      </w:r>
      <w:r>
        <w:t>e</w:t>
      </w:r>
      <w:r w:rsidRPr="00952F9C">
        <w:t xml:space="preserve"> rationally</w:t>
      </w:r>
      <w:r w:rsidR="00C235E6">
        <w:t>:</w:t>
      </w:r>
      <w:r w:rsidR="0088145A">
        <w:t xml:space="preserve"> </w:t>
      </w:r>
    </w:p>
    <w:p w:rsidR="00C235E6" w:rsidRDefault="0088145A" w:rsidP="00C622E3">
      <w:pPr>
        <w:pStyle w:val="Para2dash"/>
        <w:numPr>
          <w:ilvl w:val="0"/>
          <w:numId w:val="10"/>
        </w:numPr>
        <w:ind w:left="851"/>
      </w:pPr>
      <w:r>
        <w:t>U</w:t>
      </w:r>
      <w:r w:rsidR="00CA7512" w:rsidRPr="00952F9C">
        <w:t>neconomic capacity</w:t>
      </w:r>
      <w:r>
        <w:t xml:space="preserve"> is</w:t>
      </w:r>
      <w:r w:rsidR="00CA7512" w:rsidRPr="00952F9C">
        <w:t xml:space="preserve"> withdrawn from the market</w:t>
      </w:r>
      <w:r>
        <w:t>.</w:t>
      </w:r>
      <w:r w:rsidR="00CA7512" w:rsidRPr="00952F9C">
        <w:t xml:space="preserve"> </w:t>
      </w:r>
      <w:r w:rsidR="00C235E6">
        <w:t>Generators are typically retired under three conditions.  First, if a generating unit is making losses on its annual avoidable operating costs for periods greater than two years, then the unit is decommissioned for a period</w:t>
      </w:r>
      <w:r w:rsidR="00C235E6">
        <w:rPr>
          <w:rStyle w:val="FootnoteReference"/>
        </w:rPr>
        <w:footnoteReference w:id="11"/>
      </w:r>
      <w:r w:rsidR="00C235E6">
        <w:t xml:space="preserve">. Second, if some steam units that traditionally operate in base load are found to have annual capacity factors consistently less than 15%, then they are shut down.  Third, (for mine-mouth operations) if the operating </w:t>
      </w:r>
      <w:proofErr w:type="gramStart"/>
      <w:r w:rsidR="00C235E6">
        <w:t>mine</w:t>
      </w:r>
      <w:proofErr w:type="gramEnd"/>
      <w:r w:rsidR="00C235E6">
        <w:t xml:space="preserve"> supplying the power station runs out. Shut down decisions incorporate retirement and/or rehabilitation costs as estimated for AEMO by ACIL Allen</w:t>
      </w:r>
      <w:r w:rsidR="00C235E6">
        <w:rPr>
          <w:rStyle w:val="FootnoteReference"/>
        </w:rPr>
        <w:footnoteReference w:id="12"/>
      </w:r>
      <w:r w:rsidR="00C235E6">
        <w:t>.</w:t>
      </w:r>
    </w:p>
    <w:p w:rsidR="00CA7512" w:rsidRPr="00952F9C" w:rsidRDefault="0088145A" w:rsidP="00C622E3">
      <w:pPr>
        <w:pStyle w:val="Para2dash"/>
        <w:numPr>
          <w:ilvl w:val="0"/>
          <w:numId w:val="10"/>
        </w:numPr>
        <w:ind w:left="851"/>
      </w:pPr>
      <w:r>
        <w:t>B</w:t>
      </w:r>
      <w:r w:rsidR="00CA7512" w:rsidRPr="00952F9C">
        <w:t xml:space="preserve">idding strategies </w:t>
      </w:r>
      <w:r>
        <w:t xml:space="preserve">are </w:t>
      </w:r>
      <w:r w:rsidR="00CA7512" w:rsidRPr="00952F9C">
        <w:t>limited by the cost of new entry</w:t>
      </w:r>
      <w:r w:rsidR="003C4955">
        <w:t>. This is a</w:t>
      </w:r>
      <w:r w:rsidR="00CA7512" w:rsidRPr="00952F9C">
        <w:t xml:space="preserve">  conservative assumption</w:t>
      </w:r>
      <w:r w:rsidR="00782076">
        <w:t xml:space="preserve"> (that is, it may underestimate wholesale prices)</w:t>
      </w:r>
      <w:r w:rsidR="00CA7512" w:rsidRPr="00952F9C">
        <w:t xml:space="preserve"> as there have been periods when prices have exceeded new entry costs when averaged over 12 months</w:t>
      </w:r>
      <w:r w:rsidR="005A5A79">
        <w:t>, typically when there are prolonged periods of high temperatures and/or when there has been major supply constraints such as major outages or water shortages</w:t>
      </w:r>
      <w:r w:rsidR="00CA7512" w:rsidRPr="00952F9C">
        <w:t>.</w:t>
      </w:r>
      <w:r w:rsidR="001A7E28">
        <w:t xml:space="preserve">  </w:t>
      </w:r>
      <w:r w:rsidR="001A7E28" w:rsidRPr="008A3125">
        <w:t>In the</w:t>
      </w:r>
      <w:r w:rsidR="001A7E28">
        <w:t xml:space="preserve"> </w:t>
      </w:r>
      <w:r w:rsidR="0009656C">
        <w:t>WEM</w:t>
      </w:r>
      <w:r w:rsidR="001A7E28" w:rsidRPr="008A3125">
        <w:t>, generators are assumed to bid into the wholesale market at short run marginal cost in accordance with the market rules</w:t>
      </w:r>
      <w:r w:rsidR="005A5A79">
        <w:t xml:space="preserve">. </w:t>
      </w:r>
    </w:p>
    <w:p w:rsidR="00CA7512" w:rsidRDefault="00CA7512" w:rsidP="00A163D9">
      <w:pPr>
        <w:pStyle w:val="Para0bullet"/>
      </w:pPr>
      <w:r w:rsidRPr="00952F9C">
        <w:t xml:space="preserve">Infrequently used peaking resources are bid near </w:t>
      </w:r>
      <w:r w:rsidR="00453B3F">
        <w:t>m</w:t>
      </w:r>
      <w:r w:rsidRPr="00952F9C">
        <w:t xml:space="preserve">arket </w:t>
      </w:r>
      <w:r w:rsidR="00453B3F">
        <w:t>p</w:t>
      </w:r>
      <w:r w:rsidRPr="00952F9C">
        <w:t xml:space="preserve">rice </w:t>
      </w:r>
      <w:r w:rsidR="00453B3F">
        <w:t>c</w:t>
      </w:r>
      <w:r w:rsidRPr="00952F9C">
        <w:t xml:space="preserve">ap or removed from the simulation to represent strategic bidding of these resources when demand is moderate or low.   </w:t>
      </w:r>
    </w:p>
    <w:p w:rsidR="000036FC" w:rsidRDefault="00217B41" w:rsidP="00A163D9">
      <w:pPr>
        <w:pStyle w:val="Para0bullet"/>
      </w:pPr>
      <w:r>
        <w:t>Retail electricity prices are composed of wholesale, network and retail prices.</w:t>
      </w:r>
      <w:r w:rsidR="005A5A79">
        <w:t xml:space="preserve">  Retail prices by customer class (residential, commercial, large business, energy intensive industrial) and state are built up by adding the various components as </w:t>
      </w:r>
      <w:r w:rsidR="000E2BCD">
        <w:t xml:space="preserve">described in </w:t>
      </w:r>
      <w:r w:rsidR="000E2BCD">
        <w:fldChar w:fldCharType="begin"/>
      </w:r>
      <w:r w:rsidR="000E2BCD">
        <w:instrText xml:space="preserve"> REF _Ref419199778 \r \h </w:instrText>
      </w:r>
      <w:r w:rsidR="000E2BCD">
        <w:fldChar w:fldCharType="separate"/>
      </w:r>
      <w:r w:rsidR="00014844">
        <w:t>Appendix C</w:t>
      </w:r>
      <w:r w:rsidR="000E2BCD">
        <w:fldChar w:fldCharType="end"/>
      </w:r>
      <w:r w:rsidR="000036FC">
        <w:t xml:space="preserve">. </w:t>
      </w:r>
    </w:p>
    <w:p w:rsidR="006B1898" w:rsidRPr="006B78B9" w:rsidRDefault="006B1898" w:rsidP="00106F33">
      <w:pPr>
        <w:pStyle w:val="Para2dash"/>
        <w:numPr>
          <w:ilvl w:val="0"/>
          <w:numId w:val="10"/>
        </w:numPr>
        <w:ind w:left="851"/>
      </w:pPr>
      <w:r w:rsidRPr="006465F7">
        <w:t>For network components,</w:t>
      </w:r>
      <w:r w:rsidRPr="00FF7042">
        <w:t xml:space="preserve"> </w:t>
      </w:r>
      <w:r w:rsidRPr="006465F7">
        <w:t xml:space="preserve">future prices are projected on regulatory determinations where available. The share of networks costs recovered from fixed, demand and </w:t>
      </w:r>
      <w:r w:rsidRPr="006B78B9">
        <w:t xml:space="preserve">capacity charges </w:t>
      </w:r>
      <w:r>
        <w:t xml:space="preserve">for residential and commercial customers </w:t>
      </w:r>
      <w:r w:rsidRPr="006B78B9">
        <w:t xml:space="preserve">is assumed to </w:t>
      </w:r>
      <w:r>
        <w:t xml:space="preserve">be 50% by 2020 in Victoria, where interval meter installations are already mandatory, and 50% by 2030 for all other regions in the NEM and for the WEM. </w:t>
      </w:r>
      <w:r w:rsidRPr="006B78B9">
        <w:t xml:space="preserve">This does not affect overall retail prices but does affect the costs avoided through consuming the output of embedded generation such as rooftop PV. </w:t>
      </w:r>
    </w:p>
    <w:p w:rsidR="00CA7512" w:rsidRPr="00A163D9" w:rsidRDefault="008A3125" w:rsidP="000817DB">
      <w:pPr>
        <w:pStyle w:val="Para0bullet"/>
      </w:pPr>
      <w:r w:rsidRPr="00E71512">
        <w:lastRenderedPageBreak/>
        <w:t xml:space="preserve">The Consumer Price Index (CPI) is assumed to be 2.5% per annum in line with the mid-point of target rates by the Reserve Bank.  The CPI is used to </w:t>
      </w:r>
      <w:r w:rsidRPr="00D03179">
        <w:t>calculate real fuel prices and network tariff escalations</w:t>
      </w:r>
      <w:r w:rsidR="00CA7512" w:rsidRPr="00A163D9">
        <w:t>.</w:t>
      </w:r>
      <w:r w:rsidR="006C5943">
        <w:t xml:space="preserve"> The wholesale market models are created in real dollar costs to show trends in real price terms.</w:t>
      </w:r>
    </w:p>
    <w:p w:rsidR="00D75E3E" w:rsidRDefault="00D75E3E" w:rsidP="000817DB">
      <w:pPr>
        <w:pStyle w:val="Para0bullet"/>
      </w:pPr>
      <w:r>
        <w:t xml:space="preserve">Below-baseline generation from renewable generators that existed prior to the Mandatory Renewable Energy Target </w:t>
      </w:r>
      <w:r w:rsidR="00A8168B">
        <w:t>is</w:t>
      </w:r>
      <w:r>
        <w:t xml:space="preserve"> projected at </w:t>
      </w:r>
      <w:r w:rsidR="0014021B">
        <w:t xml:space="preserve">14,300 </w:t>
      </w:r>
      <w:r>
        <w:t>GWh</w:t>
      </w:r>
      <w:r w:rsidR="006B1898" w:rsidRPr="006B1898">
        <w:rPr>
          <w:vertAlign w:val="superscript"/>
        </w:rPr>
        <w:footnoteReference w:id="13"/>
      </w:r>
      <w:r>
        <w:t xml:space="preserve"> </w:t>
      </w:r>
      <w:r w:rsidR="00A8168B">
        <w:t xml:space="preserve">per year </w:t>
      </w:r>
      <w:r>
        <w:t xml:space="preserve">over the modelling horizon. </w:t>
      </w:r>
    </w:p>
    <w:p w:rsidR="00840ECD" w:rsidRPr="00E71512" w:rsidRDefault="00840ECD" w:rsidP="000817DB">
      <w:pPr>
        <w:pStyle w:val="Para0bullet"/>
      </w:pPr>
      <w:r w:rsidRPr="00E070D5">
        <w:t xml:space="preserve">The </w:t>
      </w:r>
      <w:r w:rsidR="006B1898">
        <w:t xml:space="preserve">Australian dollar </w:t>
      </w:r>
      <w:r w:rsidRPr="00E070D5">
        <w:t xml:space="preserve">exchange rate </w:t>
      </w:r>
      <w:r w:rsidR="006B1898">
        <w:t xml:space="preserve">in 2014/15 </w:t>
      </w:r>
      <w:r w:rsidRPr="00E070D5">
        <w:t xml:space="preserve">is </w:t>
      </w:r>
      <w:r w:rsidR="00C235E6">
        <w:t xml:space="preserve">assumed to </w:t>
      </w:r>
      <w:r w:rsidR="003C4955">
        <w:t>be</w:t>
      </w:r>
      <w:r w:rsidRPr="00E070D5">
        <w:t xml:space="preserve"> US</w:t>
      </w:r>
      <w:r w:rsidR="006465F7">
        <w:t>77</w:t>
      </w:r>
      <w:r w:rsidRPr="00E070D5">
        <w:t xml:space="preserve">c and </w:t>
      </w:r>
      <w:r w:rsidR="003C4955">
        <w:t xml:space="preserve">to </w:t>
      </w:r>
      <w:r w:rsidRPr="00E070D5">
        <w:t xml:space="preserve">decline over </w:t>
      </w:r>
      <w:r w:rsidR="00E070D5" w:rsidRPr="00A163D9">
        <w:t>5</w:t>
      </w:r>
      <w:r w:rsidR="00E070D5" w:rsidRPr="00E070D5">
        <w:t xml:space="preserve"> </w:t>
      </w:r>
      <w:r w:rsidRPr="00E070D5">
        <w:t>years to US7</w:t>
      </w:r>
      <w:r w:rsidR="006465F7">
        <w:t>6</w:t>
      </w:r>
      <w:r w:rsidRPr="00E070D5">
        <w:t xml:space="preserve">c and hold that value. </w:t>
      </w:r>
      <w:r w:rsidR="00E71512">
        <w:t>This is based on</w:t>
      </w:r>
      <w:r w:rsidR="006465F7">
        <w:t xml:space="preserve"> </w:t>
      </w:r>
      <w:r w:rsidR="006B1898">
        <w:t xml:space="preserve">Department of Industry and Science’s </w:t>
      </w:r>
      <w:r w:rsidR="006465F7">
        <w:t>projected exchange rate in its latest quarterly outlook</w:t>
      </w:r>
      <w:r w:rsidR="006465F7">
        <w:rPr>
          <w:rStyle w:val="FootnoteReference"/>
        </w:rPr>
        <w:footnoteReference w:id="14"/>
      </w:r>
      <w:r w:rsidR="006465F7">
        <w:t>.</w:t>
      </w:r>
    </w:p>
    <w:p w:rsidR="008A3125" w:rsidRPr="00952F9C" w:rsidRDefault="008A3125" w:rsidP="008A3125">
      <w:pPr>
        <w:pStyle w:val="Heading3"/>
      </w:pPr>
      <w:bookmarkStart w:id="55" w:name="_Toc317181251"/>
      <w:bookmarkStart w:id="56" w:name="_Toc331774712"/>
      <w:bookmarkStart w:id="57" w:name="_Toc406862223"/>
      <w:bookmarkStart w:id="58" w:name="_Toc420660058"/>
      <w:r w:rsidRPr="00952F9C">
        <w:t>Market structure</w:t>
      </w:r>
      <w:bookmarkEnd w:id="55"/>
      <w:bookmarkEnd w:id="56"/>
      <w:bookmarkEnd w:id="57"/>
      <w:bookmarkEnd w:id="58"/>
    </w:p>
    <w:p w:rsidR="008A3125" w:rsidRPr="00952F9C" w:rsidRDefault="008A3125" w:rsidP="008A3125">
      <w:pPr>
        <w:pStyle w:val="Para0"/>
      </w:pPr>
      <w:r>
        <w:t>We assume that the market is structured to remain largely competitive</w:t>
      </w:r>
      <w:r w:rsidR="008D308B">
        <w:t xml:space="preserve"> </w:t>
      </w:r>
      <w:r w:rsidR="001E3B8C">
        <w:t>and</w:t>
      </w:r>
      <w:r w:rsidRPr="00952F9C">
        <w:t xml:space="preserve"> continues the following arrangements:</w:t>
      </w:r>
    </w:p>
    <w:p w:rsidR="008A3125" w:rsidRPr="00952F9C" w:rsidRDefault="008A3125" w:rsidP="008A3125">
      <w:pPr>
        <w:pStyle w:val="Para0bullet"/>
        <w:numPr>
          <w:ilvl w:val="0"/>
          <w:numId w:val="9"/>
        </w:numPr>
      </w:pPr>
      <w:r w:rsidRPr="00952F9C">
        <w:t>Victorian generators are not further aggregated</w:t>
      </w:r>
    </w:p>
    <w:p w:rsidR="008A3125" w:rsidRPr="00952F9C" w:rsidRDefault="008A3125" w:rsidP="008A3125">
      <w:pPr>
        <w:pStyle w:val="Para0bullet"/>
        <w:numPr>
          <w:ilvl w:val="0"/>
          <w:numId w:val="9"/>
        </w:numPr>
      </w:pPr>
      <w:r w:rsidRPr="00952F9C">
        <w:t>The generators’ ownership structure in Queensland remains as public ownership</w:t>
      </w:r>
    </w:p>
    <w:p w:rsidR="008A3125" w:rsidRDefault="008A3125" w:rsidP="008A3125">
      <w:pPr>
        <w:pStyle w:val="Para0bullet"/>
        <w:numPr>
          <w:ilvl w:val="0"/>
          <w:numId w:val="9"/>
        </w:numPr>
      </w:pPr>
      <w:r w:rsidRPr="00952F9C">
        <w:t>The S</w:t>
      </w:r>
      <w:r w:rsidR="00106F33">
        <w:t xml:space="preserve">outh </w:t>
      </w:r>
      <w:r w:rsidRPr="00952F9C">
        <w:t>A</w:t>
      </w:r>
      <w:r w:rsidR="00106F33">
        <w:t>ustralia</w:t>
      </w:r>
      <w:r w:rsidR="001A7E28">
        <w:t>, Tasmanian</w:t>
      </w:r>
      <w:r w:rsidRPr="00952F9C">
        <w:t xml:space="preserve"> </w:t>
      </w:r>
      <w:r>
        <w:t>and N</w:t>
      </w:r>
      <w:r w:rsidR="00106F33">
        <w:t xml:space="preserve">ew </w:t>
      </w:r>
      <w:r>
        <w:t>S</w:t>
      </w:r>
      <w:r w:rsidR="00106F33">
        <w:t xml:space="preserve">outh </w:t>
      </w:r>
      <w:r>
        <w:t>W</w:t>
      </w:r>
      <w:r w:rsidR="00106F33">
        <w:t>ales</w:t>
      </w:r>
      <w:r>
        <w:t xml:space="preserve"> </w:t>
      </w:r>
      <w:r w:rsidRPr="00952F9C">
        <w:t>assets continue under the current portfolio groupings</w:t>
      </w:r>
    </w:p>
    <w:p w:rsidR="008A3125" w:rsidRDefault="008A3125" w:rsidP="008A3125">
      <w:pPr>
        <w:pStyle w:val="Para0bullet"/>
        <w:numPr>
          <w:ilvl w:val="0"/>
          <w:numId w:val="9"/>
        </w:numPr>
      </w:pPr>
      <w:r>
        <w:t>Synergy generation assets</w:t>
      </w:r>
      <w:r w:rsidR="00FC5A09">
        <w:t xml:space="preserve"> (W</w:t>
      </w:r>
      <w:r w:rsidR="00106F33">
        <w:t xml:space="preserve">estern </w:t>
      </w:r>
      <w:r w:rsidR="00FC5A09">
        <w:t>A</w:t>
      </w:r>
      <w:r w:rsidR="00106F33">
        <w:t>ustralia</w:t>
      </w:r>
      <w:r w:rsidR="00FC5A09">
        <w:t>)</w:t>
      </w:r>
      <w:r>
        <w:t xml:space="preserve"> remain publically owned.</w:t>
      </w:r>
    </w:p>
    <w:p w:rsidR="00CA7512" w:rsidRPr="00952F9C" w:rsidRDefault="008D308B" w:rsidP="00CA7512">
      <w:pPr>
        <w:pStyle w:val="Heading3"/>
      </w:pPr>
      <w:bookmarkStart w:id="59" w:name="_Toc331774707"/>
      <w:bookmarkStart w:id="60" w:name="_Toc362434897"/>
      <w:bookmarkStart w:id="61" w:name="_Toc406862220"/>
      <w:bookmarkStart w:id="62" w:name="_Toc420660059"/>
      <w:r>
        <w:t>Exis</w:t>
      </w:r>
      <w:r w:rsidR="009C04F2">
        <w:t>ting g</w:t>
      </w:r>
      <w:r w:rsidR="00CA7512" w:rsidRPr="00952F9C">
        <w:t>enerator</w:t>
      </w:r>
      <w:r w:rsidR="00947F5F">
        <w:t>s</w:t>
      </w:r>
      <w:bookmarkEnd w:id="59"/>
      <w:bookmarkEnd w:id="60"/>
      <w:bookmarkEnd w:id="61"/>
      <w:bookmarkEnd w:id="62"/>
    </w:p>
    <w:p w:rsidR="00CA7512" w:rsidRDefault="00CA7512" w:rsidP="00CA7512">
      <w:pPr>
        <w:pStyle w:val="Para0"/>
      </w:pPr>
      <w:r w:rsidRPr="00952F9C">
        <w:t xml:space="preserve">The marginal costs of thermal generators consist of the variable costs of fuel supply including fuel transport plus the variable component of operations and maintenance costs.  The indicative variable costs for various types of existing thermal plants are shown in </w:t>
      </w:r>
      <w:r>
        <w:fldChar w:fldCharType="begin"/>
      </w:r>
      <w:r>
        <w:instrText xml:space="preserve"> REF _Ref400618503 \h </w:instrText>
      </w:r>
      <w:r>
        <w:fldChar w:fldCharType="separate"/>
      </w:r>
      <w:r w:rsidR="00014844">
        <w:t xml:space="preserve">Table </w:t>
      </w:r>
      <w:r w:rsidR="00014844">
        <w:rPr>
          <w:noProof/>
        </w:rPr>
        <w:t>2</w:t>
      </w:r>
      <w:r>
        <w:fldChar w:fldCharType="end"/>
      </w:r>
      <w:r w:rsidRPr="00952F9C">
        <w:t xml:space="preserve">.  </w:t>
      </w:r>
      <w:r w:rsidR="00E96667">
        <w:t xml:space="preserve">For brown </w:t>
      </w:r>
      <w:r w:rsidR="00E96667" w:rsidRPr="00952F9C">
        <w:t xml:space="preserve">coal in Victoria and </w:t>
      </w:r>
      <w:r w:rsidR="00E96667">
        <w:t xml:space="preserve">for Leigh Creek coal in </w:t>
      </w:r>
      <w:r w:rsidR="00E96667" w:rsidRPr="00952F9C">
        <w:t>South Australia</w:t>
      </w:r>
      <w:r w:rsidR="00E96667">
        <w:t xml:space="preserve">, where the open-cut mine is owned by the generator, the variable costs </w:t>
      </w:r>
      <w:r w:rsidRPr="00952F9C">
        <w:t>also include the net present value of changes in future capital expenditure.</w:t>
      </w:r>
    </w:p>
    <w:p w:rsidR="00CA7512" w:rsidRPr="00952F9C" w:rsidRDefault="00CA7512" w:rsidP="00CA7512">
      <w:pPr>
        <w:pStyle w:val="Caption"/>
      </w:pPr>
      <w:bookmarkStart w:id="63" w:name="_Ref400618503"/>
      <w:bookmarkStart w:id="64" w:name="_Ref394321699"/>
      <w:bookmarkStart w:id="65" w:name="_Ref284336823"/>
      <w:bookmarkStart w:id="66" w:name="_Toc362953694"/>
      <w:r>
        <w:t xml:space="preserve">Table </w:t>
      </w:r>
      <w:r>
        <w:fldChar w:fldCharType="begin"/>
      </w:r>
      <w:r>
        <w:instrText xml:space="preserve"> SEQ Table \* ARABIC </w:instrText>
      </w:r>
      <w:r>
        <w:fldChar w:fldCharType="separate"/>
      </w:r>
      <w:r w:rsidR="00014844">
        <w:rPr>
          <w:noProof/>
        </w:rPr>
        <w:t>2</w:t>
      </w:r>
      <w:r>
        <w:fldChar w:fldCharType="end"/>
      </w:r>
      <w:bookmarkEnd w:id="63"/>
      <w:r w:rsidRPr="009038E7">
        <w:t>:</w:t>
      </w:r>
      <w:bookmarkEnd w:id="64"/>
      <w:bookmarkEnd w:id="65"/>
      <w:r w:rsidRPr="00952F9C">
        <w:t xml:space="preserve"> Indicative average variable costs for existing thermal plant ($June 201</w:t>
      </w:r>
      <w:r>
        <w:t>4</w:t>
      </w:r>
      <w:r w:rsidRPr="00952F9C">
        <w:t>)</w:t>
      </w:r>
      <w:bookmarkEnd w:id="66"/>
      <w:r w:rsidR="00330D3A">
        <w:rPr>
          <w:rStyle w:val="FootnoteReference"/>
        </w:rPr>
        <w:footnoteReference w:id="15"/>
      </w:r>
    </w:p>
    <w:tbl>
      <w:tblPr>
        <w:tblStyle w:val="Table1"/>
        <w:tblW w:w="8520" w:type="dxa"/>
        <w:tblLayout w:type="fixed"/>
        <w:tblLook w:val="0000" w:firstRow="0" w:lastRow="0" w:firstColumn="0" w:lastColumn="0" w:noHBand="0" w:noVBand="0"/>
      </w:tblPr>
      <w:tblGrid>
        <w:gridCol w:w="2481"/>
        <w:gridCol w:w="2013"/>
        <w:gridCol w:w="2013"/>
        <w:gridCol w:w="2013"/>
      </w:tblGrid>
      <w:tr w:rsidR="00CA7512" w:rsidRPr="00952F9C" w:rsidTr="007A5894">
        <w:trPr>
          <w:trHeight w:val="404"/>
        </w:trPr>
        <w:tc>
          <w:tcPr>
            <w:tcW w:w="2481" w:type="dxa"/>
            <w:shd w:val="clear" w:color="auto" w:fill="002669" w:themeFill="accent6" w:themeFillShade="BF"/>
          </w:tcPr>
          <w:p w:rsidR="00CA7512" w:rsidRPr="00AD1AAF" w:rsidRDefault="00CA7512" w:rsidP="007A5894">
            <w:pPr>
              <w:pStyle w:val="Tablesmallheading"/>
              <w:rPr>
                <w:color w:val="FFFFFF" w:themeColor="background1"/>
                <w:sz w:val="20"/>
                <w:szCs w:val="20"/>
              </w:rPr>
            </w:pPr>
            <w:r w:rsidRPr="00AD1AAF">
              <w:rPr>
                <w:color w:val="FFFFFF" w:themeColor="background1"/>
                <w:sz w:val="20"/>
                <w:szCs w:val="20"/>
              </w:rPr>
              <w:t>Technology</w:t>
            </w:r>
          </w:p>
        </w:tc>
        <w:tc>
          <w:tcPr>
            <w:tcW w:w="2013" w:type="dxa"/>
            <w:shd w:val="clear" w:color="auto" w:fill="002669" w:themeFill="accent6" w:themeFillShade="BF"/>
          </w:tcPr>
          <w:p w:rsidR="00CA7512" w:rsidRPr="00AD1AAF" w:rsidRDefault="00CA7512" w:rsidP="007A5894">
            <w:pPr>
              <w:pStyle w:val="Tablesmallheading"/>
              <w:rPr>
                <w:color w:val="FFFFFF" w:themeColor="background1"/>
                <w:sz w:val="20"/>
                <w:szCs w:val="20"/>
              </w:rPr>
            </w:pPr>
            <w:r w:rsidRPr="00AD1AAF">
              <w:rPr>
                <w:color w:val="FFFFFF" w:themeColor="background1"/>
                <w:sz w:val="20"/>
                <w:szCs w:val="20"/>
              </w:rPr>
              <w:t>Variable Cost $/MWh</w:t>
            </w:r>
          </w:p>
        </w:tc>
        <w:tc>
          <w:tcPr>
            <w:tcW w:w="2013" w:type="dxa"/>
            <w:shd w:val="clear" w:color="auto" w:fill="002669" w:themeFill="accent6" w:themeFillShade="BF"/>
          </w:tcPr>
          <w:p w:rsidR="00CA7512" w:rsidRPr="00AD1AAF" w:rsidRDefault="00CA7512" w:rsidP="007A5894">
            <w:pPr>
              <w:pStyle w:val="Tablesmallheading"/>
              <w:rPr>
                <w:color w:val="FFFFFF" w:themeColor="background1"/>
                <w:sz w:val="20"/>
                <w:szCs w:val="20"/>
              </w:rPr>
            </w:pPr>
            <w:r w:rsidRPr="00AD1AAF">
              <w:rPr>
                <w:color w:val="FFFFFF" w:themeColor="background1"/>
                <w:sz w:val="20"/>
                <w:szCs w:val="20"/>
              </w:rPr>
              <w:t>Technology</w:t>
            </w:r>
          </w:p>
        </w:tc>
        <w:tc>
          <w:tcPr>
            <w:tcW w:w="2013" w:type="dxa"/>
            <w:shd w:val="clear" w:color="auto" w:fill="002669" w:themeFill="accent6" w:themeFillShade="BF"/>
          </w:tcPr>
          <w:p w:rsidR="00CA7512" w:rsidRPr="00AD1AAF" w:rsidRDefault="00CA7512" w:rsidP="007A5894">
            <w:pPr>
              <w:pStyle w:val="Tablesmallheading"/>
              <w:rPr>
                <w:color w:val="FFFFFF" w:themeColor="background1"/>
                <w:sz w:val="20"/>
                <w:szCs w:val="20"/>
              </w:rPr>
            </w:pPr>
            <w:r w:rsidRPr="00AD1AAF">
              <w:rPr>
                <w:color w:val="FFFFFF" w:themeColor="background1"/>
                <w:sz w:val="20"/>
                <w:szCs w:val="20"/>
              </w:rPr>
              <w:t>Variable Cost $/MWh</w:t>
            </w:r>
          </w:p>
        </w:tc>
      </w:tr>
      <w:tr w:rsidR="00CA7512" w:rsidRPr="00952F9C" w:rsidTr="007A5894">
        <w:trPr>
          <w:trHeight w:val="371"/>
        </w:trPr>
        <w:tc>
          <w:tcPr>
            <w:tcW w:w="2481" w:type="dxa"/>
          </w:tcPr>
          <w:p w:rsidR="00CA7512" w:rsidRPr="00AD1AAF" w:rsidRDefault="00CA7512" w:rsidP="00106F33">
            <w:pPr>
              <w:pStyle w:val="Tablesmalltext"/>
              <w:rPr>
                <w:sz w:val="20"/>
                <w:szCs w:val="20"/>
              </w:rPr>
            </w:pPr>
            <w:r w:rsidRPr="00AD1AAF">
              <w:rPr>
                <w:sz w:val="20"/>
                <w:szCs w:val="20"/>
              </w:rPr>
              <w:t>Brown Coal – Vic</w:t>
            </w:r>
          </w:p>
        </w:tc>
        <w:tc>
          <w:tcPr>
            <w:tcW w:w="2013" w:type="dxa"/>
          </w:tcPr>
          <w:p w:rsidR="00CA7512" w:rsidRPr="00AD1AAF" w:rsidRDefault="00CA7512" w:rsidP="007A5894">
            <w:pPr>
              <w:pStyle w:val="Tablesmalltext"/>
              <w:rPr>
                <w:sz w:val="20"/>
                <w:szCs w:val="20"/>
              </w:rPr>
            </w:pPr>
            <w:r w:rsidRPr="00AD1AAF">
              <w:rPr>
                <w:sz w:val="20"/>
                <w:szCs w:val="20"/>
              </w:rPr>
              <w:t>$3 - $10</w:t>
            </w:r>
          </w:p>
        </w:tc>
        <w:tc>
          <w:tcPr>
            <w:tcW w:w="2013" w:type="dxa"/>
          </w:tcPr>
          <w:p w:rsidR="00CA7512" w:rsidRPr="00AD1AAF" w:rsidRDefault="00CA7512" w:rsidP="007A5894">
            <w:pPr>
              <w:pStyle w:val="Tablesmalltext"/>
              <w:rPr>
                <w:sz w:val="20"/>
                <w:szCs w:val="20"/>
              </w:rPr>
            </w:pPr>
            <w:r w:rsidRPr="00AD1AAF">
              <w:rPr>
                <w:sz w:val="20"/>
                <w:szCs w:val="20"/>
              </w:rPr>
              <w:t>Brown Coal – SA</w:t>
            </w:r>
          </w:p>
        </w:tc>
        <w:tc>
          <w:tcPr>
            <w:tcW w:w="2013" w:type="dxa"/>
          </w:tcPr>
          <w:p w:rsidR="00CA7512" w:rsidRPr="00AD1AAF" w:rsidRDefault="00CA7512" w:rsidP="007A5894">
            <w:pPr>
              <w:pStyle w:val="Tablesmalltext"/>
              <w:rPr>
                <w:sz w:val="20"/>
                <w:szCs w:val="20"/>
              </w:rPr>
            </w:pPr>
            <w:r w:rsidRPr="00AD1AAF">
              <w:rPr>
                <w:sz w:val="20"/>
                <w:szCs w:val="20"/>
              </w:rPr>
              <w:t>$24 - $31</w:t>
            </w:r>
          </w:p>
        </w:tc>
      </w:tr>
      <w:tr w:rsidR="00CA7512" w:rsidRPr="00952F9C" w:rsidTr="00F84BD2">
        <w:trPr>
          <w:cantSplit/>
          <w:trHeight w:val="371"/>
        </w:trPr>
        <w:tc>
          <w:tcPr>
            <w:tcW w:w="2481" w:type="dxa"/>
          </w:tcPr>
          <w:p w:rsidR="00CA7512" w:rsidRPr="00AD1AAF" w:rsidRDefault="00CA7512" w:rsidP="00106F33">
            <w:pPr>
              <w:pStyle w:val="Tablesmalltext"/>
              <w:rPr>
                <w:sz w:val="20"/>
                <w:szCs w:val="20"/>
              </w:rPr>
            </w:pPr>
            <w:r w:rsidRPr="00AD1AAF">
              <w:rPr>
                <w:sz w:val="20"/>
                <w:szCs w:val="20"/>
              </w:rPr>
              <w:t>Gas – Vic</w:t>
            </w:r>
          </w:p>
        </w:tc>
        <w:tc>
          <w:tcPr>
            <w:tcW w:w="2013" w:type="dxa"/>
          </w:tcPr>
          <w:p w:rsidR="00CA7512" w:rsidRPr="00AD1AAF" w:rsidRDefault="00CA7512" w:rsidP="007A5894">
            <w:pPr>
              <w:pStyle w:val="Tablesmalltext"/>
              <w:rPr>
                <w:sz w:val="20"/>
                <w:szCs w:val="20"/>
              </w:rPr>
            </w:pPr>
            <w:r w:rsidRPr="00AD1AAF">
              <w:rPr>
                <w:sz w:val="20"/>
                <w:szCs w:val="20"/>
              </w:rPr>
              <w:t>$46 - $64</w:t>
            </w:r>
          </w:p>
        </w:tc>
        <w:tc>
          <w:tcPr>
            <w:tcW w:w="2013" w:type="dxa"/>
          </w:tcPr>
          <w:p w:rsidR="00CA7512" w:rsidRPr="00AD1AAF" w:rsidRDefault="00CA7512" w:rsidP="007A5894">
            <w:pPr>
              <w:pStyle w:val="Tablesmalltext"/>
              <w:rPr>
                <w:sz w:val="20"/>
                <w:szCs w:val="20"/>
              </w:rPr>
            </w:pPr>
            <w:r w:rsidRPr="00AD1AAF">
              <w:rPr>
                <w:sz w:val="20"/>
                <w:szCs w:val="20"/>
              </w:rPr>
              <w:t>Black Coal – NSW</w:t>
            </w:r>
          </w:p>
        </w:tc>
        <w:tc>
          <w:tcPr>
            <w:tcW w:w="2013" w:type="dxa"/>
          </w:tcPr>
          <w:p w:rsidR="00CA7512" w:rsidRPr="00AD1AAF" w:rsidRDefault="00CA7512" w:rsidP="007A5894">
            <w:pPr>
              <w:pStyle w:val="Tablesmalltext"/>
              <w:rPr>
                <w:sz w:val="20"/>
                <w:szCs w:val="20"/>
              </w:rPr>
            </w:pPr>
            <w:r w:rsidRPr="00AD1AAF">
              <w:rPr>
                <w:sz w:val="20"/>
                <w:szCs w:val="20"/>
              </w:rPr>
              <w:t>$20 - $23</w:t>
            </w:r>
          </w:p>
        </w:tc>
      </w:tr>
      <w:tr w:rsidR="00CA7512" w:rsidRPr="00952F9C" w:rsidTr="007A5894">
        <w:trPr>
          <w:trHeight w:val="371"/>
        </w:trPr>
        <w:tc>
          <w:tcPr>
            <w:tcW w:w="2481" w:type="dxa"/>
          </w:tcPr>
          <w:p w:rsidR="00CA7512" w:rsidRPr="00AD1AAF" w:rsidRDefault="00CA7512" w:rsidP="007A5894">
            <w:pPr>
              <w:pStyle w:val="Tablesmalltext"/>
              <w:rPr>
                <w:sz w:val="20"/>
                <w:szCs w:val="20"/>
              </w:rPr>
            </w:pPr>
            <w:r w:rsidRPr="00AD1AAF">
              <w:rPr>
                <w:sz w:val="20"/>
                <w:szCs w:val="20"/>
              </w:rPr>
              <w:t>Gas – SA</w:t>
            </w:r>
          </w:p>
        </w:tc>
        <w:tc>
          <w:tcPr>
            <w:tcW w:w="2013" w:type="dxa"/>
          </w:tcPr>
          <w:p w:rsidR="00CA7512" w:rsidRPr="00AD1AAF" w:rsidRDefault="00CA7512" w:rsidP="007A5894">
            <w:pPr>
              <w:pStyle w:val="Tablesmalltext"/>
              <w:rPr>
                <w:sz w:val="20"/>
                <w:szCs w:val="20"/>
              </w:rPr>
            </w:pPr>
            <w:r w:rsidRPr="00AD1AAF">
              <w:rPr>
                <w:sz w:val="20"/>
                <w:szCs w:val="20"/>
              </w:rPr>
              <w:t>$37 - $111</w:t>
            </w:r>
          </w:p>
        </w:tc>
        <w:tc>
          <w:tcPr>
            <w:tcW w:w="2013" w:type="dxa"/>
          </w:tcPr>
          <w:p w:rsidR="00CA7512" w:rsidRPr="00AD1AAF" w:rsidRDefault="00CA7512" w:rsidP="007A5894">
            <w:pPr>
              <w:pStyle w:val="Tablesmalltext"/>
              <w:rPr>
                <w:sz w:val="20"/>
                <w:szCs w:val="20"/>
              </w:rPr>
            </w:pPr>
            <w:r w:rsidRPr="00AD1AAF">
              <w:rPr>
                <w:sz w:val="20"/>
                <w:szCs w:val="20"/>
              </w:rPr>
              <w:t>Black Coal  - Qld</w:t>
            </w:r>
          </w:p>
        </w:tc>
        <w:tc>
          <w:tcPr>
            <w:tcW w:w="2013" w:type="dxa"/>
          </w:tcPr>
          <w:p w:rsidR="00CA7512" w:rsidRPr="00AD1AAF" w:rsidRDefault="00CA7512" w:rsidP="007A5894">
            <w:pPr>
              <w:pStyle w:val="Tablesmalltext"/>
              <w:rPr>
                <w:sz w:val="20"/>
                <w:szCs w:val="20"/>
              </w:rPr>
            </w:pPr>
            <w:r w:rsidRPr="00AD1AAF">
              <w:rPr>
                <w:sz w:val="20"/>
                <w:szCs w:val="20"/>
              </w:rPr>
              <w:t>$9 - $31</w:t>
            </w:r>
          </w:p>
        </w:tc>
      </w:tr>
      <w:tr w:rsidR="00CA7512" w:rsidRPr="00952F9C" w:rsidTr="007A5894">
        <w:trPr>
          <w:trHeight w:val="371"/>
        </w:trPr>
        <w:tc>
          <w:tcPr>
            <w:tcW w:w="2481" w:type="dxa"/>
          </w:tcPr>
          <w:p w:rsidR="00CA7512" w:rsidRPr="00AD1AAF" w:rsidRDefault="00CA7512" w:rsidP="007A5894">
            <w:pPr>
              <w:pStyle w:val="Tablesmalltext"/>
              <w:rPr>
                <w:sz w:val="20"/>
                <w:szCs w:val="20"/>
              </w:rPr>
            </w:pPr>
            <w:r w:rsidRPr="00AD1AAF">
              <w:rPr>
                <w:sz w:val="20"/>
                <w:szCs w:val="20"/>
              </w:rPr>
              <w:t>Oil – SA</w:t>
            </w:r>
          </w:p>
        </w:tc>
        <w:tc>
          <w:tcPr>
            <w:tcW w:w="2013" w:type="dxa"/>
          </w:tcPr>
          <w:p w:rsidR="00CA7512" w:rsidRPr="00AD1AAF" w:rsidRDefault="00CA7512" w:rsidP="007A5894">
            <w:pPr>
              <w:pStyle w:val="Tablesmalltext"/>
              <w:rPr>
                <w:sz w:val="20"/>
                <w:szCs w:val="20"/>
              </w:rPr>
            </w:pPr>
            <w:r w:rsidRPr="00AD1AAF">
              <w:rPr>
                <w:sz w:val="20"/>
                <w:szCs w:val="20"/>
              </w:rPr>
              <w:t>$250 - $324</w:t>
            </w:r>
          </w:p>
        </w:tc>
        <w:tc>
          <w:tcPr>
            <w:tcW w:w="2013" w:type="dxa"/>
          </w:tcPr>
          <w:p w:rsidR="00CA7512" w:rsidRPr="00AD1AAF" w:rsidRDefault="00CA7512" w:rsidP="00106F33">
            <w:pPr>
              <w:pStyle w:val="Tablesmalltext"/>
              <w:rPr>
                <w:sz w:val="20"/>
                <w:szCs w:val="20"/>
              </w:rPr>
            </w:pPr>
            <w:r w:rsidRPr="00AD1AAF">
              <w:rPr>
                <w:sz w:val="20"/>
                <w:szCs w:val="20"/>
              </w:rPr>
              <w:t>Gas - Q</w:t>
            </w:r>
            <w:r w:rsidR="00106F33">
              <w:rPr>
                <w:sz w:val="20"/>
                <w:szCs w:val="20"/>
              </w:rPr>
              <w:t>ld</w:t>
            </w:r>
          </w:p>
        </w:tc>
        <w:tc>
          <w:tcPr>
            <w:tcW w:w="2013" w:type="dxa"/>
          </w:tcPr>
          <w:p w:rsidR="00CA7512" w:rsidRPr="00AD1AAF" w:rsidRDefault="00CA7512" w:rsidP="007A5894">
            <w:pPr>
              <w:pStyle w:val="Tablesmalltext"/>
              <w:rPr>
                <w:sz w:val="20"/>
                <w:szCs w:val="20"/>
              </w:rPr>
            </w:pPr>
            <w:r w:rsidRPr="00AD1AAF">
              <w:rPr>
                <w:sz w:val="20"/>
                <w:szCs w:val="20"/>
              </w:rPr>
              <w:t>$25 - $56</w:t>
            </w:r>
          </w:p>
        </w:tc>
      </w:tr>
      <w:tr w:rsidR="00CA7512" w:rsidRPr="00952F9C" w:rsidTr="007A5894">
        <w:trPr>
          <w:trHeight w:val="371"/>
        </w:trPr>
        <w:tc>
          <w:tcPr>
            <w:tcW w:w="2481" w:type="dxa"/>
          </w:tcPr>
          <w:p w:rsidR="00CA7512" w:rsidRPr="00AD1AAF" w:rsidRDefault="00CA7512" w:rsidP="007A5894">
            <w:pPr>
              <w:pStyle w:val="Tablesmalltext"/>
              <w:rPr>
                <w:sz w:val="20"/>
                <w:szCs w:val="20"/>
              </w:rPr>
            </w:pPr>
            <w:r w:rsidRPr="00AD1AAF">
              <w:rPr>
                <w:sz w:val="20"/>
                <w:szCs w:val="20"/>
              </w:rPr>
              <w:t>Gas Peak – SA</w:t>
            </w:r>
          </w:p>
        </w:tc>
        <w:tc>
          <w:tcPr>
            <w:tcW w:w="2013" w:type="dxa"/>
          </w:tcPr>
          <w:p w:rsidR="00CA7512" w:rsidRPr="00AD1AAF" w:rsidRDefault="00CA7512" w:rsidP="007A5894">
            <w:pPr>
              <w:pStyle w:val="Tablesmalltext"/>
              <w:rPr>
                <w:sz w:val="20"/>
                <w:szCs w:val="20"/>
              </w:rPr>
            </w:pPr>
            <w:r w:rsidRPr="00AD1AAF">
              <w:rPr>
                <w:sz w:val="20"/>
                <w:szCs w:val="20"/>
              </w:rPr>
              <w:t>$100 - $164</w:t>
            </w:r>
          </w:p>
        </w:tc>
        <w:tc>
          <w:tcPr>
            <w:tcW w:w="2013" w:type="dxa"/>
          </w:tcPr>
          <w:p w:rsidR="00CA7512" w:rsidRPr="00AD1AAF" w:rsidRDefault="00CA7512" w:rsidP="00106F33">
            <w:pPr>
              <w:pStyle w:val="Tablesmalltext"/>
              <w:rPr>
                <w:sz w:val="20"/>
                <w:szCs w:val="20"/>
              </w:rPr>
            </w:pPr>
            <w:r w:rsidRPr="00AD1AAF">
              <w:rPr>
                <w:sz w:val="20"/>
                <w:szCs w:val="20"/>
              </w:rPr>
              <w:t>Oil – Q</w:t>
            </w:r>
            <w:r w:rsidR="00106F33">
              <w:rPr>
                <w:sz w:val="20"/>
                <w:szCs w:val="20"/>
              </w:rPr>
              <w:t>ld</w:t>
            </w:r>
          </w:p>
        </w:tc>
        <w:tc>
          <w:tcPr>
            <w:tcW w:w="2013" w:type="dxa"/>
          </w:tcPr>
          <w:p w:rsidR="00CA7512" w:rsidRPr="00AD1AAF" w:rsidRDefault="00CA7512" w:rsidP="007A5894">
            <w:pPr>
              <w:pStyle w:val="Tablesmalltext"/>
              <w:rPr>
                <w:sz w:val="20"/>
                <w:szCs w:val="20"/>
              </w:rPr>
            </w:pPr>
            <w:r w:rsidRPr="00AD1AAF">
              <w:rPr>
                <w:sz w:val="20"/>
                <w:szCs w:val="20"/>
              </w:rPr>
              <w:t>$241 - $295</w:t>
            </w:r>
          </w:p>
        </w:tc>
      </w:tr>
      <w:tr w:rsidR="0009656C" w:rsidRPr="00952F9C" w:rsidTr="007A5894">
        <w:trPr>
          <w:trHeight w:val="371"/>
        </w:trPr>
        <w:tc>
          <w:tcPr>
            <w:tcW w:w="2481" w:type="dxa"/>
          </w:tcPr>
          <w:p w:rsidR="0009656C" w:rsidRPr="00AD1AAF" w:rsidRDefault="0009656C" w:rsidP="00F47329">
            <w:pPr>
              <w:pStyle w:val="Tablesmalltext"/>
              <w:rPr>
                <w:sz w:val="20"/>
                <w:szCs w:val="20"/>
              </w:rPr>
            </w:pPr>
            <w:r>
              <w:rPr>
                <w:sz w:val="20"/>
                <w:szCs w:val="20"/>
              </w:rPr>
              <w:t xml:space="preserve">Black coal </w:t>
            </w:r>
            <w:r w:rsidR="00702E57">
              <w:rPr>
                <w:sz w:val="20"/>
                <w:szCs w:val="20"/>
              </w:rPr>
              <w:t>–</w:t>
            </w:r>
            <w:r>
              <w:rPr>
                <w:sz w:val="20"/>
                <w:szCs w:val="20"/>
              </w:rPr>
              <w:t xml:space="preserve"> </w:t>
            </w:r>
            <w:r w:rsidR="00F47329">
              <w:rPr>
                <w:sz w:val="20"/>
                <w:szCs w:val="20"/>
              </w:rPr>
              <w:t>WA</w:t>
            </w:r>
          </w:p>
        </w:tc>
        <w:tc>
          <w:tcPr>
            <w:tcW w:w="2013" w:type="dxa"/>
          </w:tcPr>
          <w:p w:rsidR="0009656C" w:rsidRPr="00AD1AAF" w:rsidRDefault="003D5636" w:rsidP="007A5894">
            <w:pPr>
              <w:pStyle w:val="Tablesmalltext"/>
              <w:rPr>
                <w:sz w:val="20"/>
                <w:szCs w:val="20"/>
              </w:rPr>
            </w:pPr>
            <w:r>
              <w:rPr>
                <w:sz w:val="20"/>
                <w:szCs w:val="20"/>
              </w:rPr>
              <w:t>$25 - $31</w:t>
            </w:r>
          </w:p>
        </w:tc>
        <w:tc>
          <w:tcPr>
            <w:tcW w:w="2013" w:type="dxa"/>
          </w:tcPr>
          <w:p w:rsidR="0009656C" w:rsidRPr="00AD1AAF" w:rsidRDefault="003D5636" w:rsidP="00F47329">
            <w:pPr>
              <w:pStyle w:val="Tablesmalltext"/>
              <w:rPr>
                <w:sz w:val="20"/>
                <w:szCs w:val="20"/>
              </w:rPr>
            </w:pPr>
            <w:r>
              <w:rPr>
                <w:sz w:val="20"/>
                <w:szCs w:val="20"/>
              </w:rPr>
              <w:t xml:space="preserve">Gas - </w:t>
            </w:r>
            <w:r w:rsidR="00F47329">
              <w:rPr>
                <w:sz w:val="20"/>
                <w:szCs w:val="20"/>
              </w:rPr>
              <w:t>WA</w:t>
            </w:r>
          </w:p>
        </w:tc>
        <w:tc>
          <w:tcPr>
            <w:tcW w:w="2013" w:type="dxa"/>
          </w:tcPr>
          <w:p w:rsidR="0009656C" w:rsidRPr="00AD1AAF" w:rsidRDefault="003D5636" w:rsidP="003D5636">
            <w:pPr>
              <w:pStyle w:val="Tablesmalltext"/>
              <w:rPr>
                <w:sz w:val="20"/>
                <w:szCs w:val="20"/>
              </w:rPr>
            </w:pPr>
            <w:r>
              <w:rPr>
                <w:sz w:val="20"/>
                <w:szCs w:val="20"/>
              </w:rPr>
              <w:t>$52 - $59</w:t>
            </w:r>
          </w:p>
        </w:tc>
      </w:tr>
    </w:tbl>
    <w:p w:rsidR="008A3125" w:rsidRDefault="0009656C" w:rsidP="000817DB">
      <w:pPr>
        <w:pStyle w:val="Para0"/>
        <w:spacing w:before="0" w:after="240"/>
      </w:pPr>
      <w:bookmarkStart w:id="67" w:name="_Ref286659279"/>
      <w:r w:rsidRPr="00F729D7">
        <w:rPr>
          <w:sz w:val="16"/>
          <w:szCs w:val="16"/>
        </w:rPr>
        <w:t xml:space="preserve">Source: </w:t>
      </w:r>
      <w:proofErr w:type="gramStart"/>
      <w:r w:rsidRPr="00F729D7">
        <w:rPr>
          <w:sz w:val="16"/>
          <w:szCs w:val="16"/>
        </w:rPr>
        <w:t>Jacobs</w:t>
      </w:r>
      <w:proofErr w:type="gramEnd"/>
      <w:r w:rsidRPr="00F729D7">
        <w:rPr>
          <w:sz w:val="16"/>
          <w:szCs w:val="16"/>
        </w:rPr>
        <w:t xml:space="preserve"> data base of generation cost</w:t>
      </w:r>
      <w:r w:rsidR="00D75E3E">
        <w:rPr>
          <w:sz w:val="16"/>
          <w:szCs w:val="16"/>
        </w:rPr>
        <w:t>s</w:t>
      </w:r>
      <w:r w:rsidRPr="003641D4">
        <w:rPr>
          <w:sz w:val="16"/>
          <w:szCs w:val="16"/>
        </w:rPr>
        <w:t>, which in turn is based on market data published by AEMO</w:t>
      </w:r>
      <w:r w:rsidR="00D75E3E">
        <w:rPr>
          <w:sz w:val="16"/>
          <w:szCs w:val="16"/>
        </w:rPr>
        <w:t xml:space="preserve"> and </w:t>
      </w:r>
      <w:r w:rsidRPr="00F729D7">
        <w:rPr>
          <w:sz w:val="16"/>
          <w:szCs w:val="16"/>
        </w:rPr>
        <w:t>IMO, annual reports of generators and fuel suppliers, ASX announcements and other media releases</w:t>
      </w:r>
      <w:r>
        <w:t>.</w:t>
      </w:r>
    </w:p>
    <w:p w:rsidR="000817DB" w:rsidRDefault="000817DB" w:rsidP="000817DB">
      <w:pPr>
        <w:pStyle w:val="Para0"/>
        <w:spacing w:before="0"/>
      </w:pPr>
      <w:r>
        <w:t xml:space="preserve">Fixed operating cost data are based on available data on operating cost for like plant and data published by the market operators for their planning processes. Fixed operating cost data change over time in accordance with </w:t>
      </w:r>
      <w:r>
        <w:lastRenderedPageBreak/>
        <w:t>assumptions on projections of growth in wage rates, which are sourced from Treasury projections</w:t>
      </w:r>
      <w:r>
        <w:rPr>
          <w:rStyle w:val="FootnoteReference"/>
        </w:rPr>
        <w:footnoteReference w:id="16"/>
      </w:r>
      <w:r>
        <w:t xml:space="preserve">.  Details of fixed operating cost by plant are provided in </w:t>
      </w:r>
      <w:r>
        <w:fldChar w:fldCharType="begin"/>
      </w:r>
      <w:r>
        <w:instrText xml:space="preserve"> REF _Ref419360412 \r \h </w:instrText>
      </w:r>
      <w:r>
        <w:fldChar w:fldCharType="separate"/>
      </w:r>
      <w:r w:rsidR="00014844">
        <w:t>Appendix E</w:t>
      </w:r>
      <w:r>
        <w:fldChar w:fldCharType="end"/>
      </w:r>
      <w:r w:rsidRPr="00A163D9">
        <w:t>.</w:t>
      </w:r>
    </w:p>
    <w:p w:rsidR="000817DB" w:rsidRDefault="000817DB" w:rsidP="000817DB">
      <w:pPr>
        <w:pStyle w:val="Para0"/>
      </w:pPr>
      <w:r w:rsidRPr="00952F9C">
        <w:t xml:space="preserve">Thermal power plants are modelled with planned and forced outages with overall availability consistent with current performance.  Coal plants have available capacity factors between 86% and 95% and gas fired plants have available capacity factors between 87% and 95%.  Capacity, fuel cost and heat rate data </w:t>
      </w:r>
      <w:r>
        <w:t>by</w:t>
      </w:r>
      <w:r w:rsidRPr="00952F9C">
        <w:t xml:space="preserve"> generator</w:t>
      </w:r>
      <w:r>
        <w:t xml:space="preserve"> type</w:t>
      </w:r>
      <w:r w:rsidRPr="00952F9C">
        <w:t xml:space="preserve"> are shown in</w:t>
      </w:r>
      <w:r>
        <w:t xml:space="preserve"> </w:t>
      </w:r>
      <w:r>
        <w:fldChar w:fldCharType="begin"/>
      </w:r>
      <w:r>
        <w:instrText xml:space="preserve"> REF _Ref418784405 \r \h </w:instrText>
      </w:r>
      <w:r>
        <w:fldChar w:fldCharType="separate"/>
      </w:r>
      <w:r w:rsidR="00014844">
        <w:t>Appendix E</w:t>
      </w:r>
      <w:r>
        <w:fldChar w:fldCharType="end"/>
      </w:r>
      <w:r w:rsidRPr="00952F9C">
        <w:t>.</w:t>
      </w:r>
    </w:p>
    <w:p w:rsidR="00AD692B" w:rsidRDefault="00AD692B" w:rsidP="00A04A8C">
      <w:pPr>
        <w:pStyle w:val="Heading3"/>
      </w:pPr>
      <w:bookmarkStart w:id="68" w:name="_Ref419134836"/>
      <w:bookmarkStart w:id="69" w:name="_Toc420660060"/>
      <w:r>
        <w:t xml:space="preserve">New entrant </w:t>
      </w:r>
      <w:r w:rsidR="008D308B">
        <w:t>technology</w:t>
      </w:r>
      <w:r>
        <w:t xml:space="preserve"> costs</w:t>
      </w:r>
      <w:bookmarkEnd w:id="68"/>
      <w:bookmarkEnd w:id="69"/>
    </w:p>
    <w:p w:rsidR="00A163D9" w:rsidRDefault="00A163D9" w:rsidP="00A163D9">
      <w:pPr>
        <w:pStyle w:val="Heading4"/>
      </w:pPr>
      <w:bookmarkStart w:id="70" w:name="_Toc420660061"/>
      <w:r>
        <w:t>Method</w:t>
      </w:r>
      <w:bookmarkEnd w:id="70"/>
    </w:p>
    <w:p w:rsidR="00A163D9" w:rsidRDefault="00A163D9" w:rsidP="00A163D9">
      <w:pPr>
        <w:pStyle w:val="Para0"/>
      </w:pPr>
      <w:r>
        <w:t>Jacobs</w:t>
      </w:r>
      <w:r w:rsidR="00414BBA">
        <w:t>’</w:t>
      </w:r>
      <w:r>
        <w:t xml:space="preserve"> modelling selects new capacity from a range of </w:t>
      </w:r>
      <w:r w:rsidR="00583643">
        <w:t xml:space="preserve">currently </w:t>
      </w:r>
      <w:r>
        <w:t>available fossil fuel and renewable technologies</w:t>
      </w:r>
      <w:r w:rsidR="00583643">
        <w:t xml:space="preserve"> that could be considered in the Australian market</w:t>
      </w:r>
      <w:r>
        <w:t xml:space="preserve">. </w:t>
      </w:r>
      <w:r w:rsidR="00583643">
        <w:t xml:space="preserve">Parameters for technologies that are not presently commercially available are included where an estimate can be made of their performance and costs for use in the modelling. </w:t>
      </w:r>
      <w:r w:rsidR="00106F33">
        <w:t>In</w:t>
      </w:r>
      <w:r>
        <w:t xml:space="preserve"> each scenario the least cost mix of plant is dispatched to meet demand, conditional on the emissions constraint, fuel and capital costs, and any policy constraints (for example prohibitions on new coal without CCS). </w:t>
      </w:r>
    </w:p>
    <w:p w:rsidR="00A163D9" w:rsidRDefault="00A163D9" w:rsidP="00A163D9">
      <w:pPr>
        <w:pStyle w:val="Para0"/>
      </w:pPr>
      <w:r>
        <w:t>New entrant technology costs are derived at a-point-in-time (generally an estimate of current costs) and future costs are handled within the modelling using learning curves and adjustments for changes in exchange rates.</w:t>
      </w:r>
    </w:p>
    <w:p w:rsidR="00A163D9" w:rsidRDefault="00A163D9" w:rsidP="00A163D9">
      <w:pPr>
        <w:pStyle w:val="Para0"/>
      </w:pPr>
      <w:r>
        <w:t xml:space="preserve">For gas turbine based plants (including </w:t>
      </w:r>
      <w:r w:rsidR="00583643">
        <w:t xml:space="preserve">open </w:t>
      </w:r>
      <w:r>
        <w:t xml:space="preserve">cycle, combined cycle, cogeneration and </w:t>
      </w:r>
      <w:r w:rsidR="00583643">
        <w:t xml:space="preserve">Integrated </w:t>
      </w:r>
      <w:r w:rsidR="004F1B22">
        <w:t xml:space="preserve">Gasification </w:t>
      </w:r>
      <w:r w:rsidR="00583643">
        <w:t xml:space="preserve">Combined Cycle (IGCC) </w:t>
      </w:r>
      <w:r>
        <w:t xml:space="preserve">plants) and conventional Rankine Cycle (or “thermal”) plants (including sub-critical, supercritical and ultra-supercritical, and biomass), and for variations of these with carbon-capture, Jacobs’ method is generally to use the capital cost estimating tool within the Thermoflow Inc suite of software (including GTPro, SteamPro and PEACE) for the </w:t>
      </w:r>
      <w:r w:rsidR="00583643">
        <w:t>Engineer-Procure-Construct (</w:t>
      </w:r>
      <w:r>
        <w:t>EPC</w:t>
      </w:r>
      <w:r w:rsidR="00583643">
        <w:t>)</w:t>
      </w:r>
      <w:r>
        <w:rPr>
          <w:rStyle w:val="FootnoteReference"/>
        </w:rPr>
        <w:footnoteReference w:id="17"/>
      </w:r>
      <w:r>
        <w:t xml:space="preserve"> base power-island cost. This model </w:t>
      </w:r>
      <w:r w:rsidR="008A29F7">
        <w:t xml:space="preserve">estimates capital </w:t>
      </w:r>
      <w:r>
        <w:t xml:space="preserve">costs </w:t>
      </w:r>
      <w:r w:rsidR="008A29F7">
        <w:t>based on technical configurations of each plant design selected by Jacobs that is considered to be appropriate for Australian conditions and fuels</w:t>
      </w:r>
      <w:r>
        <w:t xml:space="preserve">. Jacobs applies local factors (such as </w:t>
      </w:r>
      <w:r w:rsidR="008A29F7">
        <w:t>the unit sizing, suitability for Australia’s climate and fuel alternatives</w:t>
      </w:r>
      <w:r>
        <w:t xml:space="preserve">) for the configuration of the plants and for regional factors (such as </w:t>
      </w:r>
      <w:r w:rsidR="008A29F7">
        <w:t xml:space="preserve">plant costs for Australian construction versus cost in, for example, </w:t>
      </w:r>
      <w:proofErr w:type="gramStart"/>
      <w:r w:rsidR="008A29F7">
        <w:t>South</w:t>
      </w:r>
      <w:proofErr w:type="gramEnd"/>
      <w:r w:rsidR="008A29F7">
        <w:t xml:space="preserve"> East Asia</w:t>
      </w:r>
      <w:r>
        <w:t>)</w:t>
      </w:r>
      <w:r w:rsidR="008A29F7">
        <w:t xml:space="preserve">. These factors are based </w:t>
      </w:r>
      <w:r>
        <w:t xml:space="preserve">on </w:t>
      </w:r>
      <w:r w:rsidR="008A29F7">
        <w:t xml:space="preserve">Jacobs’ experience and </w:t>
      </w:r>
      <w:r>
        <w:t>judgement.</w:t>
      </w:r>
    </w:p>
    <w:p w:rsidR="00A163D9" w:rsidRDefault="00A163D9" w:rsidP="00A163D9">
      <w:pPr>
        <w:pStyle w:val="Para0"/>
      </w:pPr>
      <w:proofErr w:type="gramStart"/>
      <w:r>
        <w:t>Jacobs</w:t>
      </w:r>
      <w:proofErr w:type="gramEnd"/>
      <w:r>
        <w:t xml:space="preserve"> refines the cost estimates using adjustment factors where considered appropriate based on market soundings and information from other projects (such as overseas).</w:t>
      </w:r>
    </w:p>
    <w:p w:rsidR="00A163D9" w:rsidRDefault="00A163D9" w:rsidP="00A163D9">
      <w:pPr>
        <w:pStyle w:val="Para0"/>
      </w:pPr>
      <w:r>
        <w:t>The latest Thermoflow database is dated May 2014.  Adjusted for changes in exchange rates</w:t>
      </w:r>
      <w:r w:rsidR="00106F33">
        <w:t>,</w:t>
      </w:r>
      <w:r>
        <w:t xml:space="preserve"> the resulting EPC costs </w:t>
      </w:r>
      <w:r w:rsidR="00A31441">
        <w:t xml:space="preserve">per kW of power plant capacity </w:t>
      </w:r>
      <w:r>
        <w:t xml:space="preserve">appear reasonable against current prices being seen in Asia (adjusting as necessary for local Australian cost factors).  </w:t>
      </w:r>
    </w:p>
    <w:p w:rsidR="00A163D9" w:rsidRDefault="00A163D9" w:rsidP="00A163D9">
      <w:pPr>
        <w:pStyle w:val="Para0"/>
      </w:pPr>
      <w:r>
        <w:t>In addition to the EPC costs, allowances have been made for coal drying plant costs (where relevant for brown coal), connection costs (for electricity and gas where applicable) and owner’s costs.  Interest during Construction (IDC) costs are handled separately in the modelling.</w:t>
      </w:r>
    </w:p>
    <w:p w:rsidR="00A163D9" w:rsidRDefault="00A163D9" w:rsidP="00A163D9">
      <w:pPr>
        <w:pStyle w:val="Para0"/>
      </w:pPr>
      <w:r>
        <w:t>Wind and PV costs have been updated using observed recent costs.</w:t>
      </w:r>
    </w:p>
    <w:p w:rsidR="00A163D9" w:rsidRDefault="00A163D9" w:rsidP="00A163D9">
      <w:pPr>
        <w:pStyle w:val="Para0"/>
      </w:pPr>
      <w:r>
        <w:t>Solar thermal, geothermal, hydro and nuclear costs are subject to limited new data in the Australian context and remain as assumed in previous Jacobs’ studies.</w:t>
      </w:r>
      <w:r w:rsidR="00392E3A">
        <w:t xml:space="preserve"> Additional information on nuclear technology assumptions is in </w:t>
      </w:r>
      <w:r w:rsidR="00392E3A">
        <w:fldChar w:fldCharType="begin"/>
      </w:r>
      <w:r w:rsidR="00392E3A">
        <w:instrText xml:space="preserve"> REF _Ref420055769 \n \h </w:instrText>
      </w:r>
      <w:r w:rsidR="00392E3A">
        <w:fldChar w:fldCharType="separate"/>
      </w:r>
      <w:r w:rsidR="00014844">
        <w:t>Appendix C</w:t>
      </w:r>
      <w:r w:rsidR="00392E3A">
        <w:fldChar w:fldCharType="end"/>
      </w:r>
      <w:r w:rsidR="00392E3A">
        <w:t>.</w:t>
      </w:r>
    </w:p>
    <w:p w:rsidR="00A163D9" w:rsidRDefault="00A163D9" w:rsidP="00A163D9">
      <w:pPr>
        <w:pStyle w:val="Para0"/>
      </w:pPr>
      <w:r w:rsidRPr="006465F7">
        <w:t>Current estimates for capital costs of new technologies are shown in</w:t>
      </w:r>
      <w:r w:rsidR="00455559" w:rsidRPr="006465F7">
        <w:t xml:space="preserve"> </w:t>
      </w:r>
      <w:r w:rsidR="00455559" w:rsidRPr="003641D4">
        <w:fldChar w:fldCharType="begin"/>
      </w:r>
      <w:r w:rsidR="00455559" w:rsidRPr="006465F7">
        <w:instrText xml:space="preserve"> REF _Ref419321083 \r \h </w:instrText>
      </w:r>
      <w:r w:rsidR="006465F7">
        <w:instrText xml:space="preserve"> \* MERGEFORMAT </w:instrText>
      </w:r>
      <w:r w:rsidR="00455559" w:rsidRPr="003641D4">
        <w:fldChar w:fldCharType="separate"/>
      </w:r>
      <w:r w:rsidR="00014844">
        <w:t>Appendix D</w:t>
      </w:r>
      <w:r w:rsidR="00455559" w:rsidRPr="003641D4">
        <w:fldChar w:fldCharType="end"/>
      </w:r>
      <w:r w:rsidR="00455559" w:rsidRPr="003641D4">
        <w:t>.</w:t>
      </w:r>
      <w:r w:rsidRPr="007F3389">
        <w:t xml:space="preserve"> These are based on 0.77</w:t>
      </w:r>
      <w:r>
        <w:t xml:space="preserve"> USD/AUD.</w:t>
      </w:r>
    </w:p>
    <w:p w:rsidR="002A36AC" w:rsidRDefault="0004220A" w:rsidP="00A163D9">
      <w:pPr>
        <w:pStyle w:val="Para0"/>
      </w:pPr>
      <w:r>
        <w:t>Small-scale storage costs are based on Tesla’s recently released Powerwall product</w:t>
      </w:r>
      <w:r w:rsidR="00591079">
        <w:t>, which is based on Lithium Ion battery technology</w:t>
      </w:r>
      <w:r>
        <w:t xml:space="preserve">. </w:t>
      </w:r>
      <w:r w:rsidR="002A36AC">
        <w:t xml:space="preserve">The current literature shows that large-scale battery costs are significantly higher than </w:t>
      </w:r>
      <w:r w:rsidR="002A36AC">
        <w:lastRenderedPageBreak/>
        <w:t>the cost of the Powerwall product. Our understanding is that the technology underpinning the Powerwall product is scalable, and therefore for the large-scale costs we propose to apply a further 10% discount relative to the small-scale cost, to represent economies of scale that should be achievable for a larger system size.</w:t>
      </w:r>
    </w:p>
    <w:p w:rsidR="00A163D9" w:rsidRDefault="00A163D9" w:rsidP="00A163D9">
      <w:pPr>
        <w:pStyle w:val="Heading4"/>
      </w:pPr>
      <w:bookmarkStart w:id="71" w:name="_Toc420660062"/>
      <w:r>
        <w:t>Trends and comparisons</w:t>
      </w:r>
      <w:bookmarkEnd w:id="71"/>
    </w:p>
    <w:p w:rsidR="00A163D9" w:rsidRDefault="00A163D9" w:rsidP="00A163D9">
      <w:pPr>
        <w:pStyle w:val="Para0"/>
      </w:pPr>
      <w:r>
        <w:t>Technology costs proposed for this review are compared against costs shown in the AETA 2012</w:t>
      </w:r>
      <w:r>
        <w:rPr>
          <w:rStyle w:val="FootnoteReference"/>
        </w:rPr>
        <w:footnoteReference w:id="18"/>
      </w:r>
      <w:r>
        <w:t xml:space="preserve">.  The AETA was based on the exchange rate trending to 1.13 USD/AUD in 2016/17 and then declining to 0.86 USD/AUD by 2031-32.  The AETA assessments used Thermoflow Version 21; for this </w:t>
      </w:r>
      <w:r w:rsidR="00E352B8">
        <w:t xml:space="preserve">review </w:t>
      </w:r>
      <w:r>
        <w:t>Jacobs is using the</w:t>
      </w:r>
      <w:r w:rsidR="00455559">
        <w:t xml:space="preserve"> current version (</w:t>
      </w:r>
      <w:r w:rsidR="00E352B8">
        <w:t>i</w:t>
      </w:r>
      <w:r w:rsidR="00FC173B">
        <w:t>.</w:t>
      </w:r>
      <w:r w:rsidR="00E352B8">
        <w:t xml:space="preserve">e. Version </w:t>
      </w:r>
      <w:r>
        <w:t xml:space="preserve">24).  A comparison is shown in </w:t>
      </w:r>
      <w:r>
        <w:fldChar w:fldCharType="begin"/>
      </w:r>
      <w:r>
        <w:instrText xml:space="preserve"> REF _Ref419195874 \h </w:instrText>
      </w:r>
      <w:r>
        <w:fldChar w:fldCharType="separate"/>
      </w:r>
      <w:r w:rsidR="00014844">
        <w:t xml:space="preserve">Table </w:t>
      </w:r>
      <w:r w:rsidR="00014844">
        <w:rPr>
          <w:noProof/>
        </w:rPr>
        <w:t>3</w:t>
      </w:r>
      <w:r>
        <w:fldChar w:fldCharType="end"/>
      </w:r>
      <w:r>
        <w:t>.</w:t>
      </w:r>
    </w:p>
    <w:p w:rsidR="001E461E" w:rsidRDefault="001E461E" w:rsidP="00A163D9">
      <w:pPr>
        <w:pStyle w:val="Para0"/>
      </w:pPr>
      <w:r>
        <w:t xml:space="preserve">Considering the changes in the market between 2012 and the present, the differences in assumptions such as exchange rate, and likely differences in configurations selected, the AETA data does not suggest that the proposed parameters are inappropriate. Technologies with larger differences have </w:t>
      </w:r>
      <w:r w:rsidR="00106F33">
        <w:t xml:space="preserve">a </w:t>
      </w:r>
      <w:r>
        <w:t>larger</w:t>
      </w:r>
      <w:r w:rsidR="00106F33">
        <w:t xml:space="preserve"> share of</w:t>
      </w:r>
      <w:r>
        <w:t xml:space="preserve"> imported components.</w:t>
      </w:r>
    </w:p>
    <w:p w:rsidR="00A163D9" w:rsidRPr="00952F9C" w:rsidRDefault="00A163D9" w:rsidP="00C622E3">
      <w:pPr>
        <w:pStyle w:val="Caption"/>
        <w:keepLines/>
      </w:pPr>
      <w:bookmarkStart w:id="72" w:name="_Ref419195874"/>
      <w:r>
        <w:t xml:space="preserve">Table </w:t>
      </w:r>
      <w:r>
        <w:fldChar w:fldCharType="begin"/>
      </w:r>
      <w:r>
        <w:instrText xml:space="preserve"> SEQ Table \* ARABIC </w:instrText>
      </w:r>
      <w:r>
        <w:fldChar w:fldCharType="separate"/>
      </w:r>
      <w:r w:rsidR="00014844">
        <w:rPr>
          <w:noProof/>
        </w:rPr>
        <w:t>3</w:t>
      </w:r>
      <w:r>
        <w:fldChar w:fldCharType="end"/>
      </w:r>
      <w:bookmarkEnd w:id="72"/>
      <w:r w:rsidRPr="009038E7">
        <w:t xml:space="preserve">: </w:t>
      </w:r>
      <w:r w:rsidRPr="00952F9C">
        <w:t xml:space="preserve"> </w:t>
      </w:r>
      <w:r>
        <w:t>Selected new technology cost comparisons, including connection and owner’s costs</w:t>
      </w:r>
    </w:p>
    <w:tbl>
      <w:tblPr>
        <w:tblStyle w:val="Table2"/>
        <w:tblpPr w:leftFromText="181" w:rightFromText="181" w:vertAnchor="text" w:tblpX="182" w:tblpY="1"/>
        <w:tblOverlap w:val="never"/>
        <w:tblW w:w="0" w:type="auto"/>
        <w:tblInd w:w="0" w:type="dxa"/>
        <w:tblLook w:val="01E0" w:firstRow="1" w:lastRow="1" w:firstColumn="1" w:lastColumn="1" w:noHBand="0" w:noVBand="0"/>
      </w:tblPr>
      <w:tblGrid>
        <w:gridCol w:w="3202"/>
        <w:gridCol w:w="3202"/>
        <w:gridCol w:w="3202"/>
      </w:tblGrid>
      <w:tr w:rsidR="00CD4298" w:rsidRPr="00952F9C" w:rsidTr="00C622E3">
        <w:trPr>
          <w:cnfStyle w:val="100000000000" w:firstRow="1" w:lastRow="0" w:firstColumn="0" w:lastColumn="0" w:oddVBand="0" w:evenVBand="0" w:oddHBand="0" w:evenHBand="0" w:firstRowFirstColumn="0" w:firstRowLastColumn="0" w:lastRowFirstColumn="0" w:lastRowLastColumn="0"/>
          <w:cantSplit/>
        </w:trPr>
        <w:tc>
          <w:tcPr>
            <w:tcW w:w="3202" w:type="dxa"/>
            <w:shd w:val="clear" w:color="auto" w:fill="002669" w:themeFill="accent6" w:themeFillShade="BF"/>
          </w:tcPr>
          <w:p w:rsidR="00CD4298" w:rsidRPr="00AD1AAF" w:rsidRDefault="00CD4298" w:rsidP="00CD4298">
            <w:pPr>
              <w:pStyle w:val="Tablesmalltext"/>
              <w:rPr>
                <w:color w:val="FFFFFF" w:themeColor="background1"/>
                <w:sz w:val="20"/>
                <w:szCs w:val="20"/>
              </w:rPr>
            </w:pPr>
            <w:r>
              <w:rPr>
                <w:color w:val="FFFFFF" w:themeColor="background1"/>
                <w:sz w:val="20"/>
                <w:szCs w:val="20"/>
              </w:rPr>
              <w:t>Technology</w:t>
            </w:r>
          </w:p>
        </w:tc>
        <w:tc>
          <w:tcPr>
            <w:tcW w:w="3202" w:type="dxa"/>
            <w:shd w:val="clear" w:color="auto" w:fill="002669" w:themeFill="accent6" w:themeFillShade="BF"/>
          </w:tcPr>
          <w:p w:rsidR="00CD4298" w:rsidRDefault="00CD4298" w:rsidP="00CD4298">
            <w:pPr>
              <w:pStyle w:val="Tablesmalltext"/>
              <w:jc w:val="center"/>
              <w:rPr>
                <w:color w:val="FFFFFF" w:themeColor="background1"/>
                <w:sz w:val="20"/>
                <w:szCs w:val="20"/>
              </w:rPr>
            </w:pPr>
            <w:r>
              <w:rPr>
                <w:color w:val="FFFFFF" w:themeColor="background1"/>
                <w:sz w:val="20"/>
                <w:szCs w:val="20"/>
              </w:rPr>
              <w:t>AETA $/kWnet</w:t>
            </w:r>
            <w:r>
              <w:rPr>
                <w:rStyle w:val="FootnoteReference"/>
                <w:color w:val="FFFFFF" w:themeColor="background1"/>
                <w:szCs w:val="20"/>
              </w:rPr>
              <w:footnoteReference w:id="19"/>
            </w:r>
          </w:p>
        </w:tc>
        <w:tc>
          <w:tcPr>
            <w:tcW w:w="3202" w:type="dxa"/>
            <w:shd w:val="clear" w:color="auto" w:fill="002669" w:themeFill="accent6" w:themeFillShade="BF"/>
          </w:tcPr>
          <w:p w:rsidR="00CD4298" w:rsidRPr="00AD1AAF" w:rsidRDefault="00CD4298" w:rsidP="00CD4298">
            <w:pPr>
              <w:pStyle w:val="Tablesmalltext"/>
              <w:jc w:val="center"/>
              <w:rPr>
                <w:color w:val="FFFFFF" w:themeColor="background1"/>
                <w:sz w:val="20"/>
                <w:szCs w:val="20"/>
              </w:rPr>
            </w:pPr>
            <w:r>
              <w:rPr>
                <w:color w:val="FFFFFF" w:themeColor="background1"/>
                <w:sz w:val="20"/>
                <w:szCs w:val="20"/>
              </w:rPr>
              <w:t>Proposed $/kWnet</w:t>
            </w:r>
          </w:p>
        </w:tc>
      </w:tr>
      <w:tr w:rsidR="00CD4298" w:rsidRPr="00952F9C" w:rsidTr="00C622E3">
        <w:trPr>
          <w:cantSplit/>
        </w:trPr>
        <w:tc>
          <w:tcPr>
            <w:tcW w:w="3202" w:type="dxa"/>
          </w:tcPr>
          <w:p w:rsidR="00CD4298" w:rsidRPr="00AD1AAF" w:rsidRDefault="00CD4298" w:rsidP="00CD4298">
            <w:pPr>
              <w:pStyle w:val="Tablesmalltext"/>
              <w:rPr>
                <w:sz w:val="20"/>
                <w:szCs w:val="20"/>
              </w:rPr>
            </w:pPr>
            <w:r>
              <w:rPr>
                <w:sz w:val="20"/>
                <w:szCs w:val="20"/>
              </w:rPr>
              <w:t>Black coal, supercritical</w:t>
            </w:r>
          </w:p>
        </w:tc>
        <w:tc>
          <w:tcPr>
            <w:tcW w:w="3202" w:type="dxa"/>
          </w:tcPr>
          <w:p w:rsidR="00CD4298" w:rsidRPr="00AD1AAF" w:rsidRDefault="00CD4298" w:rsidP="00CD4298">
            <w:pPr>
              <w:pStyle w:val="Tablesmalltext"/>
              <w:jc w:val="center"/>
              <w:rPr>
                <w:sz w:val="20"/>
                <w:szCs w:val="20"/>
              </w:rPr>
            </w:pPr>
            <w:r>
              <w:rPr>
                <w:sz w:val="20"/>
                <w:szCs w:val="20"/>
              </w:rPr>
              <w:t>3,357</w:t>
            </w:r>
          </w:p>
        </w:tc>
        <w:tc>
          <w:tcPr>
            <w:tcW w:w="3202" w:type="dxa"/>
          </w:tcPr>
          <w:p w:rsidR="00CD4298" w:rsidRPr="00AD1AAF" w:rsidRDefault="00CD4298" w:rsidP="00CD4298">
            <w:pPr>
              <w:pStyle w:val="Tablesmalltext"/>
              <w:jc w:val="center"/>
              <w:rPr>
                <w:sz w:val="20"/>
                <w:szCs w:val="20"/>
              </w:rPr>
            </w:pPr>
            <w:r>
              <w:rPr>
                <w:sz w:val="20"/>
                <w:szCs w:val="20"/>
              </w:rPr>
              <w:t>2,966</w:t>
            </w:r>
          </w:p>
        </w:tc>
      </w:tr>
      <w:tr w:rsidR="00CD4298" w:rsidRPr="00952F9C" w:rsidTr="00C622E3">
        <w:trPr>
          <w:cantSplit/>
        </w:trPr>
        <w:tc>
          <w:tcPr>
            <w:tcW w:w="3202" w:type="dxa"/>
          </w:tcPr>
          <w:p w:rsidR="00CD4298" w:rsidRPr="00AD1AAF" w:rsidRDefault="00CD4298" w:rsidP="00CD4298">
            <w:pPr>
              <w:pStyle w:val="Tablesmalltext"/>
              <w:rPr>
                <w:sz w:val="20"/>
                <w:szCs w:val="20"/>
              </w:rPr>
            </w:pPr>
            <w:r>
              <w:rPr>
                <w:sz w:val="20"/>
                <w:szCs w:val="20"/>
              </w:rPr>
              <w:t>Brown coal, supercritical</w:t>
            </w:r>
          </w:p>
        </w:tc>
        <w:tc>
          <w:tcPr>
            <w:tcW w:w="3202" w:type="dxa"/>
          </w:tcPr>
          <w:p w:rsidR="00CD4298" w:rsidRPr="00AD1AAF" w:rsidRDefault="00CD4298" w:rsidP="00CD4298">
            <w:pPr>
              <w:pStyle w:val="Tablesmalltext"/>
              <w:jc w:val="center"/>
              <w:rPr>
                <w:sz w:val="20"/>
                <w:szCs w:val="20"/>
              </w:rPr>
            </w:pPr>
            <w:r>
              <w:rPr>
                <w:sz w:val="20"/>
                <w:szCs w:val="20"/>
              </w:rPr>
              <w:t>4,071</w:t>
            </w:r>
          </w:p>
        </w:tc>
        <w:tc>
          <w:tcPr>
            <w:tcW w:w="3202" w:type="dxa"/>
          </w:tcPr>
          <w:p w:rsidR="00CD4298" w:rsidRPr="00AD1AAF" w:rsidRDefault="00CD4298" w:rsidP="00CD4298">
            <w:pPr>
              <w:pStyle w:val="Tablesmalltext"/>
              <w:jc w:val="center"/>
              <w:rPr>
                <w:sz w:val="20"/>
                <w:szCs w:val="20"/>
              </w:rPr>
            </w:pPr>
            <w:r>
              <w:rPr>
                <w:sz w:val="20"/>
                <w:szCs w:val="20"/>
              </w:rPr>
              <w:t>4,860</w:t>
            </w:r>
          </w:p>
        </w:tc>
      </w:tr>
      <w:tr w:rsidR="00CD4298" w:rsidRPr="00952F9C" w:rsidTr="00C622E3">
        <w:trPr>
          <w:cantSplit/>
        </w:trPr>
        <w:tc>
          <w:tcPr>
            <w:tcW w:w="3202" w:type="dxa"/>
          </w:tcPr>
          <w:p w:rsidR="00CD4298" w:rsidRPr="00AD1AAF" w:rsidRDefault="00CD4298" w:rsidP="00CD4298">
            <w:pPr>
              <w:pStyle w:val="Tablesmalltext"/>
              <w:rPr>
                <w:sz w:val="20"/>
                <w:szCs w:val="20"/>
              </w:rPr>
            </w:pPr>
            <w:r>
              <w:rPr>
                <w:sz w:val="20"/>
                <w:szCs w:val="20"/>
              </w:rPr>
              <w:t>Large CCGT</w:t>
            </w:r>
          </w:p>
        </w:tc>
        <w:tc>
          <w:tcPr>
            <w:tcW w:w="3202" w:type="dxa"/>
          </w:tcPr>
          <w:p w:rsidR="00CD4298" w:rsidRPr="00AD1AAF" w:rsidRDefault="00CD4298" w:rsidP="00CD4298">
            <w:pPr>
              <w:pStyle w:val="Tablesmalltext"/>
              <w:jc w:val="center"/>
              <w:rPr>
                <w:sz w:val="20"/>
                <w:szCs w:val="20"/>
              </w:rPr>
            </w:pPr>
            <w:r>
              <w:rPr>
                <w:sz w:val="20"/>
                <w:szCs w:val="20"/>
              </w:rPr>
              <w:t>1,141</w:t>
            </w:r>
          </w:p>
        </w:tc>
        <w:tc>
          <w:tcPr>
            <w:tcW w:w="3202" w:type="dxa"/>
          </w:tcPr>
          <w:p w:rsidR="00CD4298" w:rsidRPr="00AD1AAF" w:rsidRDefault="00CD4298" w:rsidP="00CD4298">
            <w:pPr>
              <w:pStyle w:val="Tablesmalltext"/>
              <w:jc w:val="center"/>
              <w:rPr>
                <w:sz w:val="20"/>
                <w:szCs w:val="20"/>
              </w:rPr>
            </w:pPr>
            <w:r>
              <w:rPr>
                <w:sz w:val="20"/>
                <w:szCs w:val="20"/>
              </w:rPr>
              <w:t>1,341</w:t>
            </w:r>
          </w:p>
        </w:tc>
      </w:tr>
      <w:tr w:rsidR="00CD4298" w:rsidRPr="00952F9C" w:rsidTr="00C622E3">
        <w:trPr>
          <w:cantSplit/>
        </w:trPr>
        <w:tc>
          <w:tcPr>
            <w:tcW w:w="3202" w:type="dxa"/>
          </w:tcPr>
          <w:p w:rsidR="00CD4298" w:rsidRPr="00AD1AAF" w:rsidRDefault="00CD4298" w:rsidP="00CD4298">
            <w:pPr>
              <w:pStyle w:val="Tablesmalltext"/>
              <w:rPr>
                <w:sz w:val="20"/>
                <w:szCs w:val="20"/>
              </w:rPr>
            </w:pPr>
            <w:r>
              <w:rPr>
                <w:sz w:val="20"/>
                <w:szCs w:val="20"/>
              </w:rPr>
              <w:t>Black coal with carbon capture</w:t>
            </w:r>
          </w:p>
        </w:tc>
        <w:tc>
          <w:tcPr>
            <w:tcW w:w="3202" w:type="dxa"/>
          </w:tcPr>
          <w:p w:rsidR="00CD4298" w:rsidRPr="00AD1AAF" w:rsidRDefault="00CD4298" w:rsidP="00CD4298">
            <w:pPr>
              <w:pStyle w:val="Tablesmalltext"/>
              <w:jc w:val="center"/>
              <w:rPr>
                <w:sz w:val="20"/>
                <w:szCs w:val="20"/>
              </w:rPr>
            </w:pPr>
            <w:r>
              <w:rPr>
                <w:sz w:val="20"/>
                <w:szCs w:val="20"/>
              </w:rPr>
              <w:t>7,877</w:t>
            </w:r>
          </w:p>
        </w:tc>
        <w:tc>
          <w:tcPr>
            <w:tcW w:w="3202" w:type="dxa"/>
          </w:tcPr>
          <w:p w:rsidR="00CD4298" w:rsidRPr="00AD1AAF" w:rsidRDefault="00CD4298" w:rsidP="00CD4298">
            <w:pPr>
              <w:pStyle w:val="Tablesmalltext"/>
              <w:jc w:val="center"/>
              <w:rPr>
                <w:sz w:val="20"/>
                <w:szCs w:val="20"/>
              </w:rPr>
            </w:pPr>
            <w:r>
              <w:rPr>
                <w:sz w:val="20"/>
                <w:szCs w:val="20"/>
              </w:rPr>
              <w:t>6,665</w:t>
            </w:r>
          </w:p>
        </w:tc>
      </w:tr>
      <w:tr w:rsidR="00CD4298" w:rsidRPr="00952F9C" w:rsidTr="00C622E3">
        <w:trPr>
          <w:cantSplit/>
        </w:trPr>
        <w:tc>
          <w:tcPr>
            <w:tcW w:w="3202" w:type="dxa"/>
          </w:tcPr>
          <w:p w:rsidR="00CD4298" w:rsidRPr="00AD1AAF" w:rsidRDefault="00CD4298" w:rsidP="00CD4298">
            <w:pPr>
              <w:pStyle w:val="Tablesmalltext"/>
              <w:rPr>
                <w:sz w:val="20"/>
                <w:szCs w:val="20"/>
              </w:rPr>
            </w:pPr>
            <w:r>
              <w:rPr>
                <w:sz w:val="20"/>
                <w:szCs w:val="20"/>
              </w:rPr>
              <w:t>Wind</w:t>
            </w:r>
          </w:p>
        </w:tc>
        <w:tc>
          <w:tcPr>
            <w:tcW w:w="3202" w:type="dxa"/>
          </w:tcPr>
          <w:p w:rsidR="00CD4298" w:rsidRPr="00AD1AAF" w:rsidRDefault="00CD4298" w:rsidP="00CD4298">
            <w:pPr>
              <w:pStyle w:val="Tablesmalltext"/>
              <w:jc w:val="center"/>
              <w:rPr>
                <w:sz w:val="20"/>
                <w:szCs w:val="20"/>
              </w:rPr>
            </w:pPr>
            <w:r>
              <w:rPr>
                <w:sz w:val="20"/>
                <w:szCs w:val="20"/>
              </w:rPr>
              <w:t>2,719</w:t>
            </w:r>
          </w:p>
        </w:tc>
        <w:tc>
          <w:tcPr>
            <w:tcW w:w="3202" w:type="dxa"/>
          </w:tcPr>
          <w:p w:rsidR="00CD4298" w:rsidRPr="00AD1AAF" w:rsidRDefault="00CD4298" w:rsidP="00CD4298">
            <w:pPr>
              <w:pStyle w:val="Tablesmalltext"/>
              <w:jc w:val="center"/>
              <w:rPr>
                <w:sz w:val="20"/>
                <w:szCs w:val="20"/>
              </w:rPr>
            </w:pPr>
            <w:r>
              <w:rPr>
                <w:sz w:val="20"/>
                <w:szCs w:val="20"/>
              </w:rPr>
              <w:t>2,400</w:t>
            </w:r>
          </w:p>
        </w:tc>
      </w:tr>
      <w:tr w:rsidR="00CD4298" w:rsidRPr="00952F9C" w:rsidTr="00C622E3">
        <w:trPr>
          <w:cantSplit/>
        </w:trPr>
        <w:tc>
          <w:tcPr>
            <w:tcW w:w="3202" w:type="dxa"/>
          </w:tcPr>
          <w:p w:rsidR="00CD4298" w:rsidRPr="00916D89" w:rsidDel="0091735E" w:rsidRDefault="00CD4298" w:rsidP="00CD4298">
            <w:pPr>
              <w:pStyle w:val="Tablesmalltext"/>
              <w:rPr>
                <w:sz w:val="20"/>
                <w:szCs w:val="20"/>
              </w:rPr>
            </w:pPr>
            <w:r w:rsidRPr="00916D89">
              <w:rPr>
                <w:sz w:val="20"/>
                <w:szCs w:val="20"/>
              </w:rPr>
              <w:t>Large-scale PV (net AC basis)</w:t>
            </w:r>
            <w:r>
              <w:rPr>
                <w:sz w:val="20"/>
                <w:szCs w:val="20"/>
              </w:rPr>
              <w:t>*</w:t>
            </w:r>
          </w:p>
        </w:tc>
        <w:tc>
          <w:tcPr>
            <w:tcW w:w="3202" w:type="dxa"/>
          </w:tcPr>
          <w:p w:rsidR="00CD4298" w:rsidRPr="00916D89" w:rsidRDefault="00CD4298" w:rsidP="00CD4298">
            <w:pPr>
              <w:pStyle w:val="Tablesmalltext"/>
              <w:jc w:val="center"/>
              <w:rPr>
                <w:sz w:val="20"/>
                <w:szCs w:val="20"/>
              </w:rPr>
            </w:pPr>
            <w:r w:rsidRPr="00916D89">
              <w:rPr>
                <w:sz w:val="20"/>
                <w:szCs w:val="20"/>
              </w:rPr>
              <w:t>3,</w:t>
            </w:r>
            <w:r>
              <w:rPr>
                <w:sz w:val="20"/>
                <w:szCs w:val="20"/>
              </w:rPr>
              <w:t>6</w:t>
            </w:r>
            <w:r w:rsidRPr="00916D89">
              <w:rPr>
                <w:sz w:val="20"/>
                <w:szCs w:val="20"/>
              </w:rPr>
              <w:t>3</w:t>
            </w:r>
            <w:r>
              <w:rPr>
                <w:sz w:val="20"/>
                <w:szCs w:val="20"/>
              </w:rPr>
              <w:t>2</w:t>
            </w:r>
          </w:p>
        </w:tc>
        <w:tc>
          <w:tcPr>
            <w:tcW w:w="3202" w:type="dxa"/>
          </w:tcPr>
          <w:p w:rsidR="00CD4298" w:rsidRPr="00916D89" w:rsidRDefault="00CD4298" w:rsidP="00CD4298">
            <w:pPr>
              <w:pStyle w:val="Tablesmalltext"/>
              <w:jc w:val="center"/>
              <w:rPr>
                <w:sz w:val="20"/>
                <w:szCs w:val="20"/>
              </w:rPr>
            </w:pPr>
            <w:r w:rsidRPr="00916D89">
              <w:rPr>
                <w:sz w:val="20"/>
                <w:szCs w:val="20"/>
              </w:rPr>
              <w:t>2,987</w:t>
            </w:r>
          </w:p>
        </w:tc>
      </w:tr>
      <w:tr w:rsidR="00CD4298" w:rsidRPr="00952F9C" w:rsidTr="00C622E3">
        <w:trPr>
          <w:cantSplit/>
        </w:trPr>
        <w:tc>
          <w:tcPr>
            <w:tcW w:w="3202" w:type="dxa"/>
          </w:tcPr>
          <w:p w:rsidR="00CD4298" w:rsidRDefault="00CD4298" w:rsidP="00CD4298">
            <w:pPr>
              <w:pStyle w:val="Tablesmalltext"/>
              <w:rPr>
                <w:sz w:val="20"/>
                <w:szCs w:val="20"/>
              </w:rPr>
            </w:pPr>
            <w:r>
              <w:rPr>
                <w:sz w:val="20"/>
                <w:szCs w:val="20"/>
              </w:rPr>
              <w:t>Concentrated solar thermal with storage</w:t>
            </w:r>
          </w:p>
        </w:tc>
        <w:tc>
          <w:tcPr>
            <w:tcW w:w="3202" w:type="dxa"/>
          </w:tcPr>
          <w:p w:rsidR="00CD4298" w:rsidRPr="00AD1AAF" w:rsidRDefault="00CD4298" w:rsidP="00CD4298">
            <w:pPr>
              <w:pStyle w:val="Tablesmalltext"/>
              <w:jc w:val="center"/>
              <w:rPr>
                <w:sz w:val="20"/>
                <w:szCs w:val="20"/>
              </w:rPr>
            </w:pPr>
            <w:r>
              <w:rPr>
                <w:sz w:val="20"/>
                <w:szCs w:val="20"/>
              </w:rPr>
              <w:t>8,928</w:t>
            </w:r>
          </w:p>
        </w:tc>
        <w:tc>
          <w:tcPr>
            <w:tcW w:w="3202" w:type="dxa"/>
          </w:tcPr>
          <w:p w:rsidR="00CD4298" w:rsidRPr="00AD1AAF" w:rsidRDefault="00CD4298" w:rsidP="00CD4298">
            <w:pPr>
              <w:pStyle w:val="Tablesmalltext"/>
              <w:jc w:val="center"/>
              <w:rPr>
                <w:sz w:val="20"/>
                <w:szCs w:val="20"/>
              </w:rPr>
            </w:pPr>
            <w:r>
              <w:rPr>
                <w:sz w:val="20"/>
                <w:szCs w:val="20"/>
              </w:rPr>
              <w:t>9,500</w:t>
            </w:r>
          </w:p>
        </w:tc>
      </w:tr>
      <w:tr w:rsidR="00CD4298" w:rsidRPr="00952F9C" w:rsidTr="00C622E3">
        <w:trPr>
          <w:cantSplit/>
        </w:trPr>
        <w:tc>
          <w:tcPr>
            <w:tcW w:w="3202" w:type="dxa"/>
          </w:tcPr>
          <w:p w:rsidR="00CD4298" w:rsidRDefault="00CD4298" w:rsidP="00CD4298">
            <w:pPr>
              <w:pStyle w:val="Tablesmalltext"/>
              <w:rPr>
                <w:sz w:val="20"/>
                <w:szCs w:val="20"/>
              </w:rPr>
            </w:pPr>
            <w:r>
              <w:rPr>
                <w:sz w:val="20"/>
                <w:szCs w:val="20"/>
              </w:rPr>
              <w:t>Geothermal (hydrothermal)</w:t>
            </w:r>
          </w:p>
        </w:tc>
        <w:tc>
          <w:tcPr>
            <w:tcW w:w="3202" w:type="dxa"/>
          </w:tcPr>
          <w:p w:rsidR="00CD4298" w:rsidRDefault="00CD4298" w:rsidP="00CD4298">
            <w:pPr>
              <w:pStyle w:val="Tablesmalltext"/>
              <w:jc w:val="center"/>
              <w:rPr>
                <w:sz w:val="20"/>
                <w:szCs w:val="20"/>
              </w:rPr>
            </w:pPr>
            <w:r>
              <w:rPr>
                <w:sz w:val="20"/>
                <w:szCs w:val="20"/>
              </w:rPr>
              <w:t>7,522</w:t>
            </w:r>
          </w:p>
        </w:tc>
        <w:tc>
          <w:tcPr>
            <w:tcW w:w="3202" w:type="dxa"/>
          </w:tcPr>
          <w:p w:rsidR="00CD4298" w:rsidRPr="00AD1AAF" w:rsidRDefault="00CD4298" w:rsidP="00CD4298">
            <w:pPr>
              <w:pStyle w:val="Tablesmalltext"/>
              <w:jc w:val="center"/>
              <w:rPr>
                <w:sz w:val="20"/>
                <w:szCs w:val="20"/>
              </w:rPr>
            </w:pPr>
            <w:r>
              <w:rPr>
                <w:sz w:val="20"/>
                <w:szCs w:val="20"/>
              </w:rPr>
              <w:t>6,500</w:t>
            </w:r>
          </w:p>
        </w:tc>
      </w:tr>
      <w:tr w:rsidR="00CD4298" w:rsidRPr="00952F9C" w:rsidTr="00C622E3">
        <w:trPr>
          <w:cantSplit/>
        </w:trPr>
        <w:tc>
          <w:tcPr>
            <w:tcW w:w="3202" w:type="dxa"/>
          </w:tcPr>
          <w:p w:rsidR="00CD4298" w:rsidRDefault="00CD4298" w:rsidP="00CD4298">
            <w:pPr>
              <w:pStyle w:val="Tablesmalltext"/>
              <w:rPr>
                <w:sz w:val="20"/>
                <w:szCs w:val="20"/>
              </w:rPr>
            </w:pPr>
            <w:r>
              <w:rPr>
                <w:sz w:val="20"/>
                <w:szCs w:val="20"/>
              </w:rPr>
              <w:t>Nuclear</w:t>
            </w:r>
          </w:p>
        </w:tc>
        <w:tc>
          <w:tcPr>
            <w:tcW w:w="3202" w:type="dxa"/>
          </w:tcPr>
          <w:p w:rsidR="00CD4298" w:rsidRDefault="00CD4298" w:rsidP="00CD4298">
            <w:pPr>
              <w:pStyle w:val="Tablesmalltext"/>
              <w:jc w:val="center"/>
              <w:rPr>
                <w:sz w:val="20"/>
                <w:szCs w:val="20"/>
              </w:rPr>
            </w:pPr>
            <w:r>
              <w:rPr>
                <w:sz w:val="20"/>
                <w:szCs w:val="20"/>
              </w:rPr>
              <w:t>3,729</w:t>
            </w:r>
            <w:r>
              <w:rPr>
                <w:rStyle w:val="FootnoteReference"/>
                <w:szCs w:val="20"/>
              </w:rPr>
              <w:footnoteReference w:id="20"/>
            </w:r>
          </w:p>
        </w:tc>
        <w:tc>
          <w:tcPr>
            <w:tcW w:w="3202" w:type="dxa"/>
          </w:tcPr>
          <w:p w:rsidR="00CD4298" w:rsidRPr="00AD1AAF" w:rsidRDefault="00CD4298" w:rsidP="00CD4298">
            <w:pPr>
              <w:pStyle w:val="Tablesmalltext"/>
              <w:jc w:val="center"/>
              <w:rPr>
                <w:sz w:val="20"/>
                <w:szCs w:val="20"/>
              </w:rPr>
            </w:pPr>
            <w:r>
              <w:rPr>
                <w:sz w:val="20"/>
                <w:szCs w:val="20"/>
              </w:rPr>
              <w:t>5,140</w:t>
            </w:r>
          </w:p>
        </w:tc>
      </w:tr>
    </w:tbl>
    <w:p w:rsidR="00916D89" w:rsidRDefault="00916D89" w:rsidP="00AA2979">
      <w:pPr>
        <w:pStyle w:val="Para0"/>
        <w:spacing w:before="0" w:after="0"/>
        <w:rPr>
          <w:sz w:val="16"/>
          <w:szCs w:val="16"/>
        </w:rPr>
      </w:pPr>
      <w:r>
        <w:rPr>
          <w:sz w:val="16"/>
          <w:szCs w:val="16"/>
        </w:rPr>
        <w:t>* Note: $/kW costs for PV are usually quoted on a DC basis. We have applied a DC to AC conversion factor</w:t>
      </w:r>
      <w:r w:rsidR="00AA2979">
        <w:rPr>
          <w:sz w:val="16"/>
          <w:szCs w:val="16"/>
        </w:rPr>
        <w:t xml:space="preserve"> which makes the PV </w:t>
      </w:r>
      <w:r>
        <w:rPr>
          <w:sz w:val="16"/>
          <w:szCs w:val="16"/>
        </w:rPr>
        <w:t xml:space="preserve">costs </w:t>
      </w:r>
      <w:r w:rsidR="00AA2979">
        <w:rPr>
          <w:sz w:val="16"/>
          <w:szCs w:val="16"/>
        </w:rPr>
        <w:t>comparable to other large-scale technologies.</w:t>
      </w:r>
    </w:p>
    <w:p w:rsidR="00414BBA" w:rsidRPr="0086051E" w:rsidRDefault="00414BBA" w:rsidP="00AA2979">
      <w:pPr>
        <w:pStyle w:val="Para0"/>
        <w:spacing w:before="0" w:after="0"/>
        <w:rPr>
          <w:sz w:val="16"/>
          <w:szCs w:val="16"/>
        </w:rPr>
      </w:pPr>
      <w:r w:rsidRPr="00AE73CA">
        <w:rPr>
          <w:sz w:val="16"/>
          <w:szCs w:val="16"/>
        </w:rPr>
        <w:t xml:space="preserve">Source: </w:t>
      </w:r>
      <w:proofErr w:type="gramStart"/>
      <w:r w:rsidRPr="00AE73CA">
        <w:rPr>
          <w:sz w:val="16"/>
          <w:szCs w:val="16"/>
        </w:rPr>
        <w:t>Jacobs</w:t>
      </w:r>
      <w:proofErr w:type="gramEnd"/>
      <w:r w:rsidRPr="00AE73CA">
        <w:rPr>
          <w:sz w:val="16"/>
          <w:szCs w:val="16"/>
        </w:rPr>
        <w:t xml:space="preserve"> analysis</w:t>
      </w:r>
      <w:r>
        <w:rPr>
          <w:sz w:val="16"/>
          <w:szCs w:val="16"/>
        </w:rPr>
        <w:t>, AETA 2012</w:t>
      </w:r>
    </w:p>
    <w:p w:rsidR="0086051E" w:rsidRDefault="0086051E" w:rsidP="0086051E">
      <w:pPr>
        <w:pStyle w:val="Caption"/>
      </w:pPr>
      <w:r>
        <w:t xml:space="preserve">Table </w:t>
      </w:r>
      <w:r>
        <w:fldChar w:fldCharType="begin"/>
      </w:r>
      <w:r>
        <w:instrText xml:space="preserve"> SEQ Table \* ARABIC </w:instrText>
      </w:r>
      <w:r>
        <w:fldChar w:fldCharType="separate"/>
      </w:r>
      <w:r w:rsidR="00014844">
        <w:rPr>
          <w:noProof/>
        </w:rPr>
        <w:t>4</w:t>
      </w:r>
      <w:r>
        <w:fldChar w:fldCharType="end"/>
      </w:r>
      <w:r>
        <w:t>: Technology cost assumptions for storage by scale</w:t>
      </w:r>
    </w:p>
    <w:tbl>
      <w:tblPr>
        <w:tblStyle w:val="Table2"/>
        <w:tblpPr w:leftFromText="180" w:rightFromText="180" w:vertAnchor="text" w:tblpX="182" w:tblpY="1"/>
        <w:tblW w:w="0" w:type="auto"/>
        <w:tblInd w:w="0" w:type="dxa"/>
        <w:tblLook w:val="01E0" w:firstRow="1" w:lastRow="1" w:firstColumn="1" w:lastColumn="1" w:noHBand="0" w:noVBand="0"/>
      </w:tblPr>
      <w:tblGrid>
        <w:gridCol w:w="3202"/>
        <w:gridCol w:w="3202"/>
      </w:tblGrid>
      <w:tr w:rsidR="0086051E" w:rsidRPr="00952F9C" w:rsidTr="0086051E">
        <w:trPr>
          <w:cnfStyle w:val="100000000000" w:firstRow="1" w:lastRow="0" w:firstColumn="0" w:lastColumn="0" w:oddVBand="0" w:evenVBand="0" w:oddHBand="0" w:evenHBand="0" w:firstRowFirstColumn="0" w:firstRowLastColumn="0" w:lastRowFirstColumn="0" w:lastRowLastColumn="0"/>
        </w:trPr>
        <w:tc>
          <w:tcPr>
            <w:tcW w:w="3202" w:type="dxa"/>
            <w:shd w:val="clear" w:color="auto" w:fill="002669" w:themeFill="accent6" w:themeFillShade="BF"/>
          </w:tcPr>
          <w:p w:rsidR="0086051E" w:rsidRPr="00AD1AAF" w:rsidRDefault="0086051E" w:rsidP="0086051E">
            <w:pPr>
              <w:pStyle w:val="Tablesmalltext"/>
              <w:rPr>
                <w:color w:val="FFFFFF" w:themeColor="background1"/>
                <w:sz w:val="20"/>
                <w:szCs w:val="20"/>
              </w:rPr>
            </w:pPr>
            <w:r>
              <w:rPr>
                <w:color w:val="FFFFFF" w:themeColor="background1"/>
                <w:sz w:val="20"/>
                <w:szCs w:val="20"/>
              </w:rPr>
              <w:t>Technology</w:t>
            </w:r>
          </w:p>
        </w:tc>
        <w:tc>
          <w:tcPr>
            <w:tcW w:w="3202" w:type="dxa"/>
            <w:shd w:val="clear" w:color="auto" w:fill="002669" w:themeFill="accent6" w:themeFillShade="BF"/>
          </w:tcPr>
          <w:p w:rsidR="0086051E" w:rsidRPr="00AD1AAF" w:rsidRDefault="0004220A" w:rsidP="0086051E">
            <w:pPr>
              <w:pStyle w:val="Tablesmalltext"/>
              <w:jc w:val="center"/>
              <w:rPr>
                <w:color w:val="FFFFFF" w:themeColor="background1"/>
                <w:sz w:val="20"/>
                <w:szCs w:val="20"/>
              </w:rPr>
            </w:pPr>
            <w:r>
              <w:rPr>
                <w:color w:val="FFFFFF" w:themeColor="background1"/>
                <w:sz w:val="20"/>
                <w:szCs w:val="20"/>
              </w:rPr>
              <w:t>Proposed $/M</w:t>
            </w:r>
            <w:r w:rsidR="0086051E">
              <w:rPr>
                <w:color w:val="FFFFFF" w:themeColor="background1"/>
                <w:sz w:val="20"/>
                <w:szCs w:val="20"/>
              </w:rPr>
              <w:t>Wh net</w:t>
            </w:r>
          </w:p>
        </w:tc>
      </w:tr>
      <w:tr w:rsidR="0086051E" w:rsidRPr="00952F9C" w:rsidTr="0004220A">
        <w:tc>
          <w:tcPr>
            <w:tcW w:w="3202" w:type="dxa"/>
            <w:shd w:val="clear" w:color="auto" w:fill="auto"/>
          </w:tcPr>
          <w:p w:rsidR="0086051E" w:rsidRPr="0004220A" w:rsidRDefault="0086051E" w:rsidP="00A8431E">
            <w:pPr>
              <w:pStyle w:val="Tablesmalltext"/>
              <w:rPr>
                <w:sz w:val="20"/>
                <w:szCs w:val="20"/>
              </w:rPr>
            </w:pPr>
            <w:r w:rsidRPr="0004220A">
              <w:rPr>
                <w:sz w:val="20"/>
                <w:szCs w:val="20"/>
              </w:rPr>
              <w:t>Small-scale storage</w:t>
            </w:r>
          </w:p>
        </w:tc>
        <w:tc>
          <w:tcPr>
            <w:tcW w:w="3202" w:type="dxa"/>
            <w:shd w:val="clear" w:color="auto" w:fill="auto"/>
          </w:tcPr>
          <w:p w:rsidR="0086051E" w:rsidRPr="0004220A" w:rsidRDefault="0004220A" w:rsidP="00A163D9">
            <w:pPr>
              <w:pStyle w:val="Tablesmalltext"/>
              <w:jc w:val="center"/>
              <w:rPr>
                <w:sz w:val="20"/>
                <w:szCs w:val="20"/>
              </w:rPr>
            </w:pPr>
            <w:r>
              <w:rPr>
                <w:sz w:val="20"/>
                <w:szCs w:val="20"/>
              </w:rPr>
              <w:t>325</w:t>
            </w:r>
          </w:p>
        </w:tc>
      </w:tr>
      <w:tr w:rsidR="0086051E" w:rsidRPr="00952F9C" w:rsidTr="0004220A">
        <w:tc>
          <w:tcPr>
            <w:tcW w:w="3202" w:type="dxa"/>
            <w:shd w:val="clear" w:color="auto" w:fill="auto"/>
          </w:tcPr>
          <w:p w:rsidR="0086051E" w:rsidRPr="0004220A" w:rsidRDefault="0086051E" w:rsidP="00A163D9">
            <w:pPr>
              <w:pStyle w:val="Tablesmalltext"/>
              <w:rPr>
                <w:sz w:val="20"/>
                <w:szCs w:val="20"/>
              </w:rPr>
            </w:pPr>
            <w:r w:rsidRPr="0004220A">
              <w:rPr>
                <w:sz w:val="20"/>
                <w:szCs w:val="20"/>
              </w:rPr>
              <w:t>Large-scale storage</w:t>
            </w:r>
          </w:p>
        </w:tc>
        <w:tc>
          <w:tcPr>
            <w:tcW w:w="3202" w:type="dxa"/>
            <w:shd w:val="clear" w:color="auto" w:fill="auto"/>
          </w:tcPr>
          <w:p w:rsidR="0086051E" w:rsidRPr="0004220A" w:rsidRDefault="002A36AC" w:rsidP="00A163D9">
            <w:pPr>
              <w:pStyle w:val="Tablesmalltext"/>
              <w:jc w:val="center"/>
              <w:rPr>
                <w:sz w:val="20"/>
                <w:szCs w:val="20"/>
              </w:rPr>
            </w:pPr>
            <w:r>
              <w:rPr>
                <w:sz w:val="20"/>
                <w:szCs w:val="20"/>
              </w:rPr>
              <w:t>293</w:t>
            </w:r>
          </w:p>
        </w:tc>
      </w:tr>
    </w:tbl>
    <w:p w:rsidR="0086051E" w:rsidRDefault="0086051E" w:rsidP="00A163D9">
      <w:pPr>
        <w:pStyle w:val="Para0"/>
        <w:rPr>
          <w:sz w:val="16"/>
          <w:szCs w:val="16"/>
        </w:rPr>
      </w:pPr>
    </w:p>
    <w:p w:rsidR="0086051E" w:rsidRDefault="0086051E" w:rsidP="00A163D9">
      <w:pPr>
        <w:pStyle w:val="Para0"/>
        <w:rPr>
          <w:sz w:val="16"/>
          <w:szCs w:val="16"/>
        </w:rPr>
      </w:pPr>
    </w:p>
    <w:p w:rsidR="00E352B8" w:rsidRPr="0086051E" w:rsidRDefault="00E352B8" w:rsidP="00A163D9">
      <w:pPr>
        <w:pStyle w:val="Para0"/>
        <w:rPr>
          <w:sz w:val="16"/>
          <w:szCs w:val="16"/>
        </w:rPr>
      </w:pPr>
      <w:r w:rsidRPr="00AE73CA">
        <w:rPr>
          <w:sz w:val="16"/>
          <w:szCs w:val="16"/>
        </w:rPr>
        <w:t xml:space="preserve">Source: </w:t>
      </w:r>
      <w:proofErr w:type="gramStart"/>
      <w:r w:rsidRPr="00AE73CA">
        <w:rPr>
          <w:sz w:val="16"/>
          <w:szCs w:val="16"/>
        </w:rPr>
        <w:t>Jacobs</w:t>
      </w:r>
      <w:proofErr w:type="gramEnd"/>
      <w:r w:rsidRPr="00AE73CA">
        <w:rPr>
          <w:sz w:val="16"/>
          <w:szCs w:val="16"/>
        </w:rPr>
        <w:t xml:space="preserve"> analysis</w:t>
      </w:r>
    </w:p>
    <w:p w:rsidR="00A163D9" w:rsidRDefault="00A163D9" w:rsidP="00A163D9">
      <w:pPr>
        <w:pStyle w:val="Para0"/>
      </w:pPr>
      <w:r>
        <w:t xml:space="preserve">Trends observed by Jacobs over time in the estimated costs of the main fossil fuel plant types considered in the Australian market are shown in </w:t>
      </w:r>
      <w:r>
        <w:fldChar w:fldCharType="begin"/>
      </w:r>
      <w:r>
        <w:instrText xml:space="preserve"> REF _Ref419197879 \h </w:instrText>
      </w:r>
      <w:r>
        <w:fldChar w:fldCharType="separate"/>
      </w:r>
      <w:r w:rsidR="00014844">
        <w:t xml:space="preserve">Figure </w:t>
      </w:r>
      <w:r w:rsidR="00014844">
        <w:rPr>
          <w:noProof/>
        </w:rPr>
        <w:t>4</w:t>
      </w:r>
      <w:r>
        <w:fldChar w:fldCharType="end"/>
      </w:r>
      <w:r>
        <w:t>.  It is notable that whereas prior to 2005 the estimated capital costs were stable over a long period of time, subsequently the costs have been volatile and influenced by significant shifts in the global market consequent on the minerals and petroleum boom period leading up to the GFC and the period subsequent to the GFC with a depressed global market for new power plant sal</w:t>
      </w:r>
      <w:r w:rsidR="00455559">
        <w:t>es and volatile exchange rates.</w:t>
      </w:r>
    </w:p>
    <w:p w:rsidR="00A163D9" w:rsidRDefault="00A163D9" w:rsidP="00A163D9">
      <w:pPr>
        <w:pStyle w:val="Caption"/>
        <w:rPr>
          <w:noProof/>
        </w:rPr>
      </w:pPr>
      <w:bookmarkStart w:id="73" w:name="_Ref419197879"/>
      <w:r>
        <w:lastRenderedPageBreak/>
        <w:t xml:space="preserve">Figure </w:t>
      </w:r>
      <w:r>
        <w:fldChar w:fldCharType="begin"/>
      </w:r>
      <w:r>
        <w:instrText xml:space="preserve"> SEQ Figure \* ARABIC </w:instrText>
      </w:r>
      <w:r>
        <w:fldChar w:fldCharType="separate"/>
      </w:r>
      <w:r w:rsidR="00014844">
        <w:rPr>
          <w:noProof/>
        </w:rPr>
        <w:t>4</w:t>
      </w:r>
      <w:r>
        <w:fldChar w:fldCharType="end"/>
      </w:r>
      <w:bookmarkEnd w:id="73"/>
      <w:r>
        <w:t xml:space="preserve"> Trends in power plant </w:t>
      </w:r>
      <w:r>
        <w:rPr>
          <w:noProof/>
        </w:rPr>
        <w:t>EPC costs in Australia</w:t>
      </w:r>
      <w:r>
        <w:rPr>
          <w:rStyle w:val="FootnoteReference"/>
          <w:noProof/>
        </w:rPr>
        <w:footnoteReference w:id="21"/>
      </w:r>
    </w:p>
    <w:p w:rsidR="00AE73CA" w:rsidRDefault="00392E3A" w:rsidP="0086051E">
      <w:pPr>
        <w:pStyle w:val="Para0"/>
      </w:pPr>
      <w:r>
        <w:rPr>
          <w:noProof/>
          <w:lang w:eastAsia="en-AU"/>
        </w:rPr>
        <w:drawing>
          <wp:inline distT="0" distB="0" distL="0" distR="0" wp14:anchorId="4DBA3FEF" wp14:editId="7D3395E7">
            <wp:extent cx="6296660" cy="381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660" cy="3813720"/>
                    </a:xfrm>
                    <a:prstGeom prst="rect">
                      <a:avLst/>
                    </a:prstGeom>
                    <a:noFill/>
                  </pic:spPr>
                </pic:pic>
              </a:graphicData>
            </a:graphic>
          </wp:inline>
        </w:drawing>
      </w:r>
    </w:p>
    <w:p w:rsidR="00AE73CA" w:rsidRPr="0086051E" w:rsidRDefault="00AE73CA" w:rsidP="0086051E">
      <w:pPr>
        <w:pStyle w:val="Para0"/>
        <w:rPr>
          <w:sz w:val="16"/>
          <w:szCs w:val="16"/>
        </w:rPr>
      </w:pPr>
      <w:r>
        <w:rPr>
          <w:sz w:val="16"/>
          <w:szCs w:val="16"/>
        </w:rPr>
        <w:t>Source: Jacobs’ database</w:t>
      </w:r>
    </w:p>
    <w:p w:rsidR="00A163D9" w:rsidRPr="00B576F7" w:rsidRDefault="00A163D9" w:rsidP="00A163D9">
      <w:pPr>
        <w:pStyle w:val="Heading4"/>
      </w:pPr>
      <w:bookmarkStart w:id="74" w:name="_Toc420660063"/>
      <w:r w:rsidRPr="00B576F7">
        <w:t>Learning rates</w:t>
      </w:r>
      <w:bookmarkEnd w:id="74"/>
    </w:p>
    <w:p w:rsidR="00BE1454" w:rsidRDefault="00BE1454" w:rsidP="00A163D9">
      <w:pPr>
        <w:pStyle w:val="Para0"/>
      </w:pPr>
      <w:r>
        <w:t xml:space="preserve">Learning rates represent the impact that rapid adoption of new technologies has </w:t>
      </w:r>
      <w:r w:rsidR="0086051E">
        <w:t xml:space="preserve">in lowering </w:t>
      </w:r>
      <w:r>
        <w:t>future installation costs</w:t>
      </w:r>
      <w:r w:rsidR="00A163D9" w:rsidRPr="00BE1454">
        <w:t xml:space="preserve">. </w:t>
      </w:r>
      <w:r w:rsidR="00775634">
        <w:t>Typicall</w:t>
      </w:r>
      <w:r>
        <w:t xml:space="preserve">y, the first plant of any new technology may be over engineered to ensure successful operation – as </w:t>
      </w:r>
      <w:r w:rsidR="00775634">
        <w:t>installation and operating time increases, people learn how to reengineer the technology and reduce costs of installation (or of operation).</w:t>
      </w:r>
    </w:p>
    <w:p w:rsidR="00A163D9" w:rsidRDefault="00A163D9" w:rsidP="00A163D9">
      <w:pPr>
        <w:pStyle w:val="Para0"/>
      </w:pPr>
      <w:r w:rsidRPr="00BE1454">
        <w:t>Rates are considered in two parts.  First learning rates are applied as a</w:t>
      </w:r>
      <w:r>
        <w:t xml:space="preserve"> result of uptake of generation technologies due to global action. This means that, other things equal:</w:t>
      </w:r>
    </w:p>
    <w:p w:rsidR="00A163D9" w:rsidRDefault="00A163D9" w:rsidP="00074833">
      <w:pPr>
        <w:pStyle w:val="Para0bullet"/>
      </w:pPr>
      <w:r>
        <w:t>Faster rates of global deployment reduce the per-unit costs of a technology more rapidly, and</w:t>
      </w:r>
    </w:p>
    <w:p w:rsidR="00A163D9" w:rsidRDefault="00A163D9" w:rsidP="00074833">
      <w:pPr>
        <w:pStyle w:val="Para0bullet"/>
      </w:pPr>
      <w:r>
        <w:t xml:space="preserve">The per-unit technology costs at a given time will depend on the learning rate for the technology and the cumulative amount of globally deployed capacity. </w:t>
      </w:r>
    </w:p>
    <w:p w:rsidR="00A163D9" w:rsidRDefault="00A163D9" w:rsidP="00A163D9">
      <w:pPr>
        <w:pStyle w:val="Para0"/>
      </w:pPr>
      <w:r>
        <w:t xml:space="preserve">For this exercise, learning rates are sourced from the </w:t>
      </w:r>
      <w:r w:rsidR="00E352B8">
        <w:t>international literature</w:t>
      </w:r>
      <w:r w:rsidR="00E352B8">
        <w:rPr>
          <w:rStyle w:val="FootnoteReference"/>
        </w:rPr>
        <w:footnoteReference w:id="22"/>
      </w:r>
      <w:r>
        <w:t xml:space="preserve">, </w:t>
      </w:r>
      <w:r w:rsidR="00E352B8">
        <w:t>adjusted for projected</w:t>
      </w:r>
      <w:r>
        <w:t xml:space="preserve"> global deployment rates consistent with strong global action to reduce emissions</w:t>
      </w:r>
      <w:r w:rsidR="00E352B8" w:rsidRPr="00E352B8">
        <w:t xml:space="preserve"> </w:t>
      </w:r>
      <w:r w:rsidR="00E352B8">
        <w:t>as sourced from the IEA</w:t>
      </w:r>
      <w:r w:rsidR="00AE73CA">
        <w:rPr>
          <w:rStyle w:val="FootnoteReference"/>
        </w:rPr>
        <w:footnoteReference w:id="23"/>
      </w:r>
      <w:r>
        <w:t xml:space="preserve">.  These values are applied to </w:t>
      </w:r>
      <w:r w:rsidR="0086051E">
        <w:t xml:space="preserve">the </w:t>
      </w:r>
      <w:r>
        <w:t>equivalent of the equipment costs, which typically comprises 50% to 70% of total capital costs.  The learning rates are shown in Appendix D (as capital cost de-escalators)</w:t>
      </w:r>
      <w:r w:rsidR="00775634">
        <w:t>, which are based on strong global action to curb emissions - that is, a reasonably rapid rate of deployment globally</w:t>
      </w:r>
      <w:r>
        <w:t xml:space="preserve">.  </w:t>
      </w:r>
    </w:p>
    <w:p w:rsidR="00A163D9" w:rsidRPr="00A163D9" w:rsidRDefault="00A163D9" w:rsidP="0086051E">
      <w:pPr>
        <w:pStyle w:val="Para0"/>
      </w:pPr>
      <w:r>
        <w:t xml:space="preserve">Second, learning rates are applied to the domestic component of these investments reflecting learnings from domestic deployment of these technologies.  These rates only apply to novel technologies in Australia – typically geothermal, solar thermal, wave, CCS and some biomass technologies.  The rates apply to the </w:t>
      </w:r>
      <w:r>
        <w:lastRenderedPageBreak/>
        <w:t xml:space="preserve">domestically sourced components of capital costs which vary from 30% to 50% of total costs.  The learning </w:t>
      </w:r>
      <w:r w:rsidRPr="00775634">
        <w:t xml:space="preserve">rates for this component are assumed to be around </w:t>
      </w:r>
      <w:r w:rsidRPr="0086051E">
        <w:t>20</w:t>
      </w:r>
      <w:r w:rsidRPr="00775634">
        <w:t>% for each doubling of capacity</w:t>
      </w:r>
      <w:r w:rsidRPr="00775634">
        <w:rPr>
          <w:rStyle w:val="FootnoteReference"/>
        </w:rPr>
        <w:footnoteReference w:id="24"/>
      </w:r>
      <w:r w:rsidRPr="00775634">
        <w:t>.  An iterative approach</w:t>
      </w:r>
      <w:r>
        <w:t xml:space="preserve"> is adopted to translate this learning rate to final capital costs</w:t>
      </w:r>
      <w:r w:rsidR="00455559">
        <w:t>.</w:t>
      </w:r>
    </w:p>
    <w:p w:rsidR="00CA7512" w:rsidRPr="00952F9C" w:rsidRDefault="00CA7512" w:rsidP="008A3125">
      <w:pPr>
        <w:pStyle w:val="Heading3"/>
      </w:pPr>
      <w:bookmarkStart w:id="75" w:name="_Toc331774710"/>
      <w:bookmarkStart w:id="76" w:name="_Toc362434898"/>
      <w:bookmarkStart w:id="77" w:name="_Toc406862221"/>
      <w:bookmarkStart w:id="78" w:name="_Ref419134817"/>
      <w:bookmarkStart w:id="79" w:name="_Toc420660064"/>
      <w:r w:rsidRPr="00952F9C">
        <w:t>Gas prices</w:t>
      </w:r>
      <w:bookmarkEnd w:id="67"/>
      <w:bookmarkEnd w:id="75"/>
      <w:bookmarkEnd w:id="76"/>
      <w:bookmarkEnd w:id="77"/>
      <w:bookmarkEnd w:id="78"/>
      <w:bookmarkEnd w:id="79"/>
    </w:p>
    <w:p w:rsidR="00CA7512" w:rsidRPr="00952F9C" w:rsidRDefault="00CA7512" w:rsidP="00CA7512">
      <w:pPr>
        <w:pStyle w:val="Para0"/>
        <w:rPr>
          <w:lang w:val="en-GB"/>
        </w:rPr>
      </w:pPr>
      <w:r>
        <w:t>Jacobs</w:t>
      </w:r>
      <w:r w:rsidRPr="00952F9C">
        <w:t xml:space="preserve"> prepares gas price forecasts based on projected demand-supply balance in Eastern Australia using </w:t>
      </w:r>
      <w:r>
        <w:t xml:space="preserve">Jacobs’ </w:t>
      </w:r>
      <w:r w:rsidRPr="00952F9C">
        <w:rPr>
          <w:lang w:val="en-GB"/>
        </w:rPr>
        <w:t>proprietary model, MMAGas</w:t>
      </w:r>
      <w:r>
        <w:rPr>
          <w:lang w:val="en-GB"/>
        </w:rPr>
        <w:t xml:space="preserve"> (</w:t>
      </w:r>
      <w:r w:rsidRPr="00952F9C">
        <w:rPr>
          <w:lang w:val="en-GB"/>
        </w:rPr>
        <w:t>Market Model Australia – Gas</w:t>
      </w:r>
      <w:r>
        <w:rPr>
          <w:lang w:val="en-GB"/>
        </w:rPr>
        <w:t>)</w:t>
      </w:r>
      <w:r w:rsidRPr="00952F9C">
        <w:rPr>
          <w:lang w:val="en-GB"/>
        </w:rPr>
        <w:t xml:space="preserve">, which </w:t>
      </w:r>
      <w:r>
        <w:rPr>
          <w:lang w:val="en-GB"/>
        </w:rPr>
        <w:t xml:space="preserve">intends to </w:t>
      </w:r>
      <w:r w:rsidRPr="00952F9C">
        <w:rPr>
          <w:lang w:val="en-GB"/>
        </w:rPr>
        <w:t>replicate the essential features of Australian wholesale gas markets:</w:t>
      </w:r>
    </w:p>
    <w:p w:rsidR="00CA7512" w:rsidRPr="00952F9C" w:rsidRDefault="00CA7512" w:rsidP="00CA7512">
      <w:pPr>
        <w:pStyle w:val="Para0bullet"/>
      </w:pPr>
      <w:r w:rsidRPr="00952F9C">
        <w:t>A limited number of gas producers</w:t>
      </w:r>
      <w:r>
        <w:t>, meaning that prices can rise above export parity levels when producers can exercise market power.</w:t>
      </w:r>
      <w:r w:rsidRPr="00952F9C">
        <w:t xml:space="preserve"> </w:t>
      </w:r>
    </w:p>
    <w:p w:rsidR="00CA7512" w:rsidRPr="00952F9C" w:rsidRDefault="00CA7512" w:rsidP="00CA7512">
      <w:pPr>
        <w:pStyle w:val="Para0bullet"/>
      </w:pPr>
      <w:r w:rsidRPr="00952F9C">
        <w:t>Dominance of long term contracting and limited short term trading</w:t>
      </w:r>
      <w:r w:rsidR="004A6DBE">
        <w:t>.</w:t>
      </w:r>
    </w:p>
    <w:p w:rsidR="00CA7512" w:rsidRPr="00952F9C" w:rsidRDefault="00CA7512" w:rsidP="00CA7512">
      <w:pPr>
        <w:pStyle w:val="Para0bullet"/>
      </w:pPr>
      <w:r w:rsidRPr="00952F9C">
        <w:t>A developing network of regulated and competitive transmission pipelines</w:t>
      </w:r>
      <w:r w:rsidR="00E96667">
        <w:rPr>
          <w:rStyle w:val="FootnoteReference"/>
        </w:rPr>
        <w:footnoteReference w:id="25"/>
      </w:r>
      <w:r w:rsidR="004A6DBE">
        <w:t>.</w:t>
      </w:r>
    </w:p>
    <w:p w:rsidR="00CA7512" w:rsidRPr="00952F9C" w:rsidRDefault="00CA7512" w:rsidP="00CA7512">
      <w:pPr>
        <w:pStyle w:val="Para0bullet"/>
      </w:pPr>
      <w:r w:rsidRPr="00952F9C">
        <w:t xml:space="preserve">Domestic market growth driven by gas-fired generation and large industrial projects. </w:t>
      </w:r>
    </w:p>
    <w:p w:rsidR="00CA7512" w:rsidRDefault="00CA7512" w:rsidP="00CA7512">
      <w:pPr>
        <w:pStyle w:val="Para0"/>
      </w:pPr>
      <w:r>
        <w:t>The model is structured around some fundamental principles:</w:t>
      </w:r>
    </w:p>
    <w:p w:rsidR="00CA7512" w:rsidRDefault="00CA7512" w:rsidP="00CA7512">
      <w:pPr>
        <w:pStyle w:val="Para0bullet"/>
        <w:numPr>
          <w:ilvl w:val="0"/>
          <w:numId w:val="9"/>
        </w:numPr>
      </w:pPr>
      <w:r>
        <w:t>With the export market being the predominant market from 2016/17, gas prices converge to between the export parity and import parity levels.  The degree to which prices are above export parity levels depends on the degree of competition in the domestic gas market.</w:t>
      </w:r>
    </w:p>
    <w:p w:rsidR="00CA7512" w:rsidRDefault="00CA7512" w:rsidP="00CA7512">
      <w:pPr>
        <w:pStyle w:val="Para0bullet"/>
        <w:numPr>
          <w:ilvl w:val="0"/>
          <w:numId w:val="9"/>
        </w:numPr>
      </w:pPr>
      <w:r>
        <w:t xml:space="preserve">Export parity levels are set at the LNG net back prices (that </w:t>
      </w:r>
      <w:proofErr w:type="gramStart"/>
      <w:r>
        <w:t>is, world prices</w:t>
      </w:r>
      <w:proofErr w:type="gramEnd"/>
      <w:r>
        <w:t xml:space="preserve"> for LNG </w:t>
      </w:r>
      <w:r w:rsidR="00330D3A">
        <w:t xml:space="preserve">- assumed to be set at export prices for natural gas in major markets - </w:t>
      </w:r>
      <w:r>
        <w:t>after shipping, processing and handling costs are deducted).  Prices can go below export prices for short periods due to the fact that coal shale gas wells cannot be plugged or turned down easily so there may be short periods with a glut of gas.</w:t>
      </w:r>
      <w:r w:rsidR="00330D3A">
        <w:t xml:space="preserve">  Price projections are based on US Energy Information Agency or the International Energy Agency</w:t>
      </w:r>
      <w:r w:rsidR="0075516A">
        <w:t xml:space="preserve"> on world gas prices in these markets.  Shipping and other costs are based on the historical differential between c</w:t>
      </w:r>
      <w:r w:rsidR="00E96667">
        <w:t>ost insurance and freight (c.i.f)</w:t>
      </w:r>
      <w:r w:rsidR="0075516A">
        <w:t xml:space="preserve"> prices in Japan and </w:t>
      </w:r>
      <w:r w:rsidR="00E96667">
        <w:t>free on board (</w:t>
      </w:r>
      <w:r w:rsidR="0075516A">
        <w:t>f.o.b</w:t>
      </w:r>
      <w:r w:rsidR="00E96667">
        <w:t>)</w:t>
      </w:r>
      <w:r w:rsidR="0075516A">
        <w:t xml:space="preserve"> export prices.  </w:t>
      </w:r>
    </w:p>
    <w:p w:rsidR="00CA7512" w:rsidRDefault="00CA7512" w:rsidP="00CA7512">
      <w:pPr>
        <w:pStyle w:val="Para0bullet"/>
        <w:numPr>
          <w:ilvl w:val="0"/>
          <w:numId w:val="9"/>
        </w:numPr>
      </w:pPr>
      <w:r>
        <w:t xml:space="preserve">Import prices </w:t>
      </w:r>
      <w:r w:rsidR="00D75E3E">
        <w:t xml:space="preserve">are </w:t>
      </w:r>
      <w:r>
        <w:t>set at the energy equivalent of oil or liquid fuels, being the main substitute for gas in most end-uses.</w:t>
      </w:r>
    </w:p>
    <w:p w:rsidR="00D75E3E" w:rsidRDefault="00B06BE5" w:rsidP="00D75E3E">
      <w:pPr>
        <w:pStyle w:val="Para0bullet"/>
        <w:numPr>
          <w:ilvl w:val="0"/>
          <w:numId w:val="0"/>
        </w:numPr>
      </w:pPr>
      <w:r>
        <w:t>For the period to 2020 w</w:t>
      </w:r>
      <w:r w:rsidR="008A3125">
        <w:t xml:space="preserve">e have used </w:t>
      </w:r>
      <w:r w:rsidR="00F25F77">
        <w:t xml:space="preserve">our </w:t>
      </w:r>
      <w:r w:rsidR="008A3125">
        <w:t>medium gas price projections, which assume gas prices rise above world parity levels over the period to 2018/19 due to a shortage of gas to meet contracted commitments for LNG</w:t>
      </w:r>
      <w:r w:rsidR="008A3125" w:rsidRPr="0010488E">
        <w:t>.</w:t>
      </w:r>
      <w:r w:rsidR="008A3125">
        <w:t xml:space="preserve">  Thereafter prices fall to world parity level.</w:t>
      </w:r>
      <w:r w:rsidR="00CA7512" w:rsidRPr="00952F9C">
        <w:t xml:space="preserve"> </w:t>
      </w:r>
      <w:r w:rsidR="00762DF9">
        <w:fldChar w:fldCharType="begin"/>
      </w:r>
      <w:r w:rsidR="00762DF9">
        <w:instrText xml:space="preserve"> REF _Ref419296690 \h </w:instrText>
      </w:r>
      <w:r w:rsidR="00762DF9">
        <w:fldChar w:fldCharType="separate"/>
      </w:r>
      <w:r w:rsidR="00014844">
        <w:t xml:space="preserve">Figure </w:t>
      </w:r>
      <w:r w:rsidR="00014844">
        <w:rPr>
          <w:noProof/>
        </w:rPr>
        <w:t>5</w:t>
      </w:r>
      <w:r w:rsidR="00762DF9">
        <w:fldChar w:fldCharType="end"/>
      </w:r>
      <w:r w:rsidR="00762DF9">
        <w:t xml:space="preserve"> </w:t>
      </w:r>
      <w:r w:rsidR="00D75E3E">
        <w:t xml:space="preserve">shows the gas price assumptions used. </w:t>
      </w:r>
    </w:p>
    <w:p w:rsidR="000817DB" w:rsidRDefault="000817DB" w:rsidP="000817DB">
      <w:pPr>
        <w:pStyle w:val="Para0"/>
      </w:pPr>
      <w:r>
        <w:t>Prices are affected by the following factors:</w:t>
      </w:r>
    </w:p>
    <w:p w:rsidR="000817DB" w:rsidRDefault="000817DB" w:rsidP="000817DB">
      <w:pPr>
        <w:pStyle w:val="Para0bullet"/>
        <w:numPr>
          <w:ilvl w:val="0"/>
          <w:numId w:val="9"/>
        </w:numPr>
      </w:pPr>
      <w:r>
        <w:t xml:space="preserve">Over the next few years, supply of gas will remain tight as LNG trains come on line and gas is required to meet export commitments.  </w:t>
      </w:r>
    </w:p>
    <w:p w:rsidR="000817DB" w:rsidRDefault="000817DB" w:rsidP="000817DB">
      <w:pPr>
        <w:pStyle w:val="Para0bullet"/>
        <w:numPr>
          <w:ilvl w:val="0"/>
          <w:numId w:val="9"/>
        </w:numPr>
      </w:pPr>
      <w:r>
        <w:t>The tightness of supply is not likely to dissipate until 2019 at the earliest due to time required to attain approval and develop additional coal seam gas wells.</w:t>
      </w:r>
    </w:p>
    <w:p w:rsidR="000817DB" w:rsidRDefault="000817DB" w:rsidP="000817DB">
      <w:pPr>
        <w:pStyle w:val="Para0bullet"/>
        <w:numPr>
          <w:ilvl w:val="0"/>
          <w:numId w:val="9"/>
        </w:numPr>
      </w:pPr>
      <w:r>
        <w:t xml:space="preserve">Thereafter, gas prices follow world price growth rate trends. </w:t>
      </w:r>
      <w:r>
        <w:rPr>
          <w:lang w:val="en-GB"/>
        </w:rPr>
        <w:t xml:space="preserve">From 2020, world prices follow the trajectory predicted by the IEA for a scenario involving concerted global action to curb emissions so that atmospheric concentration of greenhouse gas do not exceed 450 ppm </w:t>
      </w:r>
      <w:r w:rsidRPr="00453B3F">
        <w:rPr>
          <w:lang w:val="en-GB"/>
        </w:rPr>
        <w:t>CO</w:t>
      </w:r>
      <w:r w:rsidRPr="00453B3F">
        <w:rPr>
          <w:vertAlign w:val="subscript"/>
          <w:lang w:val="en-GB"/>
        </w:rPr>
        <w:t>2</w:t>
      </w:r>
      <w:r>
        <w:rPr>
          <w:lang w:val="en-GB"/>
        </w:rPr>
        <w:t>-</w:t>
      </w:r>
      <w:r w:rsidRPr="00453B3F">
        <w:rPr>
          <w:lang w:val="en-GB"/>
        </w:rPr>
        <w:t>e</w:t>
      </w:r>
      <w:r>
        <w:rPr>
          <w:rStyle w:val="FootnoteReference"/>
          <w:lang w:val="en-GB"/>
        </w:rPr>
        <w:footnoteReference w:id="26"/>
      </w:r>
      <w:r>
        <w:rPr>
          <w:lang w:val="en-GB"/>
        </w:rPr>
        <w:t>. This sees prices for natural gas on world markets decreasing by around 0.5% per annum in real terms</w:t>
      </w:r>
      <w:r>
        <w:t>.</w:t>
      </w:r>
    </w:p>
    <w:p w:rsidR="000817DB" w:rsidRDefault="000817DB" w:rsidP="00D75E3E">
      <w:pPr>
        <w:pStyle w:val="Para0bullet"/>
        <w:numPr>
          <w:ilvl w:val="0"/>
          <w:numId w:val="0"/>
        </w:numPr>
      </w:pPr>
    </w:p>
    <w:p w:rsidR="0075516A" w:rsidRDefault="0075516A" w:rsidP="00762DF9">
      <w:pPr>
        <w:pStyle w:val="Caption"/>
      </w:pPr>
      <w:bookmarkStart w:id="80" w:name="_Ref419296690"/>
      <w:r>
        <w:lastRenderedPageBreak/>
        <w:t xml:space="preserve">Figure </w:t>
      </w:r>
      <w:r w:rsidR="00941D78">
        <w:fldChar w:fldCharType="begin"/>
      </w:r>
      <w:r w:rsidR="00941D78">
        <w:instrText xml:space="preserve"> SEQ Figure \* ARABIC </w:instrText>
      </w:r>
      <w:r w:rsidR="00941D78">
        <w:fldChar w:fldCharType="separate"/>
      </w:r>
      <w:r w:rsidR="00014844">
        <w:rPr>
          <w:noProof/>
        </w:rPr>
        <w:t>5</w:t>
      </w:r>
      <w:r w:rsidR="00941D78">
        <w:fldChar w:fldCharType="end"/>
      </w:r>
      <w:bookmarkEnd w:id="80"/>
      <w:r>
        <w:t>: Gas price assumptions, city gate prices</w:t>
      </w:r>
    </w:p>
    <w:p w:rsidR="0075516A" w:rsidRDefault="00664B0A">
      <w:pPr>
        <w:pStyle w:val="Para0"/>
      </w:pPr>
      <w:r>
        <w:rPr>
          <w:noProof/>
          <w:lang w:eastAsia="en-AU"/>
        </w:rPr>
        <w:drawing>
          <wp:inline distT="0" distB="0" distL="0" distR="0" wp14:anchorId="3F0AB634" wp14:editId="18FCC953">
            <wp:extent cx="6258873" cy="40767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8216" cy="4076272"/>
                    </a:xfrm>
                    <a:prstGeom prst="rect">
                      <a:avLst/>
                    </a:prstGeom>
                    <a:noFill/>
                  </pic:spPr>
                </pic:pic>
              </a:graphicData>
            </a:graphic>
          </wp:inline>
        </w:drawing>
      </w:r>
    </w:p>
    <w:p w:rsidR="00762DF9" w:rsidRPr="0075516A" w:rsidRDefault="00762DF9">
      <w:pPr>
        <w:pStyle w:val="Para0"/>
      </w:pPr>
      <w:r w:rsidRPr="00762DF9">
        <w:rPr>
          <w:sz w:val="16"/>
          <w:szCs w:val="16"/>
        </w:rPr>
        <w:t xml:space="preserve"> </w:t>
      </w:r>
      <w:r w:rsidRPr="00056DF5">
        <w:rPr>
          <w:sz w:val="16"/>
          <w:szCs w:val="16"/>
        </w:rPr>
        <w:t xml:space="preserve">Source: </w:t>
      </w:r>
      <w:r>
        <w:rPr>
          <w:sz w:val="16"/>
          <w:szCs w:val="16"/>
        </w:rPr>
        <w:t>Jacobs’ MMAGas model</w:t>
      </w:r>
      <w:r w:rsidR="00414BBA">
        <w:rPr>
          <w:sz w:val="16"/>
          <w:szCs w:val="16"/>
        </w:rPr>
        <w:t xml:space="preserve">, IEA </w:t>
      </w:r>
      <w:r w:rsidR="00074833">
        <w:rPr>
          <w:sz w:val="16"/>
          <w:szCs w:val="16"/>
        </w:rPr>
        <w:t>4</w:t>
      </w:r>
      <w:r w:rsidR="00414BBA">
        <w:rPr>
          <w:sz w:val="16"/>
          <w:szCs w:val="16"/>
        </w:rPr>
        <w:t>50ppm scenario</w:t>
      </w:r>
    </w:p>
    <w:p w:rsidR="00CA7512" w:rsidRDefault="00CA7512" w:rsidP="008A3125">
      <w:pPr>
        <w:pStyle w:val="Heading3"/>
      </w:pPr>
      <w:bookmarkStart w:id="81" w:name="_Toc362434899"/>
      <w:bookmarkStart w:id="82" w:name="_Toc406862222"/>
      <w:bookmarkStart w:id="83" w:name="_Ref419134821"/>
      <w:bookmarkStart w:id="84" w:name="_Toc420660065"/>
      <w:r>
        <w:t>Coal prices</w:t>
      </w:r>
      <w:bookmarkEnd w:id="81"/>
      <w:bookmarkEnd w:id="82"/>
      <w:bookmarkEnd w:id="83"/>
      <w:bookmarkEnd w:id="84"/>
    </w:p>
    <w:p w:rsidR="00CA7512" w:rsidRDefault="00CA7512" w:rsidP="00CA7512">
      <w:pPr>
        <w:pStyle w:val="Para0"/>
      </w:pPr>
      <w:r>
        <w:t>Coal prices are treated in three ways</w:t>
      </w:r>
      <w:r w:rsidR="00686096">
        <w:t xml:space="preserve"> depending on the plant characteristics</w:t>
      </w:r>
      <w:r>
        <w:t>:</w:t>
      </w:r>
    </w:p>
    <w:p w:rsidR="00CA7512" w:rsidRDefault="00686096" w:rsidP="00CA7512">
      <w:pPr>
        <w:pStyle w:val="Para0bullet"/>
        <w:numPr>
          <w:ilvl w:val="0"/>
          <w:numId w:val="9"/>
        </w:numPr>
      </w:pPr>
      <w:r>
        <w:t xml:space="preserve">For those mines containing coal that </w:t>
      </w:r>
      <w:r w:rsidR="00106F33">
        <w:t>is</w:t>
      </w:r>
      <w:r>
        <w:t xml:space="preserve"> unlikely to be exported (typically brown coal plant in Victoria and South Australia), prices are</w:t>
      </w:r>
      <w:r w:rsidR="00CA7512">
        <w:t xml:space="preserve"> equal to the long run average cost of production </w:t>
      </w:r>
      <w:r w:rsidR="006C5943">
        <w:t>including expected continuing mine development</w:t>
      </w:r>
    </w:p>
    <w:p w:rsidR="00CA7512" w:rsidRDefault="00CA7512" w:rsidP="00CA7512">
      <w:pPr>
        <w:pStyle w:val="Para0bullet"/>
        <w:numPr>
          <w:ilvl w:val="0"/>
          <w:numId w:val="9"/>
        </w:numPr>
      </w:pPr>
      <w:r>
        <w:t>For plant with long term coal contract</w:t>
      </w:r>
      <w:r w:rsidR="00664B0A">
        <w:t>s</w:t>
      </w:r>
      <w:r>
        <w:t>, prices remain at contract price terms (as we understand them) until the contracts expire.  Once they expire the prices increase to concurrent market levels</w:t>
      </w:r>
    </w:p>
    <w:p w:rsidR="00CA7512" w:rsidRDefault="00CA7512" w:rsidP="00CA7512">
      <w:pPr>
        <w:pStyle w:val="Para0bullet"/>
        <w:numPr>
          <w:ilvl w:val="0"/>
          <w:numId w:val="9"/>
        </w:numPr>
      </w:pPr>
      <w:r>
        <w:t xml:space="preserve">All other coal prices are linked to trends in world market prices which are assumed to </w:t>
      </w:r>
      <w:r w:rsidR="00664B0A">
        <w:t xml:space="preserve">grow slowly </w:t>
      </w:r>
      <w:r w:rsidR="00106F33">
        <w:t xml:space="preserve">to 2020 </w:t>
      </w:r>
      <w:r>
        <w:t>due to stable</w:t>
      </w:r>
      <w:r w:rsidR="000545BE">
        <w:t xml:space="preserve"> world</w:t>
      </w:r>
      <w:r>
        <w:t xml:space="preserve"> demand for coal</w:t>
      </w:r>
      <w:r w:rsidR="000545BE">
        <w:rPr>
          <w:rStyle w:val="FootnoteReference"/>
        </w:rPr>
        <w:footnoteReference w:id="27"/>
      </w:r>
      <w:r w:rsidR="000545BE">
        <w:t>. Thereafter, world coal prices are assumed to move in line w</w:t>
      </w:r>
      <w:r w:rsidR="00B07056">
        <w:t>i</w:t>
      </w:r>
      <w:r w:rsidR="000545BE">
        <w:t xml:space="preserve">th projections by the IEA for a </w:t>
      </w:r>
      <w:r w:rsidR="000545BE">
        <w:rPr>
          <w:lang w:val="en-GB"/>
        </w:rPr>
        <w:t>scenario involving concerted global action to curb emissions so that atmospheric concentration of greenhouse gas do not exceed 450 ppm CO</w:t>
      </w:r>
      <w:r w:rsidR="000545BE" w:rsidRPr="00786BCD">
        <w:rPr>
          <w:vertAlign w:val="subscript"/>
          <w:lang w:val="en-GB"/>
        </w:rPr>
        <w:t>2</w:t>
      </w:r>
      <w:r w:rsidR="00215131" w:rsidRPr="00453B3F">
        <w:rPr>
          <w:lang w:val="en-GB"/>
        </w:rPr>
        <w:t>-</w:t>
      </w:r>
      <w:r w:rsidR="000545BE">
        <w:rPr>
          <w:lang w:val="en-GB"/>
        </w:rPr>
        <w:t>e</w:t>
      </w:r>
      <w:r w:rsidR="003C2DA0">
        <w:rPr>
          <w:rStyle w:val="FootnoteReference"/>
          <w:lang w:val="en-GB"/>
        </w:rPr>
        <w:footnoteReference w:id="28"/>
      </w:r>
      <w:r w:rsidR="000545BE">
        <w:rPr>
          <w:lang w:val="en-GB"/>
        </w:rPr>
        <w:t xml:space="preserve">.  </w:t>
      </w:r>
    </w:p>
    <w:p w:rsidR="00CA7512" w:rsidRDefault="00CA7512" w:rsidP="00CA7512">
      <w:pPr>
        <w:pStyle w:val="Para0"/>
      </w:pPr>
      <w:r w:rsidRPr="00DB5672">
        <w:t xml:space="preserve">The coal prices assumed for key NEM power stations are shown in </w:t>
      </w:r>
      <w:r w:rsidRPr="006465F7">
        <w:fldChar w:fldCharType="begin"/>
      </w:r>
      <w:r w:rsidRPr="00DB5672">
        <w:instrText xml:space="preserve"> REF _Ref400618728 \h </w:instrText>
      </w:r>
      <w:r w:rsidR="00DB5672">
        <w:instrText xml:space="preserve"> \* MERGEFORMAT </w:instrText>
      </w:r>
      <w:r w:rsidRPr="006465F7">
        <w:fldChar w:fldCharType="separate"/>
      </w:r>
      <w:r w:rsidR="00014844" w:rsidRPr="003C2DA0">
        <w:t xml:space="preserve">Figure </w:t>
      </w:r>
      <w:r w:rsidR="00014844">
        <w:rPr>
          <w:noProof/>
        </w:rPr>
        <w:t>6</w:t>
      </w:r>
      <w:r w:rsidRPr="006465F7">
        <w:fldChar w:fldCharType="end"/>
      </w:r>
      <w:r w:rsidRPr="006465F7">
        <w:t>.  Coal prices are expected</w:t>
      </w:r>
      <w:r>
        <w:t xml:space="preserve"> to be depressed over the long term and are forecast </w:t>
      </w:r>
      <w:r w:rsidR="00576F2C">
        <w:t>to continue decreasing if there is concerted action to curb greenhouse emissions.</w:t>
      </w:r>
    </w:p>
    <w:p w:rsidR="00CA7512" w:rsidRDefault="00CA7512" w:rsidP="00CA7512">
      <w:pPr>
        <w:pStyle w:val="Caption"/>
      </w:pPr>
      <w:bookmarkStart w:id="85" w:name="_Ref400618728"/>
      <w:bookmarkStart w:id="86" w:name="_Ref362428019"/>
      <w:bookmarkStart w:id="87" w:name="_Toc362434937"/>
      <w:r w:rsidRPr="003C2DA0">
        <w:lastRenderedPageBreak/>
        <w:t xml:space="preserve">Figure </w:t>
      </w:r>
      <w:r w:rsidR="00941D78" w:rsidRPr="003C2DA0">
        <w:fldChar w:fldCharType="begin"/>
      </w:r>
      <w:r w:rsidR="00941D78" w:rsidRPr="003C2DA0">
        <w:instrText xml:space="preserve"> SEQ Figure \* ARABIC </w:instrText>
      </w:r>
      <w:r w:rsidR="00941D78" w:rsidRPr="003C2DA0">
        <w:fldChar w:fldCharType="separate"/>
      </w:r>
      <w:r w:rsidR="00014844">
        <w:rPr>
          <w:noProof/>
        </w:rPr>
        <w:t>6</w:t>
      </w:r>
      <w:r w:rsidR="00941D78" w:rsidRPr="003C2DA0">
        <w:fldChar w:fldCharType="end"/>
      </w:r>
      <w:bookmarkEnd w:id="85"/>
      <w:r w:rsidRPr="003C2DA0">
        <w:t xml:space="preserve">: </w:t>
      </w:r>
      <w:bookmarkEnd w:id="86"/>
      <w:r w:rsidRPr="003C2DA0">
        <w:t xml:space="preserve"> Projected variable coal price for NEM black coal power stations</w:t>
      </w:r>
      <w:bookmarkEnd w:id="87"/>
      <w:r w:rsidRPr="003C2DA0">
        <w:t xml:space="preserve"> ($June 2014)</w:t>
      </w:r>
    </w:p>
    <w:p w:rsidR="00CA7512" w:rsidRDefault="003C2DA0" w:rsidP="00CA7512">
      <w:pPr>
        <w:pStyle w:val="Para0"/>
      </w:pPr>
      <w:r>
        <w:rPr>
          <w:noProof/>
          <w:lang w:eastAsia="en-AU"/>
        </w:rPr>
        <w:drawing>
          <wp:inline distT="0" distB="0" distL="0" distR="0" wp14:anchorId="34C4463A" wp14:editId="68C6E713">
            <wp:extent cx="6200775" cy="40388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8149" cy="4043661"/>
                    </a:xfrm>
                    <a:prstGeom prst="rect">
                      <a:avLst/>
                    </a:prstGeom>
                    <a:noFill/>
                  </pic:spPr>
                </pic:pic>
              </a:graphicData>
            </a:graphic>
          </wp:inline>
        </w:drawing>
      </w:r>
    </w:p>
    <w:p w:rsidR="00A24239" w:rsidRPr="003C2DA0" w:rsidRDefault="00A24239" w:rsidP="00CA7512">
      <w:pPr>
        <w:pStyle w:val="Para0"/>
        <w:rPr>
          <w:sz w:val="16"/>
          <w:szCs w:val="16"/>
        </w:rPr>
      </w:pPr>
      <w:r w:rsidRPr="003C2DA0">
        <w:rPr>
          <w:sz w:val="16"/>
          <w:szCs w:val="16"/>
        </w:rPr>
        <w:t xml:space="preserve">Source: </w:t>
      </w:r>
      <w:proofErr w:type="gramStart"/>
      <w:r w:rsidR="00E07274">
        <w:rPr>
          <w:sz w:val="16"/>
          <w:szCs w:val="16"/>
        </w:rPr>
        <w:t>Jacobs</w:t>
      </w:r>
      <w:proofErr w:type="gramEnd"/>
      <w:r w:rsidR="00E07274">
        <w:rPr>
          <w:sz w:val="16"/>
          <w:szCs w:val="16"/>
        </w:rPr>
        <w:t xml:space="preserve"> analysis, IEA 450ppm scenario</w:t>
      </w:r>
    </w:p>
    <w:p w:rsidR="00076119" w:rsidRPr="003C2DA0" w:rsidRDefault="00076119" w:rsidP="00076119">
      <w:pPr>
        <w:pStyle w:val="Para0"/>
        <w:rPr>
          <w:sz w:val="16"/>
          <w:szCs w:val="16"/>
        </w:rPr>
        <w:sectPr w:rsidR="00076119" w:rsidRPr="003C2DA0" w:rsidSect="0010488E">
          <w:footerReference w:type="default" r:id="rId36"/>
          <w:footerReference w:type="first" r:id="rId37"/>
          <w:pgSz w:w="11901" w:h="16840" w:code="9"/>
          <w:pgMar w:top="567" w:right="851" w:bottom="851" w:left="1134" w:header="567" w:footer="370" w:gutter="0"/>
          <w:pgNumType w:start="1"/>
          <w:cols w:space="0"/>
          <w:formProt w:val="0"/>
          <w:docGrid w:linePitch="360"/>
        </w:sectPr>
      </w:pPr>
    </w:p>
    <w:p w:rsidR="00B937BF" w:rsidRDefault="00A31234" w:rsidP="0010488E">
      <w:pPr>
        <w:pStyle w:val="Heading9"/>
      </w:pPr>
      <w:bookmarkStart w:id="88" w:name="_Toc418776186"/>
      <w:bookmarkStart w:id="89" w:name="_Ref418784365"/>
      <w:bookmarkStart w:id="90" w:name="_Toc419133328"/>
      <w:bookmarkStart w:id="91" w:name="_Toc419383234"/>
      <w:bookmarkStart w:id="92" w:name="_Toc419731539"/>
      <w:bookmarkStart w:id="93" w:name="_Toc419731920"/>
      <w:bookmarkStart w:id="94" w:name="_Toc419793640"/>
      <w:r>
        <w:lastRenderedPageBreak/>
        <w:t>Modelling Suite</w:t>
      </w:r>
      <w:bookmarkEnd w:id="88"/>
      <w:bookmarkEnd w:id="89"/>
      <w:bookmarkEnd w:id="90"/>
      <w:bookmarkEnd w:id="91"/>
      <w:bookmarkEnd w:id="92"/>
      <w:bookmarkEnd w:id="93"/>
      <w:bookmarkEnd w:id="94"/>
    </w:p>
    <w:p w:rsidR="0010488E" w:rsidRPr="0010488E" w:rsidRDefault="00A31234" w:rsidP="00B01288">
      <w:pPr>
        <w:pStyle w:val="Appendixsubheading1"/>
      </w:pPr>
      <w:bookmarkStart w:id="95" w:name="_Toc418776187"/>
      <w:bookmarkStart w:id="96" w:name="_Toc419133329"/>
      <w:bookmarkStart w:id="97" w:name="_Ref419318485"/>
      <w:bookmarkStart w:id="98" w:name="_Toc419383235"/>
      <w:bookmarkStart w:id="99" w:name="_Toc419731540"/>
      <w:bookmarkStart w:id="100" w:name="_Toc419731921"/>
      <w:bookmarkStart w:id="101" w:name="_Toc419793641"/>
      <w:r>
        <w:t>Strategist</w:t>
      </w:r>
      <w:bookmarkEnd w:id="95"/>
      <w:bookmarkEnd w:id="96"/>
      <w:bookmarkEnd w:id="97"/>
      <w:bookmarkEnd w:id="98"/>
      <w:bookmarkEnd w:id="99"/>
      <w:bookmarkEnd w:id="100"/>
      <w:bookmarkEnd w:id="101"/>
    </w:p>
    <w:p w:rsidR="00A31234" w:rsidRDefault="00A31234" w:rsidP="00A31234">
      <w:pPr>
        <w:pStyle w:val="Para0"/>
      </w:pPr>
      <w:r>
        <w:t xml:space="preserve">Jacobs will use its market simulation model of the energy markets (NEM and </w:t>
      </w:r>
      <w:r w:rsidR="00987B81">
        <w:t>WEM</w:t>
      </w:r>
      <w:r>
        <w:t>) to estimate the impacts on the electricity markets.</w:t>
      </w:r>
      <w:r w:rsidR="00CA7512">
        <w:t xml:space="preserve">  </w:t>
      </w:r>
      <w:r>
        <w:t xml:space="preserve">Electricity market modelling will be conducted using Jacobs’ energy market database and modelling tools in conjunction with use of probabilistic market modelling software called Strategist.  Strategist represents the major thermal, renewable, hydro and pumped storage resources as well as the interconnections between different regions.  Average hourly pool prices are determined within Strategist based on plant bids derived from marginal costs or entered directly.  </w:t>
      </w:r>
    </w:p>
    <w:p w:rsidR="00987B81" w:rsidRDefault="00C77ADF" w:rsidP="00A31234">
      <w:pPr>
        <w:pStyle w:val="Para0"/>
      </w:pPr>
      <w:r>
        <w:t>In terms of selection of new generators and dispatch of generating plant, b</w:t>
      </w:r>
      <w:r w:rsidR="00987B81">
        <w:t xml:space="preserve">oth the NEM and WEM </w:t>
      </w:r>
      <w:r w:rsidR="00686096">
        <w:t>are</w:t>
      </w:r>
      <w:r w:rsidR="00987B81">
        <w:t xml:space="preserve"> modelled in the same way using Strategist</w:t>
      </w:r>
      <w:r>
        <w:t>.</w:t>
      </w:r>
      <w:r w:rsidR="00987B81">
        <w:t xml:space="preserve"> </w:t>
      </w:r>
    </w:p>
    <w:p w:rsidR="00A31234" w:rsidRDefault="00A31234" w:rsidP="00A31234">
      <w:pPr>
        <w:pStyle w:val="Para0"/>
      </w:pPr>
      <w:r>
        <w:t xml:space="preserve">Market impacts are essentially driven by the behavioural responses of the generators to the incentives and/or regulatory requirements of the policy options being examined and the change in the mix of investment due to the incentives provided by the policy options.  Wholesale prices are affected by the supply and demand balance and long-term prices being effectively capped near the long run marginal cost of new entry on the premise that prices above this level provide economic signals for new generation to enter the market.  Generation mix and other impacts are also influenced by the incentives or regulations provided by the policy option being examined.  Other factors affecting the timing and magnitude of the impacts include projected fuel costs, unit efficiencies and capital costs of new plant. </w:t>
      </w:r>
    </w:p>
    <w:p w:rsidR="00A31234" w:rsidRPr="0060235F" w:rsidRDefault="00A31234" w:rsidP="00A31234">
      <w:pPr>
        <w:pStyle w:val="Para0"/>
      </w:pPr>
      <w:r>
        <w:t xml:space="preserve">The market impacts take into account regional and temporal demand forecasts, generating plant performance, timing of new generation including renewable projects, existing interconnection limits and potential for interconnection development.  </w:t>
      </w:r>
    </w:p>
    <w:p w:rsidR="0010488E" w:rsidRPr="0010488E" w:rsidRDefault="0010488E" w:rsidP="0010488E">
      <w:pPr>
        <w:spacing w:before="240" w:after="120"/>
      </w:pPr>
      <w:r w:rsidRPr="0010488E">
        <w:t xml:space="preserve">Jacobs’s market models are designed to create predictions of wholesale electricity price and generation driven by the supply and demand balance, with long-term prices capped near the cost of the cheapest new market entrant (based on the premise that prices above this level provide economic signals for new generation to enter the market). Price drivers include carbon prices, fuel costs, unit efficiencies and capital costs of new plant. </w:t>
      </w:r>
    </w:p>
    <w:p w:rsidR="0010488E" w:rsidRDefault="0010488E" w:rsidP="0010488E">
      <w:pPr>
        <w:spacing w:before="240" w:after="120"/>
      </w:pPr>
      <w:r w:rsidRPr="0010488E">
        <w:t xml:space="preserve">The primary tool used for modelling the wholesale electricity market is Strategist, proprietary software licensed from Ventyx that is used extensively internationally for electricity supply planning and analysis of market dynamics. Strategist simulates the most economically efficient unit dispatch in each market while accounting for physical constraints that apply to the running of each generating unit, the interconnection system and fuel sources. Strategist incorporates chronological hourly loads (including demand side programs such as interruptible loads and energy efficiency programs) and market reflective dispatch of electricity from thermal, renewable, hydro and pumped storage resources. </w:t>
      </w:r>
    </w:p>
    <w:p w:rsidR="00CA7512" w:rsidRDefault="00CA7512" w:rsidP="00CA7512">
      <w:pPr>
        <w:pStyle w:val="Para0"/>
      </w:pPr>
      <w:r>
        <w:t xml:space="preserve">The Strategist model is a multi-area probabilistic dispatch algorithm that determines dispatch of plant within each year and the optimal choice of new plant over the period to 2050.  The model accounts for the economic relationships between generating plant in the system.  In particular, the model calculates production of each power station given the availability of the station, the availability of other power stations and the relative costs of each generating plant in the system. </w:t>
      </w:r>
      <w:r w:rsidR="00093AB5">
        <w:t>The timing of new thermal generation plant and interconnection upgrades is determined by a dynamic programming algorithm that seeks to minimise total system production and new capital costs.</w:t>
      </w:r>
      <w:r>
        <w:t xml:space="preserve"> </w:t>
      </w:r>
    </w:p>
    <w:p w:rsidR="00CA7512" w:rsidRDefault="00CA7512" w:rsidP="00CA7512">
      <w:pPr>
        <w:pStyle w:val="Para0"/>
      </w:pPr>
      <w:r>
        <w:t>The model incorporates:</w:t>
      </w:r>
    </w:p>
    <w:p w:rsidR="00CA7512" w:rsidRDefault="00CA7512" w:rsidP="009E0DE2">
      <w:pPr>
        <w:pStyle w:val="Para0bullet"/>
        <w:numPr>
          <w:ilvl w:val="0"/>
          <w:numId w:val="67"/>
        </w:numPr>
      </w:pPr>
      <w:r>
        <w:t>Chronological hourly loads representing a typical week in each month of the year.  The hourly load for the typical week is consistent with the hourly pattern of demand and the load duration curve over the corresponding month.</w:t>
      </w:r>
    </w:p>
    <w:p w:rsidR="00CA7512" w:rsidRDefault="00CA7512" w:rsidP="009E0DE2">
      <w:pPr>
        <w:pStyle w:val="Para0bullet"/>
        <w:numPr>
          <w:ilvl w:val="0"/>
          <w:numId w:val="67"/>
        </w:numPr>
      </w:pPr>
      <w:r>
        <w:t>Chronological dispatches of hydro and pumped storage resources either within regions or across selected regions (hydro plant is assumed to shadow bid to maximise revenue at times of peak demand).</w:t>
      </w:r>
    </w:p>
    <w:p w:rsidR="00CA7512" w:rsidRDefault="00CA7512" w:rsidP="009E0DE2">
      <w:pPr>
        <w:pStyle w:val="Para0bullet"/>
        <w:numPr>
          <w:ilvl w:val="0"/>
          <w:numId w:val="67"/>
        </w:numPr>
      </w:pPr>
      <w:r>
        <w:lastRenderedPageBreak/>
        <w:t>Where an auction market exists, a range of bidding options for thermal plant (fixed prices, shadow bidding, average price bidding).</w:t>
      </w:r>
    </w:p>
    <w:p w:rsidR="00CA7512" w:rsidRDefault="00CA7512" w:rsidP="009E0DE2">
      <w:pPr>
        <w:pStyle w:val="Para0bullet"/>
        <w:numPr>
          <w:ilvl w:val="0"/>
          <w:numId w:val="67"/>
        </w:numPr>
      </w:pPr>
      <w:r>
        <w:t>Chronological dispatch of demand side programs, including interruptible loads and energy efficiency programs.</w:t>
      </w:r>
    </w:p>
    <w:p w:rsidR="00CA7512" w:rsidRDefault="00CA7512" w:rsidP="009E0DE2">
      <w:pPr>
        <w:pStyle w:val="Para0bullet"/>
        <w:numPr>
          <w:ilvl w:val="0"/>
          <w:numId w:val="67"/>
        </w:numPr>
      </w:pPr>
      <w:r>
        <w:t xml:space="preserve">Estimated inter-regional trading based on average hourly market prices derived from bids and the merit order and performance of thermal plant, and quadratic inter-regional loss functions. </w:t>
      </w:r>
    </w:p>
    <w:p w:rsidR="00CA7512" w:rsidRDefault="00CA7512" w:rsidP="009E0DE2">
      <w:pPr>
        <w:pStyle w:val="Para0bullet"/>
        <w:numPr>
          <w:ilvl w:val="0"/>
          <w:numId w:val="67"/>
        </w:numPr>
      </w:pPr>
      <w:r>
        <w:t>Scheduled and forced outage characteristics of thermal plant.</w:t>
      </w:r>
    </w:p>
    <w:p w:rsidR="00CA7512" w:rsidRDefault="00CA7512" w:rsidP="009E0DE2">
      <w:pPr>
        <w:pStyle w:val="Para0bullet"/>
        <w:numPr>
          <w:ilvl w:val="0"/>
          <w:numId w:val="67"/>
        </w:numPr>
      </w:pPr>
      <w:r>
        <w:t>Energy efficiency and interruptible loads as a dispatchable resource.</w:t>
      </w:r>
    </w:p>
    <w:p w:rsidR="00CA7512" w:rsidRDefault="00CA7512" w:rsidP="00CA7512">
      <w:pPr>
        <w:pStyle w:val="Para0"/>
      </w:pPr>
      <w:r>
        <w:t>The model projects electricity market impacts for expected levels of generation for each generating unit in the system.  The level of utilisation depends on plant availability, their cost structure relative to other plant in the system and bidding strategies of the generators.  Bids are typically formulated as multiples of marginal cost and are varied above unity to represent the impact of contract positions and price support provided by dominant market participants.</w:t>
      </w:r>
    </w:p>
    <w:p w:rsidR="00CA7512" w:rsidRDefault="00CA7512" w:rsidP="00CA7512">
      <w:pPr>
        <w:pStyle w:val="Para0"/>
      </w:pPr>
      <w:r>
        <w:t>New plant or energy efficiency programs, whether to meet load growth or to replace uneconomic plant, are chosen on two criteria:</w:t>
      </w:r>
    </w:p>
    <w:p w:rsidR="00CA7512" w:rsidRDefault="00CA7512" w:rsidP="009E0DE2">
      <w:pPr>
        <w:pStyle w:val="Para0bullet"/>
        <w:numPr>
          <w:ilvl w:val="0"/>
          <w:numId w:val="67"/>
        </w:numPr>
      </w:pPr>
      <w:r>
        <w:t>To ensure electricity supply requirements are met under most contingencies.  The parameters for quality of supply are determined in the model through the loss of load, energy not served and reserve margin. We have used a maximum energy not served of 0.002%</w:t>
      </w:r>
      <w:r w:rsidR="00093AB5">
        <w:t xml:space="preserve"> on a regional basis</w:t>
      </w:r>
      <w:r>
        <w:t>, which is in line with planning criteria used by system operators.</w:t>
      </w:r>
    </w:p>
    <w:p w:rsidR="00CA7512" w:rsidRDefault="00CA7512" w:rsidP="009E0DE2">
      <w:pPr>
        <w:pStyle w:val="Para0bullet"/>
        <w:numPr>
          <w:ilvl w:val="0"/>
          <w:numId w:val="67"/>
        </w:numPr>
      </w:pPr>
      <w:r>
        <w:t xml:space="preserve">Revenues earned by the new plant/energy efficiency program equal or exceed the long run average cost of the new generator.  </w:t>
      </w:r>
    </w:p>
    <w:p w:rsidR="00CA7512" w:rsidRDefault="00CA7512" w:rsidP="00CA7512">
      <w:pPr>
        <w:pStyle w:val="Para0"/>
      </w:pPr>
      <w:r>
        <w:t>Each power plant is considered separately in the model.  The plants are divided into generating units, with each unit defined by minimum and maximum operating capacity, heat rates, planned and unplanned outages, fuel costs and operating and maintenance costs.</w:t>
      </w:r>
    </w:p>
    <w:p w:rsidR="0010488E" w:rsidRPr="0010488E" w:rsidRDefault="0010488E" w:rsidP="0010488E">
      <w:pPr>
        <w:spacing w:before="240" w:after="120"/>
      </w:pPr>
      <w:r w:rsidRPr="0010488E">
        <w:t>Strategist also accounts for inter-regional trading, scheduled and forced outage characteristics of thermal plant (using a probabilistic mechanism), and the implementation of government policies such as the expanded Renewable Energy Target (RET) schemes.</w:t>
      </w:r>
    </w:p>
    <w:p w:rsidR="0010488E" w:rsidRPr="0010488E" w:rsidRDefault="0010488E" w:rsidP="0010488E">
      <w:pPr>
        <w:spacing w:before="240" w:after="120"/>
      </w:pPr>
      <w:r w:rsidRPr="0010488E">
        <w:t xml:space="preserve">Timing of new generation is determined by a generation expansion plan that defines the additional generation capacity that is needed to meet future load or </w:t>
      </w:r>
      <w:r w:rsidR="00CA7512">
        <w:t xml:space="preserve">cover </w:t>
      </w:r>
      <w:r w:rsidRPr="0010488E">
        <w:t>plant retirements</w:t>
      </w:r>
      <w:r w:rsidR="00093AB5">
        <w:t xml:space="preserve"> by maintaining minimum reserve and reliability standards</w:t>
      </w:r>
      <w:r w:rsidRPr="0010488E">
        <w:t xml:space="preserve">. As such by comparing a reference </w:t>
      </w:r>
      <w:r w:rsidR="003C2DA0">
        <w:t xml:space="preserve">scenario </w:t>
      </w:r>
      <w:r w:rsidRPr="0010488E">
        <w:t xml:space="preserve">to a </w:t>
      </w:r>
      <w:r w:rsidR="003C2DA0">
        <w:t>policy scenario</w:t>
      </w:r>
      <w:r w:rsidRPr="0010488E">
        <w:t xml:space="preserve">, we can quantify any deferred generation benefits. The expansion plan has a sustainable wholesale market price path, applying market power where it is evident, </w:t>
      </w:r>
      <w:proofErr w:type="gramStart"/>
      <w:r w:rsidRPr="0010488E">
        <w:t>a</w:t>
      </w:r>
      <w:proofErr w:type="gramEnd"/>
      <w:r w:rsidRPr="0010488E">
        <w:t xml:space="preserve"> consistent set of renewable and thermal new entry plant and must meet reserve constraints in each region. Every expansion plan for the reference and policy scenarios in this study is checked and reviewed to ensure that these criteria are met.</w:t>
      </w:r>
    </w:p>
    <w:p w:rsidR="004D7EE1" w:rsidRDefault="004D7EE1" w:rsidP="004D7EE1">
      <w:pPr>
        <w:spacing w:before="240" w:after="120"/>
      </w:pPr>
      <w:r>
        <w:t>Strategist represents the major thermal, hydro and pumped storage resources as well as the interconnections between the NEM regions.  In addition, Jacobs partitions Queensland into three zones to better model the impact of transmission constraints and the trends in marginal losses and generation patterns change in Queensland.  These constraints and marginal losses are projected into the future based on past trends.</w:t>
      </w:r>
    </w:p>
    <w:p w:rsidR="004D7EE1" w:rsidRDefault="004D7EE1" w:rsidP="004D7EE1">
      <w:pPr>
        <w:spacing w:before="240" w:after="120"/>
      </w:pPr>
      <w:r>
        <w:t xml:space="preserve">Average hourly pool prices are determined within Strategist based on thermal plant bids derived from marginal costs or entered directly.  The internal Strategist methodology is represented in </w:t>
      </w:r>
      <w:r>
        <w:fldChar w:fldCharType="begin"/>
      </w:r>
      <w:r>
        <w:instrText xml:space="preserve"> REF _Ref418588632 \h </w:instrText>
      </w:r>
      <w:r>
        <w:fldChar w:fldCharType="separate"/>
      </w:r>
      <w:r w:rsidR="00014844">
        <w:t xml:space="preserve">Figure </w:t>
      </w:r>
      <w:r w:rsidR="00014844">
        <w:rPr>
          <w:noProof/>
        </w:rPr>
        <w:t>7</w:t>
      </w:r>
      <w:r>
        <w:fldChar w:fldCharType="end"/>
      </w:r>
      <w:r>
        <w:t xml:space="preserve"> and the Jacobs modelling procedures for determining the timing of new generation and transmission resources, and bid gaming factors are presented in.  </w:t>
      </w:r>
    </w:p>
    <w:p w:rsidR="004D7EE1" w:rsidRDefault="004D7EE1" w:rsidP="004D7EE1">
      <w:pPr>
        <w:spacing w:before="240" w:after="120"/>
      </w:pPr>
      <w:r>
        <w:t>The PROVIEW module of Strategist is used to develop the expansion plan with a view to minimising the total costs of the generation system plus interconnection augmentation.  This is similar to the outcome afforded by a competitive market.  However due to computational burden and structural limitations of the Strategist package, it is not feasible to complete in one analysis:</w:t>
      </w:r>
    </w:p>
    <w:p w:rsidR="004D7EE1" w:rsidRPr="00791E1F" w:rsidRDefault="004D7EE1" w:rsidP="009E0DE2">
      <w:pPr>
        <w:pStyle w:val="ListParagraph"/>
        <w:numPr>
          <w:ilvl w:val="0"/>
          <w:numId w:val="69"/>
        </w:numPr>
        <w:spacing w:before="240" w:after="120"/>
        <w:rPr>
          <w:rFonts w:ascii="Arial" w:hAnsi="Arial" w:cs="Arial"/>
          <w:sz w:val="20"/>
          <w:szCs w:val="20"/>
        </w:rPr>
      </w:pPr>
      <w:r w:rsidRPr="00791E1F">
        <w:rPr>
          <w:rFonts w:ascii="Arial" w:hAnsi="Arial" w:cs="Arial"/>
          <w:sz w:val="20"/>
          <w:szCs w:val="20"/>
        </w:rPr>
        <w:lastRenderedPageBreak/>
        <w:t>The establishment of an optimal expansion plan (multiplicity of options and development sequences means that run time is the main limitation)</w:t>
      </w:r>
    </w:p>
    <w:p w:rsidR="004D7EE1" w:rsidRPr="00791E1F" w:rsidRDefault="004D7EE1" w:rsidP="009E0DE2">
      <w:pPr>
        <w:pStyle w:val="ListParagraph"/>
        <w:numPr>
          <w:ilvl w:val="0"/>
          <w:numId w:val="69"/>
        </w:numPr>
        <w:spacing w:before="240" w:after="120"/>
        <w:rPr>
          <w:rFonts w:ascii="Arial" w:hAnsi="Arial" w:cs="Arial"/>
          <w:sz w:val="20"/>
          <w:szCs w:val="20"/>
        </w:rPr>
      </w:pPr>
      <w:r w:rsidRPr="00791E1F">
        <w:rPr>
          <w:rFonts w:ascii="Arial" w:hAnsi="Arial" w:cs="Arial"/>
          <w:sz w:val="20"/>
          <w:szCs w:val="20"/>
        </w:rPr>
        <w:t xml:space="preserve">A review of the contract positions and the opportunity for </w:t>
      </w:r>
      <w:proofErr w:type="gramStart"/>
      <w:r w:rsidRPr="00791E1F">
        <w:rPr>
          <w:rFonts w:ascii="Arial" w:hAnsi="Arial" w:cs="Arial"/>
          <w:sz w:val="20"/>
          <w:szCs w:val="20"/>
        </w:rPr>
        <w:t>gaming</w:t>
      </w:r>
      <w:proofErr w:type="gramEnd"/>
      <w:r w:rsidRPr="00791E1F">
        <w:rPr>
          <w:rFonts w:ascii="Arial" w:hAnsi="Arial" w:cs="Arial"/>
          <w:sz w:val="20"/>
          <w:szCs w:val="20"/>
        </w:rPr>
        <w:t xml:space="preserve"> the spot market prices.</w:t>
      </w:r>
    </w:p>
    <w:p w:rsidR="004D7EE1" w:rsidRDefault="004D7EE1" w:rsidP="004D7EE1">
      <w:pPr>
        <w:spacing w:before="240" w:after="120"/>
      </w:pPr>
      <w:r>
        <w:t>We therefore, conduct a number of iterations of PROVIEW to develop a workable expansion plan and then refine the expansion plan to achieve a sustainable price path applying market power where it is apparent and to obtain a consistent set of emission</w:t>
      </w:r>
      <w:r w:rsidR="00ED19CE">
        <w:t>s reduction</w:t>
      </w:r>
      <w:r w:rsidR="00192A2F">
        <w:t xml:space="preserve"> </w:t>
      </w:r>
      <w:r>
        <w:t>prices and new entry plant mix.</w:t>
      </w:r>
    </w:p>
    <w:p w:rsidR="005870AD" w:rsidRDefault="004D7EE1" w:rsidP="005870AD">
      <w:pPr>
        <w:spacing w:before="240" w:after="120"/>
      </w:pPr>
      <w:r>
        <w:t xml:space="preserve">Strategist generates average hourly marginal prices for each hour of a typical week for each month of the year at each of the regional reference nodes, having regard to thermal plant failure states and their probabilities.  The prices are solved across the regions of the NEM having regard to inter-regional loss functions and capacity constraints.  </w:t>
      </w:r>
      <w:r w:rsidR="00C77ADF">
        <w:t>Interregional capacity is increased in line with capacity needed to avoid prolonged substantial price separation between interconnected regions, with price separation not being greater than typical line losses.</w:t>
      </w:r>
      <w:r w:rsidR="000A1207">
        <w:t xml:space="preserve"> It will be assumed that these expansions do not change existing interregional marginal losses. </w:t>
      </w:r>
    </w:p>
    <w:p w:rsidR="004D7EE1" w:rsidRDefault="005870AD" w:rsidP="005870AD">
      <w:pPr>
        <w:spacing w:before="240" w:after="120"/>
      </w:pPr>
      <w:r>
        <w:t>Bids are generally formulated as multiples of marginal cost and are varied by ratios above unity to represent the impact of contract positions and the price support</w:t>
      </w:r>
      <w:r w:rsidR="00C77ADF">
        <w:t xml:space="preserve"> for plant with limited dispatch time to recover fixed costs</w:t>
      </w:r>
      <w:r>
        <w:t>.  Some capacity of cogeneration plants is bid below short run marginal cost to represent the value of the steam supply which is not included in the power plant model.  .</w:t>
      </w:r>
    </w:p>
    <w:p w:rsidR="005870AD" w:rsidRDefault="005870AD" w:rsidP="005870AD">
      <w:pPr>
        <w:spacing w:before="240" w:after="120"/>
      </w:pPr>
      <w:r w:rsidRPr="004F1291">
        <w:t>Each power plant is considered separately in the model.  The plants are divided into generating units, with each unit defined by minimum and maximum operating capacity, heat rates, planned and unplanned outages, fuel costs and operating and maintenance costs</w:t>
      </w:r>
      <w:r>
        <w:t>.</w:t>
      </w:r>
    </w:p>
    <w:p w:rsidR="004D7EE1" w:rsidRDefault="004D7EE1" w:rsidP="004D7EE1">
      <w:pPr>
        <w:pStyle w:val="Caption"/>
      </w:pPr>
      <w:bookmarkStart w:id="102" w:name="_Ref418588632"/>
      <w:r>
        <w:t xml:space="preserve">Figure </w:t>
      </w:r>
      <w:r w:rsidR="00941D78">
        <w:fldChar w:fldCharType="begin"/>
      </w:r>
      <w:r w:rsidR="00941D78">
        <w:instrText xml:space="preserve"> SEQ Figure \* ARABIC </w:instrText>
      </w:r>
      <w:r w:rsidR="00941D78">
        <w:fldChar w:fldCharType="separate"/>
      </w:r>
      <w:r w:rsidR="00014844">
        <w:rPr>
          <w:noProof/>
        </w:rPr>
        <w:t>7</w:t>
      </w:r>
      <w:r w:rsidR="00941D78">
        <w:fldChar w:fldCharType="end"/>
      </w:r>
      <w:bookmarkEnd w:id="102"/>
      <w:r>
        <w:t>:  Strategist Analysis Flowchart</w:t>
      </w:r>
    </w:p>
    <w:p w:rsidR="004D7EE1" w:rsidRDefault="004D7EE1" w:rsidP="004D7EE1">
      <w:pPr>
        <w:spacing w:before="240" w:after="120"/>
      </w:pPr>
      <w:r w:rsidRPr="00311FF7">
        <w:rPr>
          <w:b/>
          <w:noProof/>
          <w:lang w:eastAsia="en-AU"/>
        </w:rPr>
        <w:drawing>
          <wp:inline distT="0" distB="0" distL="0" distR="0" wp14:anchorId="319BB319" wp14:editId="3D328ED7">
            <wp:extent cx="4914900" cy="3119892"/>
            <wp:effectExtent l="19050" t="0" r="0" b="0"/>
            <wp:docPr id="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914900" cy="3119892"/>
                    </a:xfrm>
                    <a:prstGeom prst="rect">
                      <a:avLst/>
                    </a:prstGeom>
                    <a:noFill/>
                    <a:ln w="9525">
                      <a:noFill/>
                      <a:miter lim="800000"/>
                      <a:headEnd/>
                      <a:tailEnd/>
                    </a:ln>
                  </pic:spPr>
                </pic:pic>
              </a:graphicData>
            </a:graphic>
          </wp:inline>
        </w:drawing>
      </w:r>
      <w:r>
        <w:t xml:space="preserve">  </w:t>
      </w:r>
    </w:p>
    <w:p w:rsidR="00192A2F" w:rsidRPr="0075516A" w:rsidRDefault="00192A2F" w:rsidP="00192A2F">
      <w:pPr>
        <w:pStyle w:val="Para0"/>
      </w:pPr>
      <w:r w:rsidRPr="00056DF5">
        <w:rPr>
          <w:sz w:val="16"/>
          <w:szCs w:val="16"/>
        </w:rPr>
        <w:t xml:space="preserve">Source: </w:t>
      </w:r>
      <w:r>
        <w:rPr>
          <w:sz w:val="16"/>
          <w:szCs w:val="16"/>
        </w:rPr>
        <w:t>Jacobs</w:t>
      </w:r>
    </w:p>
    <w:p w:rsidR="00192A2F" w:rsidRDefault="00192A2F" w:rsidP="004D7EE1">
      <w:pPr>
        <w:spacing w:before="240" w:after="120"/>
      </w:pPr>
    </w:p>
    <w:p w:rsidR="004D7EE1" w:rsidRDefault="004D7EE1" w:rsidP="004D7EE1">
      <w:pPr>
        <w:pStyle w:val="Caption"/>
      </w:pPr>
      <w:r>
        <w:lastRenderedPageBreak/>
        <w:t xml:space="preserve">Figure </w:t>
      </w:r>
      <w:r w:rsidR="00941D78">
        <w:fldChar w:fldCharType="begin"/>
      </w:r>
      <w:r w:rsidR="00941D78">
        <w:instrText xml:space="preserve"> SEQ Figure \* ARABIC </w:instrText>
      </w:r>
      <w:r w:rsidR="00941D78">
        <w:fldChar w:fldCharType="separate"/>
      </w:r>
      <w:r w:rsidR="00014844">
        <w:rPr>
          <w:noProof/>
        </w:rPr>
        <w:t>8</w:t>
      </w:r>
      <w:r w:rsidR="00941D78">
        <w:fldChar w:fldCharType="end"/>
      </w:r>
      <w:r>
        <w:t>: Jacobs Strategist Modelling Procedures</w:t>
      </w:r>
    </w:p>
    <w:p w:rsidR="004D7EE1" w:rsidRDefault="004D7EE1" w:rsidP="004D7EE1">
      <w:pPr>
        <w:spacing w:before="240" w:after="120"/>
      </w:pPr>
      <w:r w:rsidRPr="00311FF7">
        <w:rPr>
          <w:b/>
          <w:noProof/>
          <w:lang w:eastAsia="en-AU"/>
        </w:rPr>
        <w:drawing>
          <wp:inline distT="0" distB="0" distL="0" distR="0" wp14:anchorId="579E8FE4" wp14:editId="79030A19">
            <wp:extent cx="4914900" cy="4164783"/>
            <wp:effectExtent l="19050" t="0" r="0" b="0"/>
            <wp:docPr id="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916894" cy="4166472"/>
                    </a:xfrm>
                    <a:prstGeom prst="rect">
                      <a:avLst/>
                    </a:prstGeom>
                    <a:noFill/>
                    <a:ln w="9525">
                      <a:noFill/>
                      <a:miter lim="800000"/>
                      <a:headEnd/>
                      <a:tailEnd/>
                    </a:ln>
                  </pic:spPr>
                </pic:pic>
              </a:graphicData>
            </a:graphic>
          </wp:inline>
        </w:drawing>
      </w:r>
      <w:r>
        <w:t xml:space="preserve">  </w:t>
      </w:r>
    </w:p>
    <w:p w:rsidR="00192A2F" w:rsidRDefault="00192A2F" w:rsidP="004D7EE1">
      <w:pPr>
        <w:spacing w:before="240" w:after="120"/>
      </w:pPr>
      <w:r w:rsidRPr="00056DF5">
        <w:rPr>
          <w:sz w:val="16"/>
          <w:szCs w:val="16"/>
        </w:rPr>
        <w:t xml:space="preserve">Source: </w:t>
      </w:r>
      <w:r>
        <w:rPr>
          <w:sz w:val="16"/>
          <w:szCs w:val="16"/>
        </w:rPr>
        <w:t>Jacobs</w:t>
      </w:r>
    </w:p>
    <w:p w:rsidR="00CA7512" w:rsidRPr="005C086B" w:rsidRDefault="00CA7512" w:rsidP="00CA7512">
      <w:pPr>
        <w:pStyle w:val="Appendixsubheading1"/>
      </w:pPr>
      <w:bookmarkStart w:id="103" w:name="_Toc416177980"/>
      <w:bookmarkStart w:id="104" w:name="_Toc418776188"/>
      <w:bookmarkStart w:id="105" w:name="_Toc419133330"/>
      <w:bookmarkStart w:id="106" w:name="_Toc419383236"/>
      <w:bookmarkStart w:id="107" w:name="_Toc419731541"/>
      <w:bookmarkStart w:id="108" w:name="_Toc419731922"/>
      <w:bookmarkStart w:id="109" w:name="_Toc419793642"/>
      <w:r w:rsidRPr="005C086B">
        <w:t>DOGMMA</w:t>
      </w:r>
      <w:bookmarkEnd w:id="103"/>
      <w:bookmarkEnd w:id="104"/>
      <w:bookmarkEnd w:id="105"/>
      <w:bookmarkEnd w:id="106"/>
      <w:bookmarkEnd w:id="107"/>
      <w:bookmarkEnd w:id="108"/>
      <w:bookmarkEnd w:id="109"/>
    </w:p>
    <w:p w:rsidR="00CA7512" w:rsidRDefault="00CA7512" w:rsidP="00CA7512">
      <w:pPr>
        <w:pStyle w:val="Para0"/>
      </w:pPr>
      <w:r>
        <w:t xml:space="preserve">Uptake of small-scale renewable technologies is be affected by a number of factors.  </w:t>
      </w:r>
      <w:r w:rsidRPr="003762C7">
        <w:rPr>
          <w:i/>
        </w:rPr>
        <w:t>DOGMMA</w:t>
      </w:r>
      <w:r>
        <w:t xml:space="preserve"> (Distributed On-site Generation Market Model Australia) determines the uptake of renewable technologies with and without storage based on net cost of generation (after F</w:t>
      </w:r>
      <w:r w:rsidR="003C2DA0">
        <w:t>i</w:t>
      </w:r>
      <w:r>
        <w:t>T revenue and other subsidies are deducted from costs) versus net cost of grid delivered power.  Because the cost of small-scale generation will vary by location and load factors, the model estimates uptake based on renewable and fuel resources and load levels within distribution regions.  Other factors that may impact on the decision are modelled such as a premium prepared to be paid for small scale renewable generation.  We calculate the premium based on market survey data and other published market data.  The premium will be assumed to decrease as the rate of uptake increases (reflecting the fact that the willingness to pay will vary among customers).</w:t>
      </w:r>
    </w:p>
    <w:p w:rsidR="00CA7512" w:rsidRDefault="00CA7512" w:rsidP="00CA7512">
      <w:pPr>
        <w:pStyle w:val="Para0"/>
      </w:pPr>
      <w:r>
        <w:t>The cost of small scale renewable energy technologies is treated as an annualised cost where the capital and installation cost of each component of a small scale generation system is annualised over the assumed lifespan of each component, discounted using an appropriate weighted average cost of capital.  Revenues include sales of electricity to the grid using time weighted electricity prices on the wholesale and retail market (as affected by the emission</w:t>
      </w:r>
      <w:r w:rsidR="00ED19CE">
        <w:t>s reduction</w:t>
      </w:r>
      <w:r>
        <w:t xml:space="preserve"> policy), avoidance of network costs under any type of tariff structure, including upgrade costs if these can be captured, and the cost of avoided purchases from the grid.</w:t>
      </w:r>
    </w:p>
    <w:p w:rsidR="00CA7512" w:rsidRDefault="00CA7512" w:rsidP="00C622E3">
      <w:pPr>
        <w:pStyle w:val="Para0"/>
        <w:keepNext/>
        <w:keepLines/>
      </w:pPr>
      <w:r>
        <w:t>The model is characterised by:</w:t>
      </w:r>
    </w:p>
    <w:p w:rsidR="00CA7512" w:rsidRDefault="00CA7512" w:rsidP="009E0DE2">
      <w:pPr>
        <w:pStyle w:val="Para0bullet"/>
        <w:numPr>
          <w:ilvl w:val="0"/>
          <w:numId w:val="67"/>
        </w:numPr>
      </w:pPr>
      <w:r>
        <w:t>A regional breakdown, where each region is defined by transmission or distribution connection point zones. The number of regions in each State depends on the availability of data on availability or customer numbers.</w:t>
      </w:r>
    </w:p>
    <w:p w:rsidR="00CA7512" w:rsidRDefault="00CA7512" w:rsidP="009E0DE2">
      <w:pPr>
        <w:pStyle w:val="Para0bullet"/>
        <w:numPr>
          <w:ilvl w:val="0"/>
          <w:numId w:val="67"/>
        </w:numPr>
      </w:pPr>
      <w:r>
        <w:lastRenderedPageBreak/>
        <w:t>The handling of different technologies of differing standard sizes including PV systems, solar and heat pump water heaters, small-scale wind and mini-hydro systems  with and without battery storage systems.</w:t>
      </w:r>
    </w:p>
    <w:p w:rsidR="00CA7512" w:rsidRDefault="00CA7512" w:rsidP="009E0DE2">
      <w:pPr>
        <w:pStyle w:val="Para0bullet"/>
        <w:numPr>
          <w:ilvl w:val="0"/>
          <w:numId w:val="67"/>
        </w:numPr>
      </w:pPr>
      <w:r>
        <w:t>Differentiation into the commercial and residential sectors where each sector is characterised by standard system sizes, levels of net exports to the grid, tariffs avoided, funding approaches and payback periods.</w:t>
      </w:r>
    </w:p>
    <w:p w:rsidR="00CA7512" w:rsidRDefault="00CA7512" w:rsidP="009E0DE2">
      <w:pPr>
        <w:pStyle w:val="Para0bullet"/>
        <w:numPr>
          <w:ilvl w:val="0"/>
          <w:numId w:val="67"/>
        </w:numPr>
      </w:pPr>
      <w:r>
        <w:t>The ability to test implications of changing network tariff structures and changes to Government support programs.</w:t>
      </w:r>
    </w:p>
    <w:p w:rsidR="00CA7512" w:rsidRDefault="00CA7512" w:rsidP="00CA7512">
      <w:pPr>
        <w:pStyle w:val="Para0"/>
      </w:pPr>
      <w:r>
        <w:t>The DOGMMA model determines uptake of small-scale renewable technologies and these will then be fed into the Strategist model, where the level of small-scale technology uptake, especially that of rooftop PV, will effectively distort the load shape seen by the grid. Current modelling already shows that the large rate of rooftop PV uptake which is expected to continue, albeit at a slower pace than previously, distorts the transmission level load shape, which is the shape seen by large-scale generators, in the coming years.</w:t>
      </w:r>
    </w:p>
    <w:p w:rsidR="00CA7512" w:rsidRPr="005C086B" w:rsidRDefault="00CA7512" w:rsidP="00CA7512">
      <w:pPr>
        <w:pStyle w:val="Appendixsubheading1"/>
      </w:pPr>
      <w:bookmarkStart w:id="110" w:name="_Toc326562749"/>
      <w:bookmarkStart w:id="111" w:name="_Toc416177981"/>
      <w:bookmarkStart w:id="112" w:name="_Toc418776189"/>
      <w:bookmarkStart w:id="113" w:name="_Toc419133331"/>
      <w:bookmarkStart w:id="114" w:name="_Toc419383237"/>
      <w:bookmarkStart w:id="115" w:name="_Toc419731542"/>
      <w:bookmarkStart w:id="116" w:name="_Toc419731923"/>
      <w:bookmarkStart w:id="117" w:name="_Toc419793643"/>
      <w:r w:rsidRPr="005C086B">
        <w:t>REMMA</w:t>
      </w:r>
      <w:bookmarkEnd w:id="110"/>
      <w:bookmarkEnd w:id="111"/>
      <w:bookmarkEnd w:id="112"/>
      <w:bookmarkEnd w:id="113"/>
      <w:bookmarkEnd w:id="114"/>
      <w:bookmarkEnd w:id="115"/>
      <w:bookmarkEnd w:id="116"/>
      <w:bookmarkEnd w:id="117"/>
    </w:p>
    <w:p w:rsidR="00CA7512" w:rsidRDefault="00CA7512" w:rsidP="00CA7512">
      <w:pPr>
        <w:pStyle w:val="Para0"/>
      </w:pPr>
      <w:r>
        <w:t>The renewable energy market under any renewable energy target scheme will be modelled in REMMA, Jacobs’ renewable energy model.  REMMA is a tool that estimates a least cost renewable energy expansion plan, and solves the supply and demand for LGCs having regard to the underlying energy value of the production for each type of resource (base load, wind, solar, biomass with seasonality).</w:t>
      </w:r>
    </w:p>
    <w:p w:rsidR="00CA7512" w:rsidRDefault="00CA7512" w:rsidP="00CA7512">
      <w:pPr>
        <w:pStyle w:val="Para0"/>
      </w:pPr>
      <w:r>
        <w:t xml:space="preserve">Strategist will be run in conjunction with the renewable energy market model to determine the wholesale market solution that is also compatible and most efficient with regard to renewable energy markets.  Additional renewable generation has the effect of reducing wholesale prices while reduced wholesale prices typically have the effect of reducing investment in renewable generation.  Iteration of these models typically allows the overall solution to converge to a stable model of consistent wholesale and renewable energy markets.  </w:t>
      </w:r>
    </w:p>
    <w:p w:rsidR="00CA7512" w:rsidRDefault="00CA7512" w:rsidP="00CA7512">
      <w:pPr>
        <w:pStyle w:val="Para0"/>
      </w:pPr>
      <w:r>
        <w:t xml:space="preserve">The REMMA model allows Jacobs to model the impact of policies affecting an expanded target or through external price incentives.  Uptake of renewable generation, both its timing and location, is affected both by mandated targets and the impacts of other policies designed to reduce emissions of greenhouse gases.  </w:t>
      </w:r>
    </w:p>
    <w:p w:rsidR="00CA7512" w:rsidRDefault="00CA7512" w:rsidP="00CA7512">
      <w:pPr>
        <w:pStyle w:val="Para0"/>
      </w:pPr>
      <w:r>
        <w:t>Projecting certificate prices with the REMMA model is based on the assumption that the price of the certificate will be the difference between the cost of the marginal renewable generator and the price of electricity achieved for that generation.  The basic premise behind the method is that the certificate provides the subsidy, in addition to the electricity price, that is required to make the last installed (marginal) renewable energy generator to meet the mandatory target economic without further subsidisation.  The REMMA uses a linear programming algorithm to determine least cost uptake of renewable technologies to meet the target, subject to constraints in resource availability and regulatory limits on uptake.  The optimisation requires that the interim targets are met in each year (by current generation and banked certificates) and generation covers the total number of certificates required over the period to 2030 when the program is scheduled to terminate.  The certificate price path is set by the net cost of the marginal generators, which enable the above conditions to be met and result in positive returns to the investments in each of the projects.  Jacobs has a detailed database of renewable energy projects (existing, committed and proposed) that supports our modelling of the renewable uptake.  The database includes estimation of capital costs, likely reductions in capital costs over time, operating and fuel costs, connection costs, and other variable costs for over 900 individual projects.</w:t>
      </w:r>
      <w:r w:rsidR="00E07274">
        <w:t xml:space="preserve"> Two snapshots of the supply curve used in the REMMA model </w:t>
      </w:r>
      <w:r w:rsidR="003C2DA0">
        <w:t xml:space="preserve">(which represents all available new renewable energy projects in Australia) </w:t>
      </w:r>
      <w:r w:rsidR="00E07274">
        <w:t xml:space="preserve">are shown in </w:t>
      </w:r>
      <w:r w:rsidR="00E07274">
        <w:fldChar w:fldCharType="begin"/>
      </w:r>
      <w:r w:rsidR="00E07274">
        <w:instrText xml:space="preserve"> REF _Ref419357625 \h </w:instrText>
      </w:r>
      <w:r w:rsidR="00E07274">
        <w:fldChar w:fldCharType="separate"/>
      </w:r>
      <w:r w:rsidR="00014844">
        <w:t xml:space="preserve">Figure </w:t>
      </w:r>
      <w:r w:rsidR="00014844">
        <w:rPr>
          <w:noProof/>
        </w:rPr>
        <w:t>9</w:t>
      </w:r>
      <w:r w:rsidR="00E07274">
        <w:fldChar w:fldCharType="end"/>
      </w:r>
      <w:r w:rsidR="00E07274">
        <w:t>.</w:t>
      </w:r>
    </w:p>
    <w:p w:rsidR="00CA7512" w:rsidRDefault="00CA7512" w:rsidP="00CA7512">
      <w:pPr>
        <w:pStyle w:val="Para0"/>
      </w:pPr>
      <w:r>
        <w:t>The model can be readily extended to include other forms of low emission generation.  The model already includes waste coal mine gas as an option to meet a separate target.</w:t>
      </w:r>
    </w:p>
    <w:p w:rsidR="005F4B53" w:rsidRDefault="005F4B53" w:rsidP="0010488E">
      <w:pPr>
        <w:spacing w:before="240" w:after="120"/>
        <w:sectPr w:rsidR="005F4B53" w:rsidSect="001329A5">
          <w:headerReference w:type="first" r:id="rId40"/>
          <w:footerReference w:type="first" r:id="rId41"/>
          <w:pgSz w:w="11901" w:h="16840" w:code="9"/>
          <w:pgMar w:top="567" w:right="851" w:bottom="851" w:left="1134" w:header="567" w:footer="369" w:gutter="0"/>
          <w:cols w:space="0"/>
          <w:formProt w:val="0"/>
          <w:docGrid w:linePitch="360"/>
        </w:sectPr>
      </w:pPr>
    </w:p>
    <w:p w:rsidR="005F4B53" w:rsidRDefault="005F4B53" w:rsidP="005F4B53">
      <w:pPr>
        <w:pStyle w:val="Heading9"/>
        <w:rPr>
          <w:rFonts w:eastAsiaTheme="minorHAnsi"/>
        </w:rPr>
      </w:pPr>
      <w:bookmarkStart w:id="118" w:name="_Toc419133332"/>
      <w:bookmarkStart w:id="119" w:name="_Ref419133423"/>
      <w:bookmarkStart w:id="120" w:name="_Ref419133424"/>
      <w:bookmarkStart w:id="121" w:name="_Toc419383238"/>
      <w:bookmarkStart w:id="122" w:name="_Toc419731543"/>
      <w:bookmarkStart w:id="123" w:name="_Toc419731924"/>
      <w:bookmarkStart w:id="124" w:name="_Toc419793644"/>
      <w:r>
        <w:rPr>
          <w:rFonts w:eastAsiaTheme="minorHAnsi"/>
        </w:rPr>
        <w:lastRenderedPageBreak/>
        <w:t>Illustrative</w:t>
      </w:r>
      <w:r w:rsidR="00237E2B">
        <w:rPr>
          <w:rFonts w:eastAsiaTheme="minorHAnsi"/>
        </w:rPr>
        <w:t xml:space="preserve"> policy</w:t>
      </w:r>
      <w:r>
        <w:rPr>
          <w:rFonts w:eastAsiaTheme="minorHAnsi"/>
        </w:rPr>
        <w:t xml:space="preserve"> s</w:t>
      </w:r>
      <w:r w:rsidRPr="008945A8">
        <w:rPr>
          <w:rFonts w:eastAsiaTheme="minorHAnsi"/>
        </w:rPr>
        <w:t>cenarios—</w:t>
      </w:r>
      <w:r>
        <w:rPr>
          <w:rFonts w:eastAsiaTheme="minorHAnsi"/>
        </w:rPr>
        <w:t>comparison table</w:t>
      </w:r>
      <w:bookmarkEnd w:id="118"/>
      <w:bookmarkEnd w:id="119"/>
      <w:bookmarkEnd w:id="120"/>
      <w:bookmarkEnd w:id="121"/>
      <w:bookmarkEnd w:id="122"/>
      <w:bookmarkEnd w:id="123"/>
      <w:bookmarkEnd w:id="124"/>
    </w:p>
    <w:tbl>
      <w:tblPr>
        <w:tblStyle w:val="Table11"/>
        <w:tblW w:w="0" w:type="auto"/>
        <w:tblLayout w:type="fixed"/>
        <w:tblLook w:val="04A0" w:firstRow="1" w:lastRow="0" w:firstColumn="1" w:lastColumn="0" w:noHBand="0" w:noVBand="1"/>
      </w:tblPr>
      <w:tblGrid>
        <w:gridCol w:w="1242"/>
        <w:gridCol w:w="3856"/>
        <w:gridCol w:w="2268"/>
        <w:gridCol w:w="1560"/>
        <w:gridCol w:w="1417"/>
        <w:gridCol w:w="3831"/>
      </w:tblGrid>
      <w:tr w:rsidR="005F4B53" w:rsidTr="009216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5F4B53" w:rsidRPr="00F67BCA" w:rsidRDefault="005F4B53" w:rsidP="005F4B53">
            <w:pPr>
              <w:rPr>
                <w:color w:val="auto"/>
                <w:sz w:val="24"/>
              </w:rPr>
            </w:pPr>
            <w:r w:rsidRPr="00F67BCA">
              <w:rPr>
                <w:color w:val="auto"/>
                <w:sz w:val="24"/>
              </w:rPr>
              <w:t>Policy scenario</w:t>
            </w:r>
          </w:p>
        </w:tc>
        <w:tc>
          <w:tcPr>
            <w:tcW w:w="3856" w:type="dxa"/>
          </w:tcPr>
          <w:p w:rsidR="005F4B53" w:rsidRPr="00F67BCA" w:rsidRDefault="005F4B53" w:rsidP="005F4B53">
            <w:pPr>
              <w:cnfStyle w:val="100000000000" w:firstRow="1" w:lastRow="0" w:firstColumn="0" w:lastColumn="0" w:oddVBand="0" w:evenVBand="0" w:oddHBand="0" w:evenHBand="0" w:firstRowFirstColumn="0" w:firstRowLastColumn="0" w:lastRowFirstColumn="0" w:lastRowLastColumn="0"/>
              <w:rPr>
                <w:color w:val="auto"/>
                <w:sz w:val="24"/>
              </w:rPr>
            </w:pPr>
            <w:r w:rsidRPr="00F67BCA">
              <w:rPr>
                <w:color w:val="auto"/>
                <w:sz w:val="24"/>
              </w:rPr>
              <w:t xml:space="preserve">Coverage, liability and eligibility </w:t>
            </w:r>
          </w:p>
        </w:tc>
        <w:tc>
          <w:tcPr>
            <w:tcW w:w="2268" w:type="dxa"/>
          </w:tcPr>
          <w:p w:rsidR="005F4B53" w:rsidRPr="00F67BCA" w:rsidRDefault="005F4B53" w:rsidP="005F4B53">
            <w:pPr>
              <w:cnfStyle w:val="100000000000" w:firstRow="1" w:lastRow="0" w:firstColumn="0" w:lastColumn="0" w:oddVBand="0" w:evenVBand="0" w:oddHBand="0" w:evenHBand="0" w:firstRowFirstColumn="0" w:firstRowLastColumn="0" w:lastRowFirstColumn="0" w:lastRowLastColumn="0"/>
              <w:rPr>
                <w:color w:val="auto"/>
                <w:sz w:val="24"/>
              </w:rPr>
            </w:pPr>
            <w:r w:rsidRPr="00F67BCA">
              <w:rPr>
                <w:color w:val="auto"/>
                <w:sz w:val="24"/>
              </w:rPr>
              <w:t>Parameters to meet emissions constraint</w:t>
            </w:r>
          </w:p>
        </w:tc>
        <w:tc>
          <w:tcPr>
            <w:tcW w:w="1560" w:type="dxa"/>
          </w:tcPr>
          <w:p w:rsidR="005F4B53" w:rsidRPr="00F67BCA" w:rsidRDefault="005F4B53" w:rsidP="005F4B53">
            <w:pPr>
              <w:cnfStyle w:val="100000000000" w:firstRow="1" w:lastRow="0" w:firstColumn="0" w:lastColumn="0" w:oddVBand="0" w:evenVBand="0" w:oddHBand="0" w:evenHBand="0" w:firstRowFirstColumn="0" w:firstRowLastColumn="0" w:lastRowFirstColumn="0" w:lastRowLastColumn="0"/>
              <w:rPr>
                <w:color w:val="auto"/>
                <w:sz w:val="24"/>
              </w:rPr>
            </w:pPr>
            <w:r w:rsidRPr="00F67BCA">
              <w:rPr>
                <w:color w:val="auto"/>
                <w:sz w:val="24"/>
              </w:rPr>
              <w:t>Banking and borrowing</w:t>
            </w:r>
          </w:p>
        </w:tc>
        <w:tc>
          <w:tcPr>
            <w:tcW w:w="1417" w:type="dxa"/>
          </w:tcPr>
          <w:p w:rsidR="005F4B53" w:rsidRPr="00F67BCA" w:rsidRDefault="005F4B53" w:rsidP="005F4B53">
            <w:pPr>
              <w:cnfStyle w:val="100000000000" w:firstRow="1" w:lastRow="0" w:firstColumn="0" w:lastColumn="0" w:oddVBand="0" w:evenVBand="0" w:oddHBand="0" w:evenHBand="0" w:firstRowFirstColumn="0" w:firstRowLastColumn="0" w:lastRowFirstColumn="0" w:lastRowLastColumn="0"/>
              <w:rPr>
                <w:color w:val="auto"/>
                <w:sz w:val="24"/>
              </w:rPr>
            </w:pPr>
            <w:r w:rsidRPr="00F67BCA">
              <w:rPr>
                <w:color w:val="auto"/>
                <w:sz w:val="24"/>
              </w:rPr>
              <w:t>New entrants standards</w:t>
            </w:r>
          </w:p>
        </w:tc>
        <w:tc>
          <w:tcPr>
            <w:tcW w:w="3831" w:type="dxa"/>
          </w:tcPr>
          <w:p w:rsidR="005F4B53" w:rsidRPr="00F67BCA" w:rsidRDefault="005F4B53" w:rsidP="005F4B53">
            <w:pPr>
              <w:cnfStyle w:val="100000000000" w:firstRow="1" w:lastRow="0" w:firstColumn="0" w:lastColumn="0" w:oddVBand="0" w:evenVBand="0" w:oddHBand="0" w:evenHBand="0" w:firstRowFirstColumn="0" w:firstRowLastColumn="0" w:lastRowFirstColumn="0" w:lastRowLastColumn="0"/>
              <w:rPr>
                <w:color w:val="auto"/>
                <w:sz w:val="24"/>
              </w:rPr>
            </w:pPr>
            <w:r w:rsidRPr="00F67BCA">
              <w:rPr>
                <w:color w:val="auto"/>
                <w:sz w:val="24"/>
              </w:rPr>
              <w:t>Other</w:t>
            </w:r>
            <w:r w:rsidR="00612CCF">
              <w:rPr>
                <w:color w:val="auto"/>
                <w:sz w:val="24"/>
              </w:rPr>
              <w:t>**</w:t>
            </w: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rPr>
                <w:b/>
                <w:i/>
              </w:rPr>
            </w:pPr>
            <w:r>
              <w:rPr>
                <w:i/>
              </w:rPr>
              <w:t xml:space="preserve">1 – </w:t>
            </w:r>
            <w:r w:rsidRPr="0023704C">
              <w:rPr>
                <w:i/>
              </w:rPr>
              <w:t>RET only</w:t>
            </w:r>
          </w:p>
        </w:tc>
        <w:tc>
          <w:tcPr>
            <w:tcW w:w="3856" w:type="dxa"/>
          </w:tcPr>
          <w:p w:rsidR="005F4B53" w:rsidRDefault="005F4B53" w:rsidP="005F4B53">
            <w:pPr>
              <w:spacing w:after="120"/>
              <w:cnfStyle w:val="000000000000" w:firstRow="0" w:lastRow="0" w:firstColumn="0" w:lastColumn="0" w:oddVBand="0" w:evenVBand="0" w:oddHBand="0" w:evenHBand="0" w:firstRowFirstColumn="0" w:firstRowLastColumn="0" w:lastRowFirstColumn="0" w:lastRowLastColumn="0"/>
              <w:rPr>
                <w:b/>
              </w:rPr>
            </w:pPr>
            <w:r w:rsidRPr="00A70FF0">
              <w:rPr>
                <w:b/>
              </w:rPr>
              <w:t>Eligibility:</w:t>
            </w:r>
            <w:r>
              <w:rPr>
                <w:b/>
              </w:rPr>
              <w:t xml:space="preserve"> </w:t>
            </w:r>
          </w:p>
          <w:p w:rsidR="005F4B53" w:rsidRPr="00F67BCA" w:rsidRDefault="005F4B53" w:rsidP="003D798D">
            <w:pPr>
              <w:pStyle w:val="ListParagraph"/>
              <w:keepNext/>
              <w:keepLines/>
              <w:numPr>
                <w:ilvl w:val="0"/>
                <w:numId w:val="71"/>
              </w:numPr>
              <w:ind w:left="318"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7BCA">
              <w:rPr>
                <w:rFonts w:ascii="Arial" w:hAnsi="Arial" w:cs="Arial"/>
                <w:sz w:val="20"/>
                <w:szCs w:val="20"/>
              </w:rPr>
              <w:t xml:space="preserve">new (from 2020) large-scale renewable generators (generators registered for existing scheme and all coal-mine methane generators ineligible) </w:t>
            </w:r>
          </w:p>
          <w:p w:rsidR="005F4B53" w:rsidRPr="00F67BCA" w:rsidRDefault="005F4B53" w:rsidP="003D798D">
            <w:pPr>
              <w:pStyle w:val="ListParagraph"/>
              <w:keepNext/>
              <w:keepLines/>
              <w:numPr>
                <w:ilvl w:val="0"/>
                <w:numId w:val="71"/>
              </w:numPr>
              <w:ind w:left="318"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7BCA">
              <w:rPr>
                <w:rFonts w:ascii="Arial" w:hAnsi="Arial" w:cs="Arial"/>
                <w:sz w:val="20"/>
                <w:szCs w:val="20"/>
              </w:rPr>
              <w:t xml:space="preserve">new commercial-scale PV (systems larger than 10kW)* </w:t>
            </w:r>
          </w:p>
          <w:p w:rsidR="005F4B53" w:rsidRPr="00F67BCA" w:rsidRDefault="005F4B53" w:rsidP="003D798D">
            <w:pPr>
              <w:pStyle w:val="ListParagraph"/>
              <w:keepNext/>
              <w:keepLines/>
              <w:numPr>
                <w:ilvl w:val="0"/>
                <w:numId w:val="71"/>
              </w:numPr>
              <w:spacing w:after="220"/>
              <w:ind w:left="318" w:hanging="28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F67BCA">
              <w:rPr>
                <w:rFonts w:ascii="Arial" w:hAnsi="Arial" w:cs="Arial"/>
                <w:sz w:val="20"/>
                <w:szCs w:val="20"/>
              </w:rPr>
              <w:t>brownfield</w:t>
            </w:r>
            <w:proofErr w:type="gramEnd"/>
            <w:r w:rsidRPr="00F67BCA">
              <w:rPr>
                <w:rFonts w:ascii="Arial" w:hAnsi="Arial" w:cs="Arial"/>
                <w:sz w:val="20"/>
                <w:szCs w:val="20"/>
              </w:rPr>
              <w:t xml:space="preserve"> projects on existing sites.</w:t>
            </w:r>
          </w:p>
          <w:p w:rsidR="005F4B53" w:rsidRDefault="005F4B53" w:rsidP="005F4B53">
            <w:pPr>
              <w:cnfStyle w:val="000000000000" w:firstRow="0" w:lastRow="0" w:firstColumn="0" w:lastColumn="0" w:oddVBand="0" w:evenVBand="0" w:oddHBand="0" w:evenHBand="0" w:firstRowFirstColumn="0" w:firstRowLastColumn="0" w:lastRowFirstColumn="0" w:lastRowLastColumn="0"/>
            </w:pPr>
            <w:r w:rsidRPr="003A54E9">
              <w:rPr>
                <w:b/>
              </w:rPr>
              <w:t>Liability</w:t>
            </w:r>
            <w:r>
              <w:t>: same liabilities as existing scheme.</w:t>
            </w:r>
          </w:p>
        </w:tc>
        <w:tc>
          <w:tcPr>
            <w:tcW w:w="2268" w:type="dxa"/>
          </w:tcPr>
          <w:p w:rsidR="005F4B53" w:rsidRDefault="005F4B53" w:rsidP="005F4B53">
            <w:pPr>
              <w:spacing w:after="120"/>
              <w:cnfStyle w:val="000000000000" w:firstRow="0" w:lastRow="0" w:firstColumn="0" w:lastColumn="0" w:oddVBand="0" w:evenVBand="0" w:oddHBand="0" w:evenHBand="0" w:firstRowFirstColumn="0" w:firstRowLastColumn="0" w:lastRowFirstColumn="0" w:lastRowLastColumn="0"/>
            </w:pPr>
            <w:r>
              <w:rPr>
                <w:b/>
              </w:rPr>
              <w:t xml:space="preserve">LRET trajectory: </w:t>
            </w:r>
            <w:r>
              <w:t xml:space="preserve">a ‘new LRET’ trajectory additional to the existing LRET trajectory grows from zero in 2020 to the required level in 2040 then flat to 2050. </w:t>
            </w:r>
          </w:p>
          <w:p w:rsidR="005F4B53" w:rsidRDefault="005F4B53" w:rsidP="005F4B53">
            <w:pPr>
              <w:cnfStyle w:val="000000000000" w:firstRow="0" w:lastRow="0" w:firstColumn="0" w:lastColumn="0" w:oddVBand="0" w:evenVBand="0" w:oddHBand="0" w:evenHBand="0" w:firstRowFirstColumn="0" w:firstRowLastColumn="0" w:lastRowFirstColumn="0" w:lastRowLastColumn="0"/>
            </w:pPr>
            <w:r>
              <w:t>Existing small</w:t>
            </w:r>
            <w:r>
              <w:noBreakHyphen/>
              <w:t>scale scheme phases out as planned.</w:t>
            </w:r>
          </w:p>
        </w:tc>
        <w:tc>
          <w:tcPr>
            <w:tcW w:w="1560"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t>Unlimited banking; borrowing limited to 10 per cent of the following year’s permits.</w:t>
            </w:r>
          </w:p>
        </w:tc>
        <w:tc>
          <w:tcPr>
            <w:tcW w:w="1417"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t xml:space="preserve">No explicit standards. </w:t>
            </w:r>
          </w:p>
        </w:tc>
        <w:tc>
          <w:tcPr>
            <w:tcW w:w="3831"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rPr>
                <w:b/>
              </w:rPr>
              <w:t>Existing LRET:</w:t>
            </w:r>
            <w:r w:rsidRPr="003A7C11">
              <w:t xml:space="preserve"> </w:t>
            </w:r>
            <w:r>
              <w:t>investments unchanged from reference case. Assume investors in existing scheme invest on existing economics (that is, they do not delay to take advantage of new scheme).</w:t>
            </w:r>
          </w:p>
          <w:p w:rsidR="005F4B53" w:rsidRDefault="005F4B53" w:rsidP="005F4B53">
            <w:pPr>
              <w:cnfStyle w:val="000000000000" w:firstRow="0" w:lastRow="0" w:firstColumn="0" w:lastColumn="0" w:oddVBand="0" w:evenVBand="0" w:oddHBand="0" w:evenHBand="0" w:firstRowFirstColumn="0" w:firstRowLastColumn="0" w:lastRowFirstColumn="0" w:lastRowLastColumn="0"/>
            </w:pP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keepNext/>
              <w:keepLines/>
              <w:rPr>
                <w:b/>
                <w:i/>
              </w:rPr>
            </w:pPr>
            <w:r>
              <w:rPr>
                <w:i/>
              </w:rPr>
              <w:lastRenderedPageBreak/>
              <w:t xml:space="preserve">2 – </w:t>
            </w:r>
            <w:r w:rsidRPr="0023704C">
              <w:rPr>
                <w:i/>
              </w:rPr>
              <w:t>Low emissions target</w:t>
            </w:r>
          </w:p>
        </w:tc>
        <w:tc>
          <w:tcPr>
            <w:tcW w:w="3856" w:type="dxa"/>
          </w:tcPr>
          <w:p w:rsidR="005F4B53" w:rsidRDefault="005F4B53" w:rsidP="005F4B53">
            <w:pPr>
              <w:keepNext/>
              <w:keepLines/>
              <w:spacing w:after="120"/>
              <w:cnfStyle w:val="000000000000" w:firstRow="0" w:lastRow="0" w:firstColumn="0" w:lastColumn="0" w:oddVBand="0" w:evenVBand="0" w:oddHBand="0" w:evenHBand="0" w:firstRowFirstColumn="0" w:firstRowLastColumn="0" w:lastRowFirstColumn="0" w:lastRowLastColumn="0"/>
            </w:pPr>
            <w:r w:rsidRPr="00AD699C">
              <w:rPr>
                <w:b/>
              </w:rPr>
              <w:t>Eligibility</w:t>
            </w:r>
            <w:r>
              <w:rPr>
                <w:b/>
              </w:rPr>
              <w:t xml:space="preserve"> and liability</w:t>
            </w:r>
            <w:r w:rsidRPr="00AD699C">
              <w:rPr>
                <w:b/>
              </w:rPr>
              <w:t>:</w:t>
            </w:r>
            <w:r>
              <w:rPr>
                <w:b/>
              </w:rPr>
              <w:t xml:space="preserve"> </w:t>
            </w:r>
            <w:r>
              <w:t xml:space="preserve">same as the ‘RET only’ scenario, with the following additions to eligibility: </w:t>
            </w:r>
          </w:p>
          <w:p w:rsidR="005F4B53" w:rsidRPr="00F67BCA" w:rsidRDefault="005F4B53" w:rsidP="003D798D">
            <w:pPr>
              <w:pStyle w:val="ListParagraph"/>
              <w:keepNext/>
              <w:keepLines/>
              <w:numPr>
                <w:ilvl w:val="0"/>
                <w:numId w:val="71"/>
              </w:numPr>
              <w:ind w:left="318"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7BCA">
              <w:rPr>
                <w:rFonts w:ascii="Arial" w:hAnsi="Arial" w:cs="Arial"/>
                <w:sz w:val="20"/>
                <w:szCs w:val="20"/>
              </w:rPr>
              <w:t>all new fossil and nuclear generation with an emissions intensity below the threshold</w:t>
            </w:r>
          </w:p>
          <w:p w:rsidR="005F4B53" w:rsidRPr="00F67BCA" w:rsidRDefault="005F4B53" w:rsidP="003D798D">
            <w:pPr>
              <w:pStyle w:val="ListParagraph"/>
              <w:keepNext/>
              <w:keepLines/>
              <w:numPr>
                <w:ilvl w:val="0"/>
                <w:numId w:val="71"/>
              </w:numPr>
              <w:ind w:left="318"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7BCA">
              <w:rPr>
                <w:rFonts w:ascii="Arial" w:hAnsi="Arial" w:cs="Arial"/>
                <w:sz w:val="20"/>
                <w:szCs w:val="20"/>
              </w:rPr>
              <w:t>existing fossil generation that has had a CCS retrofit resulting in an emissions intensity below the threshold</w:t>
            </w:r>
          </w:p>
          <w:p w:rsidR="005F4B53" w:rsidRPr="00F67BCA" w:rsidRDefault="005F4B53" w:rsidP="003D798D">
            <w:pPr>
              <w:pStyle w:val="ListParagraph"/>
              <w:keepNext/>
              <w:keepLines/>
              <w:numPr>
                <w:ilvl w:val="0"/>
                <w:numId w:val="71"/>
              </w:numPr>
              <w:ind w:left="318"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7BCA">
              <w:rPr>
                <w:rFonts w:ascii="Arial" w:hAnsi="Arial" w:cs="Arial"/>
                <w:sz w:val="20"/>
                <w:szCs w:val="20"/>
              </w:rPr>
              <w:t>coal-mine methane capture eligible according to emissions intensity of generation only</w:t>
            </w:r>
          </w:p>
          <w:p w:rsidR="005F4B53" w:rsidRDefault="005F4B53" w:rsidP="003D798D">
            <w:pPr>
              <w:pStyle w:val="ListParagraph"/>
              <w:keepNext/>
              <w:keepLines/>
              <w:numPr>
                <w:ilvl w:val="0"/>
                <w:numId w:val="71"/>
              </w:numPr>
              <w:ind w:left="318" w:hanging="284"/>
              <w:contextualSpacing/>
              <w:cnfStyle w:val="000000000000" w:firstRow="0" w:lastRow="0" w:firstColumn="0" w:lastColumn="0" w:oddVBand="0" w:evenVBand="0" w:oddHBand="0" w:evenHBand="0" w:firstRowFirstColumn="0" w:firstRowLastColumn="0" w:lastRowFirstColumn="0" w:lastRowLastColumn="0"/>
            </w:pPr>
            <w:proofErr w:type="gramStart"/>
            <w:r w:rsidRPr="00F67BCA">
              <w:rPr>
                <w:rFonts w:ascii="Arial" w:hAnsi="Arial" w:cs="Arial"/>
                <w:sz w:val="20"/>
                <w:szCs w:val="20"/>
              </w:rPr>
              <w:t>existing</w:t>
            </w:r>
            <w:proofErr w:type="gramEnd"/>
            <w:r w:rsidRPr="00F67BCA">
              <w:rPr>
                <w:rFonts w:ascii="Arial" w:hAnsi="Arial" w:cs="Arial"/>
                <w:sz w:val="20"/>
                <w:szCs w:val="20"/>
              </w:rPr>
              <w:t xml:space="preserve"> low emissions fossil plant and renewable generators eligible for generation that exceeds historic baseline levels.</w:t>
            </w:r>
          </w:p>
        </w:tc>
        <w:tc>
          <w:tcPr>
            <w:tcW w:w="2268"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 xml:space="preserve">LET trajectory: </w:t>
            </w:r>
            <w:r>
              <w:t>a LET trajectory additional to the existing LRET trajectory grows from zero in 2020 to the required level in 2040 then flat to 2050.</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c>
          <w:tcPr>
            <w:tcW w:w="1560"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Unlimited banking; borrowing limited to 10 per cent of the following year’s permits.</w:t>
            </w:r>
          </w:p>
        </w:tc>
        <w:tc>
          <w:tcPr>
            <w:tcW w:w="1417"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No explicit standards.</w:t>
            </w:r>
          </w:p>
        </w:tc>
        <w:tc>
          <w:tcPr>
            <w:tcW w:w="3831"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Threshold</w:t>
            </w:r>
            <w:r w:rsidRPr="00EA22B3">
              <w:rPr>
                <w:b/>
              </w:rPr>
              <w:t xml:space="preserve"> </w:t>
            </w:r>
            <w:r>
              <w:rPr>
                <w:b/>
              </w:rPr>
              <w:t>i</w:t>
            </w:r>
            <w:r w:rsidRPr="00EA22B3">
              <w:rPr>
                <w:b/>
              </w:rPr>
              <w:t>ntensity:</w:t>
            </w:r>
            <w:r>
              <w:t xml:space="preserve"> </w:t>
            </w:r>
            <w:r w:rsidR="00A24239">
              <w:t>Linearly declining threshold b</w:t>
            </w:r>
            <w:r w:rsidR="00402619">
              <w:t xml:space="preserve">eginning at </w:t>
            </w:r>
            <w:r w:rsidRPr="00EA22B3">
              <w:t>0.</w:t>
            </w:r>
            <w:r>
              <w:t>6 tCO</w:t>
            </w:r>
            <w:r>
              <w:rPr>
                <w:vertAlign w:val="subscript"/>
              </w:rPr>
              <w:t>2</w:t>
            </w:r>
            <w:r>
              <w:noBreakHyphen/>
              <w:t>e</w:t>
            </w:r>
            <w:r w:rsidRPr="00EA22B3">
              <w:t>/MWh (sent-out)</w:t>
            </w:r>
            <w:r w:rsidR="00402619">
              <w:t xml:space="preserve"> in 2020</w:t>
            </w:r>
            <w:r w:rsidRPr="00EA22B3">
              <w:t xml:space="preserve"> </w:t>
            </w:r>
            <w:r>
              <w:t>to provide a moderate incentive for low emissions generation; for example a c</w:t>
            </w:r>
            <w:r w:rsidR="003C2DA0">
              <w:t>ombined</w:t>
            </w:r>
            <w:r w:rsidR="003C2DA0">
              <w:noBreakHyphen/>
              <w:t>cycle gas turbine</w:t>
            </w:r>
            <w:r>
              <w:t xml:space="preserve"> (the least </w:t>
            </w:r>
            <w:r w:rsidR="003C2DA0">
              <w:t>polluting existing fossil plant</w:t>
            </w:r>
            <w:r>
              <w:t xml:space="preserve"> </w:t>
            </w:r>
            <w:r w:rsidR="003C2DA0">
              <w:t xml:space="preserve">has an intensity of </w:t>
            </w:r>
            <w:r>
              <w:t>0.4 tCO</w:t>
            </w:r>
            <w:r>
              <w:rPr>
                <w:vertAlign w:val="subscript"/>
              </w:rPr>
              <w:t>2</w:t>
            </w:r>
            <w:r>
              <w:noBreakHyphen/>
              <w:t>e</w:t>
            </w:r>
            <w:r w:rsidRPr="00EA22B3">
              <w:t>/MWh</w:t>
            </w:r>
            <w:r>
              <w:t>)</w:t>
            </w:r>
            <w:r w:rsidR="00402619">
              <w:t>.</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sidRPr="0026606D">
              <w:rPr>
                <w:b/>
              </w:rPr>
              <w:t>Existing LRET:</w:t>
            </w:r>
            <w:r w:rsidRPr="003A7C11">
              <w:t xml:space="preserve"> </w:t>
            </w:r>
            <w:r>
              <w:t>investments unchanged from reference case. Assume investors in existing scheme invest on existing economics (that is, they do not delay to take advantage of new scheme).</w:t>
            </w:r>
            <w:r>
              <w:rPr>
                <w:b/>
              </w:rPr>
              <w:t xml:space="preserve"> </w:t>
            </w: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rPr>
                <w:b/>
                <w:i/>
              </w:rPr>
            </w:pPr>
            <w:r>
              <w:rPr>
                <w:i/>
              </w:rPr>
              <w:t xml:space="preserve">3 – </w:t>
            </w:r>
            <w:r w:rsidRPr="0023704C">
              <w:rPr>
                <w:i/>
              </w:rPr>
              <w:t>Cap and trade</w:t>
            </w:r>
          </w:p>
        </w:tc>
        <w:tc>
          <w:tcPr>
            <w:tcW w:w="3856"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rPr>
                <w:b/>
              </w:rPr>
              <w:t xml:space="preserve">Coverage/liability: </w:t>
            </w:r>
            <w:r>
              <w:t xml:space="preserve">all generators in NEM and </w:t>
            </w:r>
            <w:r w:rsidR="00402619">
              <w:t>WEM</w:t>
            </w:r>
            <w:r>
              <w:t xml:space="preserve"> with emissions </w:t>
            </w:r>
            <w:proofErr w:type="gramStart"/>
            <w:r>
              <w:t>above 25,000 tCO</w:t>
            </w:r>
            <w:r w:rsidRPr="007E6BA2">
              <w:rPr>
                <w:vertAlign w:val="subscript"/>
              </w:rPr>
              <w:t>2</w:t>
            </w:r>
            <w:r>
              <w:noBreakHyphen/>
              <w:t>e/year</w:t>
            </w:r>
            <w:proofErr w:type="gramEnd"/>
            <w:r>
              <w:t>.</w:t>
            </w:r>
          </w:p>
          <w:p w:rsidR="005F4B53" w:rsidRDefault="005F4B53" w:rsidP="005F4B53">
            <w:pPr>
              <w:cnfStyle w:val="000000000000" w:firstRow="0" w:lastRow="0" w:firstColumn="0" w:lastColumn="0" w:oddVBand="0" w:evenVBand="0" w:oddHBand="0" w:evenHBand="0" w:firstRowFirstColumn="0" w:firstRowLastColumn="0" w:lastRowFirstColumn="0" w:lastRowLastColumn="0"/>
            </w:pPr>
          </w:p>
        </w:tc>
        <w:tc>
          <w:tcPr>
            <w:tcW w:w="2268"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rsidRPr="0023704C">
              <w:rPr>
                <w:b/>
              </w:rPr>
              <w:t>Emissions cap</w:t>
            </w:r>
            <w:r>
              <w:t>: solve for the sectoral cap</w:t>
            </w:r>
            <w:r w:rsidR="003C2DA0">
              <w:t>s</w:t>
            </w:r>
            <w:r>
              <w:t xml:space="preserve"> to meet the emissions constraint.</w:t>
            </w:r>
          </w:p>
        </w:tc>
        <w:tc>
          <w:tcPr>
            <w:tcW w:w="1560"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t>Unlimited banking; borrowing limited to 10 per cent of the following year’s permits.</w:t>
            </w:r>
          </w:p>
        </w:tc>
        <w:tc>
          <w:tcPr>
            <w:tcW w:w="1417" w:type="dxa"/>
          </w:tcPr>
          <w:p w:rsidR="005F4B53" w:rsidRDefault="005F4B53" w:rsidP="005F4B53">
            <w:pPr>
              <w:cnfStyle w:val="000000000000" w:firstRow="0" w:lastRow="0" w:firstColumn="0" w:lastColumn="0" w:oddVBand="0" w:evenVBand="0" w:oddHBand="0" w:evenHBand="0" w:firstRowFirstColumn="0" w:firstRowLastColumn="0" w:lastRowFirstColumn="0" w:lastRowLastColumn="0"/>
            </w:pPr>
            <w:r>
              <w:t>No explicit standards.</w:t>
            </w:r>
          </w:p>
        </w:tc>
        <w:tc>
          <w:tcPr>
            <w:tcW w:w="3831" w:type="dxa"/>
          </w:tcPr>
          <w:p w:rsidR="005F4B53" w:rsidRDefault="005F4B53" w:rsidP="005F4B53">
            <w:pPr>
              <w:spacing w:after="240"/>
              <w:cnfStyle w:val="000000000000" w:firstRow="0" w:lastRow="0" w:firstColumn="0" w:lastColumn="0" w:oddVBand="0" w:evenVBand="0" w:oddHBand="0" w:evenHBand="0" w:firstRowFirstColumn="0" w:firstRowLastColumn="0" w:lastRowFirstColumn="0" w:lastRowLastColumn="0"/>
            </w:pPr>
            <w:r w:rsidRPr="00BD0C80">
              <w:rPr>
                <w:b/>
              </w:rPr>
              <w:t xml:space="preserve">Permit allocation: </w:t>
            </w:r>
            <w:r w:rsidRPr="00BD0C80">
              <w:t>full auctioning</w:t>
            </w:r>
          </w:p>
          <w:p w:rsidR="005F4B53" w:rsidRDefault="005F4B53" w:rsidP="005F4B53">
            <w:pPr>
              <w:cnfStyle w:val="000000000000" w:firstRow="0" w:lastRow="0" w:firstColumn="0" w:lastColumn="0" w:oddVBand="0" w:evenVBand="0" w:oddHBand="0" w:evenHBand="0" w:firstRowFirstColumn="0" w:firstRowLastColumn="0" w:lastRowFirstColumn="0" w:lastRowLastColumn="0"/>
            </w:pPr>
            <w:r>
              <w:rPr>
                <w:b/>
              </w:rPr>
              <w:t xml:space="preserve">Use of offsets: </w:t>
            </w:r>
            <w:r>
              <w:t>model without offsets. The ability to use offsets to lower compliance costs will be assessed when policies are compared off</w:t>
            </w:r>
            <w:r>
              <w:noBreakHyphen/>
              <w:t>model.</w:t>
            </w: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keepNext/>
              <w:keepLines/>
              <w:rPr>
                <w:b/>
                <w:i/>
              </w:rPr>
            </w:pPr>
            <w:r>
              <w:rPr>
                <w:i/>
              </w:rPr>
              <w:lastRenderedPageBreak/>
              <w:t>4 – A</w:t>
            </w:r>
            <w:r w:rsidRPr="0023704C">
              <w:rPr>
                <w:i/>
              </w:rPr>
              <w:t>bsolute baseline</w:t>
            </w:r>
            <w:r>
              <w:rPr>
                <w:i/>
              </w:rPr>
              <w:t>s</w:t>
            </w:r>
          </w:p>
        </w:tc>
        <w:tc>
          <w:tcPr>
            <w:tcW w:w="3856" w:type="dxa"/>
          </w:tcPr>
          <w:p w:rsidR="005F4B53" w:rsidRDefault="005F4B53" w:rsidP="00402619">
            <w:pPr>
              <w:keepNext/>
              <w:keepLines/>
              <w:cnfStyle w:val="000000000000" w:firstRow="0" w:lastRow="0" w:firstColumn="0" w:lastColumn="0" w:oddVBand="0" w:evenVBand="0" w:oddHBand="0" w:evenHBand="0" w:firstRowFirstColumn="0" w:firstRowLastColumn="0" w:lastRowFirstColumn="0" w:lastRowLastColumn="0"/>
            </w:pPr>
            <w:r>
              <w:rPr>
                <w:b/>
              </w:rPr>
              <w:t xml:space="preserve">Coverage/liability: </w:t>
            </w:r>
            <w:r>
              <w:t xml:space="preserve">all generators in NEM and </w:t>
            </w:r>
            <w:r w:rsidR="00402619">
              <w:t>WEM</w:t>
            </w:r>
            <w:r>
              <w:t xml:space="preserve"> with emissions above 25,000 tCO</w:t>
            </w:r>
            <w:r w:rsidRPr="007E6BA2">
              <w:rPr>
                <w:vertAlign w:val="subscript"/>
              </w:rPr>
              <w:t>2</w:t>
            </w:r>
            <w:r>
              <w:noBreakHyphen/>
              <w:t>e/year (for the sectoral baseline); above average intensity generators (for the individual baselines). The coverage intensity threshold for individual baselines to decline at a fixed rate from commencement of the scheme.</w:t>
            </w:r>
          </w:p>
        </w:tc>
        <w:tc>
          <w:tcPr>
            <w:tcW w:w="2268"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Baselines</w:t>
            </w:r>
            <w:r w:rsidRPr="00B85478">
              <w:t>:</w:t>
            </w:r>
            <w:r>
              <w:t xml:space="preserve"> individual absolute baselines to meet the emissions constraint.</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c>
          <w:tcPr>
            <w:tcW w:w="1560"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sidRPr="00D80CFA">
              <w:t>Not applicable</w:t>
            </w:r>
            <w:r w:rsidR="003C2DA0">
              <w:t>.</w:t>
            </w:r>
          </w:p>
        </w:tc>
        <w:tc>
          <w:tcPr>
            <w:tcW w:w="1417"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Required to be at ‘best practice’ (that is, no new coal or gas plant without CCS).</w:t>
            </w:r>
          </w:p>
        </w:tc>
        <w:tc>
          <w:tcPr>
            <w:tcW w:w="3831"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Use of offsets</w:t>
            </w:r>
            <w:r w:rsidRPr="0086210F">
              <w:t>:</w:t>
            </w:r>
            <w:r>
              <w:t xml:space="preserve"> model without offsets. The ability to use offsets to lower compliance costs will be assessed when policies are compared off</w:t>
            </w:r>
            <w:r>
              <w:noBreakHyphen/>
              <w:t>model.</w:t>
            </w:r>
          </w:p>
          <w:p w:rsidR="005F4B53" w:rsidRPr="00CF19BB"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keepNext/>
              <w:keepLines/>
              <w:rPr>
                <w:b/>
                <w:i/>
              </w:rPr>
            </w:pPr>
            <w:r>
              <w:rPr>
                <w:i/>
              </w:rPr>
              <w:t xml:space="preserve">5 – </w:t>
            </w:r>
            <w:r w:rsidRPr="0023704C">
              <w:rPr>
                <w:i/>
              </w:rPr>
              <w:t>Intensity target</w:t>
            </w:r>
          </w:p>
        </w:tc>
        <w:tc>
          <w:tcPr>
            <w:tcW w:w="3856" w:type="dxa"/>
          </w:tcPr>
          <w:p w:rsidR="005F4B53" w:rsidRDefault="005F4B53" w:rsidP="005F4B53">
            <w:pPr>
              <w:pStyle w:val="Tabletext"/>
              <w:cnfStyle w:val="000000000000" w:firstRow="0" w:lastRow="0" w:firstColumn="0" w:lastColumn="0" w:oddVBand="0" w:evenVBand="0" w:oddHBand="0" w:evenHBand="0" w:firstRowFirstColumn="0" w:firstRowLastColumn="0" w:lastRowFirstColumn="0" w:lastRowLastColumn="0"/>
            </w:pPr>
            <w:r w:rsidRPr="00851624">
              <w:rPr>
                <w:b/>
              </w:rPr>
              <w:t>Coverage</w:t>
            </w:r>
            <w:r>
              <w:rPr>
                <w:b/>
              </w:rPr>
              <w:t>/liability</w:t>
            </w:r>
            <w:r>
              <w:t xml:space="preserve">: all registered generators in NEM and </w:t>
            </w:r>
            <w:r w:rsidR="00402619">
              <w:t>WEM</w:t>
            </w:r>
            <w:r>
              <w:t>. This would essentially cover all generators expected to be either buyers or sellers of permits. Generators built after 2020 will create only permits under this scheme (that is, none would be eligible to create certificates under the RET).</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c>
          <w:tcPr>
            <w:tcW w:w="2268" w:type="dxa"/>
          </w:tcPr>
          <w:p w:rsidR="005F4B53" w:rsidRDefault="005F4B53" w:rsidP="005F4B53">
            <w:pPr>
              <w:pStyle w:val="Tabletext"/>
              <w:cnfStyle w:val="000000000000" w:firstRow="0" w:lastRow="0" w:firstColumn="0" w:lastColumn="0" w:oddVBand="0" w:evenVBand="0" w:oddHBand="0" w:evenHBand="0" w:firstRowFirstColumn="0" w:firstRowLastColumn="0" w:lastRowFirstColumn="0" w:lastRowLastColumn="0"/>
            </w:pPr>
            <w:r>
              <w:rPr>
                <w:b/>
              </w:rPr>
              <w:t>Baseline trajectory</w:t>
            </w:r>
            <w:r w:rsidRPr="00CD5C7D">
              <w:t>:</w:t>
            </w:r>
            <w:r>
              <w:t xml:space="preserve"> </w:t>
            </w:r>
            <w:r w:rsidRPr="003666EE">
              <w:t xml:space="preserve">declining </w:t>
            </w:r>
            <w:r>
              <w:t xml:space="preserve">linear emissions intensity </w:t>
            </w:r>
            <w:r w:rsidRPr="003666EE">
              <w:t xml:space="preserve">baseline starting at grid average </w:t>
            </w:r>
            <w:r>
              <w:t>intensity in 2020</w:t>
            </w:r>
            <w:r w:rsidRPr="003666EE">
              <w:t xml:space="preserve"> with </w:t>
            </w:r>
            <w:r>
              <w:t xml:space="preserve">level in 2050 </w:t>
            </w:r>
            <w:r w:rsidRPr="003666EE">
              <w:t>chosen to meet the emissions constraint.</w:t>
            </w:r>
          </w:p>
        </w:tc>
        <w:tc>
          <w:tcPr>
            <w:tcW w:w="1560"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Unlimited banking; borrowing limited to 10 per cent of the following year’s permits.</w:t>
            </w:r>
          </w:p>
        </w:tc>
        <w:tc>
          <w:tcPr>
            <w:tcW w:w="1417"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No explicit standards.</w:t>
            </w:r>
          </w:p>
        </w:tc>
        <w:tc>
          <w:tcPr>
            <w:tcW w:w="3831"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sidRPr="00BD0C80">
              <w:rPr>
                <w:b/>
              </w:rPr>
              <w:t xml:space="preserve">Permit allocation: </w:t>
            </w:r>
            <w:r>
              <w:t>free allocation of permits to each generator determined by own output multiplied by the baseline</w:t>
            </w:r>
            <w:r w:rsidRPr="00BD0C80">
              <w:t>.</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keepNext/>
              <w:keepLines/>
              <w:pageBreakBefore/>
              <w:rPr>
                <w:b/>
                <w:i/>
              </w:rPr>
            </w:pPr>
            <w:r>
              <w:rPr>
                <w:i/>
              </w:rPr>
              <w:lastRenderedPageBreak/>
              <w:t xml:space="preserve">6 – </w:t>
            </w:r>
            <w:r w:rsidRPr="0023704C">
              <w:rPr>
                <w:i/>
              </w:rPr>
              <w:t>Regulatory approach</w:t>
            </w:r>
          </w:p>
        </w:tc>
        <w:tc>
          <w:tcPr>
            <w:tcW w:w="3856" w:type="dxa"/>
          </w:tcPr>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rPr>
                <w:b/>
              </w:rPr>
              <w:t>Coverage</w:t>
            </w:r>
            <w:r w:rsidRPr="004237D7">
              <w:rPr>
                <w:b/>
              </w:rPr>
              <w:t xml:space="preserve">: </w:t>
            </w:r>
            <w:r w:rsidRPr="00BC6BD4">
              <w:t xml:space="preserve">limited to coal-fired </w:t>
            </w:r>
            <w:r>
              <w:t>generators (and gas if required to meet emissions constraint)</w:t>
            </w:r>
            <w:r w:rsidRPr="00BC6BD4">
              <w:t>.</w:t>
            </w:r>
            <w:r>
              <w:rPr>
                <w:b/>
              </w:rPr>
              <w:t xml:space="preserve"> </w:t>
            </w:r>
            <w:r>
              <w:t xml:space="preserve">For simplicity, complete withdrawal of whole of a generator at a specific date or complete conversion to CCS. </w:t>
            </w:r>
          </w:p>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p>
        </w:tc>
        <w:tc>
          <w:tcPr>
            <w:tcW w:w="2268" w:type="dxa"/>
          </w:tcPr>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rPr>
                <w:b/>
              </w:rPr>
              <w:t xml:space="preserve">Closure sequence: </w:t>
            </w:r>
            <w:r>
              <w:t>Generator closure dates set in 2020. Closure dates chosen to remove capacity starting with oldest/most emissions intensive to achieve a roughly linear MW per year total closure to meet the emissions constraint.</w:t>
            </w:r>
          </w:p>
        </w:tc>
        <w:tc>
          <w:tcPr>
            <w:tcW w:w="1560" w:type="dxa"/>
          </w:tcPr>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t>Not applicable</w:t>
            </w:r>
            <w:r w:rsidR="003C2DA0">
              <w:t>.</w:t>
            </w:r>
          </w:p>
        </w:tc>
        <w:tc>
          <w:tcPr>
            <w:tcW w:w="1417" w:type="dxa"/>
          </w:tcPr>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t>Standards prohibit new coal without CCS.</w:t>
            </w:r>
          </w:p>
        </w:tc>
        <w:tc>
          <w:tcPr>
            <w:tcW w:w="3831" w:type="dxa"/>
          </w:tcPr>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rsidRPr="004237D7">
              <w:rPr>
                <w:b/>
              </w:rPr>
              <w:t>Closure ranking:</w:t>
            </w:r>
            <w:r>
              <w:t xml:space="preserve"> </w:t>
            </w:r>
          </w:p>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t>Age-based: by date of first unit’s commissioning. Plant life extensions ignored. Once determined, the ranking is publicly announced and fixed.</w:t>
            </w:r>
          </w:p>
          <w:p w:rsidR="005F4B53" w:rsidRDefault="005F4B53" w:rsidP="005F4B53">
            <w:pPr>
              <w:keepNext/>
              <w:keepLines/>
              <w:pageBreakBefore/>
              <w:cnfStyle w:val="000000000000" w:firstRow="0" w:lastRow="0" w:firstColumn="0" w:lastColumn="0" w:oddVBand="0" w:evenVBand="0" w:oddHBand="0" w:evenHBand="0" w:firstRowFirstColumn="0" w:firstRowLastColumn="0" w:lastRowFirstColumn="0" w:lastRowLastColumn="0"/>
            </w:pPr>
            <w:r>
              <w:t>Intensity-based: by emissions intensity (tCO</w:t>
            </w:r>
            <w:r>
              <w:rPr>
                <w:vertAlign w:val="subscript"/>
              </w:rPr>
              <w:t>2</w:t>
            </w:r>
            <w:r>
              <w:noBreakHyphen/>
              <w:t>e/MWh sent out) as measured in a suitable period of recent history, with state</w:t>
            </w:r>
            <w:r>
              <w:noBreakHyphen/>
              <w:t>based adjustment due to extreme geographical concentration of closure. Once determined, the ranking is publicly announced and fixed.</w:t>
            </w:r>
          </w:p>
        </w:tc>
      </w:tr>
      <w:tr w:rsidR="005F4B53" w:rsidTr="00921606">
        <w:tc>
          <w:tcPr>
            <w:cnfStyle w:val="001000000000" w:firstRow="0" w:lastRow="0" w:firstColumn="1" w:lastColumn="0" w:oddVBand="0" w:evenVBand="0" w:oddHBand="0" w:evenHBand="0" w:firstRowFirstColumn="0" w:firstRowLastColumn="0" w:lastRowFirstColumn="0" w:lastRowLastColumn="0"/>
            <w:tcW w:w="1242" w:type="dxa"/>
          </w:tcPr>
          <w:p w:rsidR="005F4B53" w:rsidRPr="0023704C" w:rsidRDefault="005F4B53" w:rsidP="005F4B53">
            <w:pPr>
              <w:keepNext/>
              <w:keepLines/>
              <w:rPr>
                <w:b/>
                <w:i/>
              </w:rPr>
            </w:pPr>
            <w:r>
              <w:rPr>
                <w:i/>
              </w:rPr>
              <w:t xml:space="preserve">7 – </w:t>
            </w:r>
            <w:r w:rsidRPr="0023704C">
              <w:rPr>
                <w:i/>
              </w:rPr>
              <w:t>Feed-in tariffs with contracts for differenc</w:t>
            </w:r>
            <w:r>
              <w:rPr>
                <w:i/>
              </w:rPr>
              <w:t>es (CfDs)</w:t>
            </w:r>
          </w:p>
        </w:tc>
        <w:tc>
          <w:tcPr>
            <w:tcW w:w="3856"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Eligibility</w:t>
            </w:r>
            <w:r>
              <w:t>: new renewables and new fossil with CCS; CCS retrofits; nuclear. Eligible renewables as per LRET with 10kW PV threshold (renewables receiving certificates under the existing RET ineligible).</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L</w:t>
            </w:r>
            <w:r w:rsidRPr="007E6BA2">
              <w:rPr>
                <w:b/>
              </w:rPr>
              <w:t>iability</w:t>
            </w:r>
            <w:r>
              <w:t>: funds for payments to successful generators raised via energy</w:t>
            </w:r>
            <w:r>
              <w:noBreakHyphen/>
              <w:t xml:space="preserve">based customer levy shared across NEM and </w:t>
            </w:r>
            <w:r w:rsidR="00402619">
              <w:t>WEM</w:t>
            </w:r>
            <w:r>
              <w:t>.</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c>
          <w:tcPr>
            <w:tcW w:w="2268"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rPr>
                <w:b/>
              </w:rPr>
              <w:t>Allocation trajectory</w:t>
            </w:r>
            <w:r w:rsidRPr="00CD5C7D">
              <w:t>:</w:t>
            </w:r>
            <w:r>
              <w:t xml:space="preserve"> allocate the same volume of 15 </w:t>
            </w:r>
            <w:r w:rsidR="003C2DA0">
              <w:t xml:space="preserve">or 20 </w:t>
            </w:r>
            <w:r>
              <w:t>year contracts each year from 2020 to 2035 to obtain a progressively increasing volume of low emissions energy. This volume will be chosen to achieve the emission constraint.</w:t>
            </w:r>
          </w:p>
        </w:tc>
        <w:tc>
          <w:tcPr>
            <w:tcW w:w="1560"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Not applicable</w:t>
            </w:r>
            <w:r w:rsidR="00921606">
              <w:t>.</w:t>
            </w:r>
          </w:p>
        </w:tc>
        <w:tc>
          <w:tcPr>
            <w:tcW w:w="1417" w:type="dxa"/>
          </w:tcPr>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No explicit standards.</w:t>
            </w:r>
          </w:p>
        </w:tc>
        <w:tc>
          <w:tcPr>
            <w:tcW w:w="3831" w:type="dxa"/>
          </w:tcPr>
          <w:p w:rsidR="005F4B53" w:rsidRPr="005C1F9F" w:rsidRDefault="005F4B53" w:rsidP="005F4B53">
            <w:pPr>
              <w:keepNext/>
              <w:keepLines/>
              <w:cnfStyle w:val="000000000000" w:firstRow="0" w:lastRow="0" w:firstColumn="0" w:lastColumn="0" w:oddVBand="0" w:evenVBand="0" w:oddHBand="0" w:evenHBand="0" w:firstRowFirstColumn="0" w:firstRowLastColumn="0" w:lastRowFirstColumn="0" w:lastRowLastColumn="0"/>
            </w:pPr>
            <w:r w:rsidRPr="004237D7">
              <w:rPr>
                <w:b/>
              </w:rPr>
              <w:t xml:space="preserve">Reference price for CfDs: </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NEM: monthly national average wholesale electricity spot price.</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r>
              <w:t>SWIS: average monthly wholesale electricity spot price.</w:t>
            </w:r>
          </w:p>
          <w:p w:rsidR="005F4B53" w:rsidRDefault="005F4B53" w:rsidP="005F4B53">
            <w:pPr>
              <w:keepNext/>
              <w:keepLines/>
              <w:cnfStyle w:val="000000000000" w:firstRow="0" w:lastRow="0" w:firstColumn="0" w:lastColumn="0" w:oddVBand="0" w:evenVBand="0" w:oddHBand="0" w:evenHBand="0" w:firstRowFirstColumn="0" w:firstRowLastColumn="0" w:lastRowFirstColumn="0" w:lastRowLastColumn="0"/>
            </w:pPr>
          </w:p>
        </w:tc>
      </w:tr>
    </w:tbl>
    <w:p w:rsidR="005F4B53" w:rsidRPr="00192A2F" w:rsidRDefault="005F4B53" w:rsidP="005F4B53">
      <w:pPr>
        <w:rPr>
          <w:sz w:val="18"/>
        </w:rPr>
      </w:pPr>
      <w:r w:rsidRPr="00192A2F">
        <w:rPr>
          <w:sz w:val="18"/>
        </w:rPr>
        <w:t>Notes: * While providing support under the LRET may have practical disadvantages, for the purposes of simplicity this uniform level of support is modelled by including commercial-scale PV in the expanded LRET.</w:t>
      </w:r>
      <w:r w:rsidR="00612CCF" w:rsidRPr="00192A2F">
        <w:rPr>
          <w:sz w:val="18"/>
        </w:rPr>
        <w:t xml:space="preserve"> </w:t>
      </w:r>
      <w:r w:rsidR="00612CCF">
        <w:rPr>
          <w:sz w:val="18"/>
        </w:rPr>
        <w:t>**In practice policies would have penalties</w:t>
      </w:r>
      <w:r w:rsidR="00612CCF" w:rsidRPr="00192A2F">
        <w:rPr>
          <w:sz w:val="18"/>
        </w:rPr>
        <w:t xml:space="preserve"> for non-compliance</w:t>
      </w:r>
      <w:r w:rsidR="00612CCF">
        <w:rPr>
          <w:sz w:val="18"/>
        </w:rPr>
        <w:t>. T</w:t>
      </w:r>
      <w:r w:rsidR="00612CCF" w:rsidRPr="00192A2F">
        <w:rPr>
          <w:sz w:val="18"/>
        </w:rPr>
        <w:t xml:space="preserve">hese </w:t>
      </w:r>
      <w:r w:rsidR="00612CCF">
        <w:rPr>
          <w:sz w:val="18"/>
        </w:rPr>
        <w:t>are</w:t>
      </w:r>
      <w:r w:rsidR="00612CCF" w:rsidRPr="00192A2F">
        <w:rPr>
          <w:sz w:val="18"/>
        </w:rPr>
        <w:t xml:space="preserve"> not </w:t>
      </w:r>
      <w:proofErr w:type="gramStart"/>
      <w:r w:rsidR="00612CCF" w:rsidRPr="00192A2F">
        <w:rPr>
          <w:sz w:val="18"/>
        </w:rPr>
        <w:t>be</w:t>
      </w:r>
      <w:proofErr w:type="gramEnd"/>
      <w:r w:rsidR="00612CCF" w:rsidRPr="00192A2F">
        <w:rPr>
          <w:sz w:val="18"/>
        </w:rPr>
        <w:t xml:space="preserve"> incorporated into the modelling</w:t>
      </w:r>
      <w:r w:rsidR="00612CCF">
        <w:rPr>
          <w:sz w:val="18"/>
        </w:rPr>
        <w:t xml:space="preserve"> </w:t>
      </w:r>
      <w:r w:rsidR="00612CCF" w:rsidRPr="00192A2F">
        <w:rPr>
          <w:sz w:val="18"/>
        </w:rPr>
        <w:t>because the aim is to find the policy parameters under which businesses comply with the policy through mitigation action rather than paying the financial penalty.</w:t>
      </w:r>
    </w:p>
    <w:p w:rsidR="005F4B53" w:rsidRDefault="005F4B53" w:rsidP="0010488E">
      <w:pPr>
        <w:spacing w:before="240" w:after="120"/>
        <w:sectPr w:rsidR="005F4B53" w:rsidSect="00192A2F">
          <w:pgSz w:w="16840" w:h="11901" w:orient="landscape" w:code="9"/>
          <w:pgMar w:top="1134" w:right="567" w:bottom="851" w:left="851" w:header="567" w:footer="369" w:gutter="0"/>
          <w:cols w:space="0"/>
          <w:formProt w:val="0"/>
          <w:docGrid w:linePitch="360"/>
        </w:sectPr>
      </w:pPr>
    </w:p>
    <w:p w:rsidR="007930CD" w:rsidRDefault="00C77ADF" w:rsidP="00B01288">
      <w:pPr>
        <w:pStyle w:val="Heading9"/>
      </w:pPr>
      <w:bookmarkStart w:id="125" w:name="_Toc419133333"/>
      <w:bookmarkStart w:id="126" w:name="_Toc418776190"/>
      <w:bookmarkStart w:id="127" w:name="_Ref418784332"/>
      <w:bookmarkStart w:id="128" w:name="_Toc419133334"/>
      <w:bookmarkStart w:id="129" w:name="_Ref419199778"/>
      <w:bookmarkStart w:id="130" w:name="_Ref419320725"/>
      <w:bookmarkStart w:id="131" w:name="_Toc419383239"/>
      <w:bookmarkStart w:id="132" w:name="_Toc419731544"/>
      <w:bookmarkStart w:id="133" w:name="_Toc419731925"/>
      <w:bookmarkStart w:id="134" w:name="_Toc419793645"/>
      <w:bookmarkStart w:id="135" w:name="_Ref420055757"/>
      <w:bookmarkStart w:id="136" w:name="_Ref420055769"/>
      <w:bookmarkStart w:id="137" w:name="_Toc418579834"/>
      <w:bookmarkEnd w:id="125"/>
      <w:r>
        <w:lastRenderedPageBreak/>
        <w:t>Further</w:t>
      </w:r>
      <w:r w:rsidR="007930CD">
        <w:t xml:space="preserve"> detail on assumptions</w:t>
      </w:r>
      <w:bookmarkEnd w:id="126"/>
      <w:bookmarkEnd w:id="127"/>
      <w:bookmarkEnd w:id="128"/>
      <w:bookmarkEnd w:id="129"/>
      <w:bookmarkEnd w:id="130"/>
      <w:bookmarkEnd w:id="131"/>
      <w:bookmarkEnd w:id="132"/>
      <w:bookmarkEnd w:id="133"/>
      <w:bookmarkEnd w:id="134"/>
      <w:bookmarkEnd w:id="135"/>
      <w:bookmarkEnd w:id="136"/>
    </w:p>
    <w:p w:rsidR="007930CD" w:rsidRPr="007930CD" w:rsidRDefault="007930CD" w:rsidP="00A04A8C">
      <w:pPr>
        <w:pStyle w:val="Appendixsubheading1"/>
      </w:pPr>
      <w:bookmarkStart w:id="138" w:name="_Toc418776191"/>
      <w:bookmarkStart w:id="139" w:name="_Toc419133335"/>
      <w:bookmarkStart w:id="140" w:name="_Toc419383240"/>
      <w:bookmarkStart w:id="141" w:name="_Toc419731545"/>
      <w:bookmarkStart w:id="142" w:name="_Toc419731926"/>
      <w:bookmarkStart w:id="143" w:name="_Toc419793646"/>
      <w:r>
        <w:t>Demand</w:t>
      </w:r>
      <w:bookmarkEnd w:id="138"/>
      <w:bookmarkEnd w:id="139"/>
      <w:bookmarkEnd w:id="140"/>
      <w:bookmarkEnd w:id="141"/>
      <w:bookmarkEnd w:id="142"/>
      <w:bookmarkEnd w:id="143"/>
    </w:p>
    <w:p w:rsidR="00A11B72" w:rsidRDefault="007930CD" w:rsidP="007930CD">
      <w:pPr>
        <w:pStyle w:val="Para0"/>
      </w:pPr>
      <w:r>
        <w:t>T</w:t>
      </w:r>
      <w:r w:rsidRPr="00952F9C">
        <w:t>he 2010/11 load shape</w:t>
      </w:r>
      <w:r>
        <w:t xml:space="preserve"> is used to shape hourly demand profiles</w:t>
      </w:r>
      <w:r w:rsidRPr="00952F9C">
        <w:t xml:space="preserve"> as it reflects demand response to normal weather conditions and captures the observed demand coincidence between the States.  The energy forecasts were originally developed by </w:t>
      </w:r>
      <w:r w:rsidR="00C77ADF">
        <w:t>Pitt&amp;Sherry and A</w:t>
      </w:r>
      <w:r w:rsidR="00686096">
        <w:t>CIL</w:t>
      </w:r>
      <w:r w:rsidR="00C77ADF">
        <w:t xml:space="preserve"> Allen</w:t>
      </w:r>
      <w:r w:rsidR="00AB032B">
        <w:t xml:space="preserve"> for the Department of the Environment’s 2014/15 emissions projections</w:t>
      </w:r>
      <w:r w:rsidR="00A11B72">
        <w:t xml:space="preserve">. Jacobs derived the peak demand forecast from these energy projections by applying the load factors from AEMO’s 2014 NEFR forecast, and the IMO’s 2014 </w:t>
      </w:r>
      <w:r w:rsidR="00053D75">
        <w:t xml:space="preserve">SWIS Electricity Demand Outlook </w:t>
      </w:r>
      <w:r w:rsidR="00A11B72">
        <w:t>forecast.</w:t>
      </w:r>
    </w:p>
    <w:p w:rsidR="007930CD" w:rsidRDefault="007930CD" w:rsidP="007930CD">
      <w:pPr>
        <w:pStyle w:val="Para0"/>
      </w:pPr>
      <w:r>
        <w:t>Jacobs</w:t>
      </w:r>
      <w:r w:rsidRPr="00952F9C">
        <w:t xml:space="preserve"> adjusts the </w:t>
      </w:r>
      <w:r>
        <w:t>f</w:t>
      </w:r>
      <w:r w:rsidRPr="00952F9C">
        <w:t xml:space="preserve">orecasts </w:t>
      </w:r>
      <w:r>
        <w:t>to</w:t>
      </w:r>
      <w:r w:rsidRPr="00952F9C">
        <w:t xml:space="preserve"> </w:t>
      </w:r>
      <w:r w:rsidR="00C77ADF">
        <w:t>account for small scale embedded generation uptake as projected by the DOGMMA model</w:t>
      </w:r>
      <w:r w:rsidRPr="00952F9C">
        <w:t xml:space="preserve">.  </w:t>
      </w:r>
      <w:r>
        <w:t>Jacobs’</w:t>
      </w:r>
      <w:r w:rsidRPr="00952F9C">
        <w:t xml:space="preserve"> Strategist model is then used in conjunction with </w:t>
      </w:r>
      <w:r w:rsidR="004C55F9">
        <w:t xml:space="preserve">REMMA </w:t>
      </w:r>
      <w:r w:rsidRPr="00952F9C">
        <w:t xml:space="preserve">to explicitly project the </w:t>
      </w:r>
      <w:r w:rsidR="00C77ADF">
        <w:t xml:space="preserve">uptake of </w:t>
      </w:r>
      <w:r w:rsidRPr="00952F9C">
        <w:t>renewable energy</w:t>
      </w:r>
      <w:r w:rsidR="00C77ADF">
        <w:t xml:space="preserve"> generation</w:t>
      </w:r>
      <w:r w:rsidRPr="00952F9C">
        <w:t xml:space="preserve">.  </w:t>
      </w:r>
    </w:p>
    <w:p w:rsidR="007930CD" w:rsidRDefault="007930CD" w:rsidP="007930CD">
      <w:pPr>
        <w:pStyle w:val="Para0"/>
      </w:pPr>
      <w:r w:rsidRPr="00952F9C">
        <w:t xml:space="preserve">The use of the 50% </w:t>
      </w:r>
      <w:r w:rsidR="00AB032B">
        <w:t xml:space="preserve">probability of exceedance (POE) </w:t>
      </w:r>
      <w:r w:rsidRPr="00952F9C">
        <w:t>peak demand is intended to represent typical peak demand conditions and thereby provide an approximate basis for median price levels</w:t>
      </w:r>
      <w:r w:rsidR="00093AB5">
        <w:t>,</w:t>
      </w:r>
      <w:r w:rsidRPr="00952F9C">
        <w:t xml:space="preserve"> generation dispatch</w:t>
      </w:r>
      <w:r w:rsidR="00093AB5">
        <w:t xml:space="preserve"> and assessing long-term system costs</w:t>
      </w:r>
      <w:r w:rsidR="00093AB5" w:rsidRPr="002B3C8E">
        <w:t>.</w:t>
      </w:r>
      <w:r w:rsidR="00093AB5">
        <w:t xml:space="preserve">  Reserve margins allow for coverage of 1 in 10 year peak demands (10% </w:t>
      </w:r>
      <w:r w:rsidR="00AB032B">
        <w:t>POE</w:t>
      </w:r>
      <w:r w:rsidR="00093AB5">
        <w:t>)</w:t>
      </w:r>
      <w:r w:rsidRPr="00952F9C">
        <w:t>.</w:t>
      </w:r>
    </w:p>
    <w:p w:rsidR="007930CD" w:rsidRDefault="007930CD" w:rsidP="007930CD">
      <w:pPr>
        <w:pStyle w:val="Para0"/>
      </w:pPr>
      <w:r w:rsidRPr="00952F9C">
        <w:t xml:space="preserve">The </w:t>
      </w:r>
      <w:r>
        <w:t xml:space="preserve">load is modelled hourly and therefore the </w:t>
      </w:r>
      <w:r w:rsidRPr="00952F9C">
        <w:t xml:space="preserve">peak is applied as an hourly load in Strategist rather than half-hourly as it occurs in the market.  Because the Strategist model applies this load for one hour in a </w:t>
      </w:r>
      <w:r>
        <w:t xml:space="preserve">modelled </w:t>
      </w:r>
      <w:r w:rsidRPr="00952F9C">
        <w:t xml:space="preserve">typical week it is </w:t>
      </w:r>
      <w:r>
        <w:t xml:space="preserve">effectively </w:t>
      </w:r>
      <w:r w:rsidRPr="00952F9C">
        <w:t xml:space="preserve">applied for 4.3 hours per year and therefore it represents a slightly higher peak demand </w:t>
      </w:r>
      <w:r>
        <w:t xml:space="preserve">exposure </w:t>
      </w:r>
      <w:r w:rsidRPr="00952F9C">
        <w:t>than the pure half-hour 50% POE.  This compensates to some degree for not explicitly representing the variation up to 10% POE.</w:t>
      </w:r>
    </w:p>
    <w:p w:rsidR="000036FC" w:rsidRDefault="000036FC" w:rsidP="004C55F9">
      <w:pPr>
        <w:pStyle w:val="Appendixsubheading1"/>
      </w:pPr>
      <w:bookmarkStart w:id="144" w:name="_Toc419383241"/>
      <w:bookmarkStart w:id="145" w:name="_Toc419731546"/>
      <w:bookmarkStart w:id="146" w:name="_Toc419731927"/>
      <w:bookmarkStart w:id="147" w:name="_Toc419793647"/>
      <w:r>
        <w:t>Retail prices</w:t>
      </w:r>
      <w:bookmarkEnd w:id="144"/>
      <w:bookmarkEnd w:id="145"/>
      <w:bookmarkEnd w:id="146"/>
      <w:bookmarkEnd w:id="147"/>
    </w:p>
    <w:p w:rsidR="000036FC" w:rsidRPr="000036FC" w:rsidRDefault="000036FC" w:rsidP="000036FC">
      <w:pPr>
        <w:pStyle w:val="Para0"/>
      </w:pPr>
      <w:r>
        <w:t>Retail prices by customer class (residential, commercial, large business, energy intensive industrial) and state are built up by adding the various components as follows:</w:t>
      </w:r>
    </w:p>
    <w:p w:rsidR="000036FC" w:rsidRDefault="000036FC" w:rsidP="004C55F9">
      <w:pPr>
        <w:pStyle w:val="Para0bullet"/>
        <w:numPr>
          <w:ilvl w:val="0"/>
          <w:numId w:val="67"/>
        </w:numPr>
      </w:pPr>
      <w:r>
        <w:t xml:space="preserve">Wholesale prices at the regional reference node weighted by the average hourly demand profile for the customer class. </w:t>
      </w:r>
    </w:p>
    <w:p w:rsidR="000036FC" w:rsidRDefault="000036FC" w:rsidP="004C55F9">
      <w:pPr>
        <w:pStyle w:val="Para0bullet"/>
        <w:numPr>
          <w:ilvl w:val="0"/>
          <w:numId w:val="67"/>
        </w:numPr>
      </w:pPr>
      <w:r>
        <w:t>Multiplying regional reference node prices by marginal network loss factors  to arrive at customer busbar wholesale prices</w:t>
      </w:r>
    </w:p>
    <w:p w:rsidR="000036FC" w:rsidRDefault="000036FC" w:rsidP="004C55F9">
      <w:pPr>
        <w:pStyle w:val="Para0bullet"/>
        <w:numPr>
          <w:ilvl w:val="0"/>
          <w:numId w:val="67"/>
        </w:numPr>
      </w:pPr>
      <w:r>
        <w:t>Adding market fees</w:t>
      </w:r>
    </w:p>
    <w:p w:rsidR="000036FC" w:rsidRDefault="000036FC" w:rsidP="004C55F9">
      <w:pPr>
        <w:pStyle w:val="Para0bullet"/>
        <w:numPr>
          <w:ilvl w:val="0"/>
          <w:numId w:val="67"/>
        </w:numPr>
      </w:pPr>
      <w:r>
        <w:t>Adding costs of meeting policy targets</w:t>
      </w:r>
      <w:r w:rsidR="00A24239">
        <w:t xml:space="preserve">, as relevant. These will vary by scenario, examples include </w:t>
      </w:r>
      <w:r>
        <w:t>the costs of the RET</w:t>
      </w:r>
      <w:r w:rsidR="003C5633">
        <w:t xml:space="preserve"> or LET certificates, the costs of </w:t>
      </w:r>
      <w:r>
        <w:t>energy efficiency schemes</w:t>
      </w:r>
      <w:r w:rsidR="003C5633">
        <w:t xml:space="preserve"> operating in the reference case, and so on</w:t>
      </w:r>
      <w:r w:rsidR="00A24239">
        <w:t>.</w:t>
      </w:r>
    </w:p>
    <w:p w:rsidR="000036FC" w:rsidRDefault="000036FC" w:rsidP="004C55F9">
      <w:pPr>
        <w:pStyle w:val="Para0bullet"/>
        <w:numPr>
          <w:ilvl w:val="0"/>
          <w:numId w:val="67"/>
        </w:numPr>
      </w:pPr>
      <w:r>
        <w:t>Adding typical network fees using published data for typical voltage levels for each customer class in each State</w:t>
      </w:r>
    </w:p>
    <w:p w:rsidR="000036FC" w:rsidRDefault="000036FC" w:rsidP="004C55F9">
      <w:pPr>
        <w:pStyle w:val="Para0bullet"/>
        <w:numPr>
          <w:ilvl w:val="0"/>
          <w:numId w:val="67"/>
        </w:numPr>
      </w:pPr>
      <w:r>
        <w:t xml:space="preserve">Adding a gross margin for retailing, </w:t>
      </w:r>
      <w:proofErr w:type="gramStart"/>
      <w:r>
        <w:t>which typically is expressed as a percentage mark-up on the other costs.</w:t>
      </w:r>
      <w:proofErr w:type="gramEnd"/>
    </w:p>
    <w:p w:rsidR="00AD692B" w:rsidRDefault="00AD692B" w:rsidP="00A04A8C">
      <w:pPr>
        <w:pStyle w:val="Appendixsubheading1"/>
      </w:pPr>
      <w:bookmarkStart w:id="148" w:name="_Toc418776192"/>
      <w:bookmarkStart w:id="149" w:name="_Toc419133336"/>
      <w:bookmarkStart w:id="150" w:name="_Toc419383242"/>
      <w:bookmarkStart w:id="151" w:name="_Toc419731547"/>
      <w:bookmarkStart w:id="152" w:name="_Toc419731928"/>
      <w:bookmarkStart w:id="153" w:name="_Toc419793648"/>
      <w:r>
        <w:t>Interconnectors and losses</w:t>
      </w:r>
      <w:bookmarkEnd w:id="148"/>
      <w:bookmarkEnd w:id="149"/>
      <w:bookmarkEnd w:id="150"/>
      <w:bookmarkEnd w:id="151"/>
      <w:bookmarkEnd w:id="152"/>
      <w:bookmarkEnd w:id="153"/>
    </w:p>
    <w:p w:rsidR="008D0785" w:rsidRDefault="008D0785" w:rsidP="00AD692B">
      <w:pPr>
        <w:pStyle w:val="Para0"/>
      </w:pPr>
      <w:r>
        <w:t xml:space="preserve">The model begins with a representation of the existing network capacity. As discussed </w:t>
      </w:r>
      <w:r w:rsidR="004C55F9">
        <w:t xml:space="preserve">in section </w:t>
      </w:r>
      <w:r w:rsidR="00525995">
        <w:fldChar w:fldCharType="begin"/>
      </w:r>
      <w:r w:rsidR="00525995">
        <w:instrText xml:space="preserve"> REF _Ref419318485 \r \h </w:instrText>
      </w:r>
      <w:r w:rsidR="00525995">
        <w:fldChar w:fldCharType="separate"/>
      </w:r>
      <w:r w:rsidR="00014844">
        <w:t>A.1</w:t>
      </w:r>
      <w:r w:rsidR="00525995">
        <w:fldChar w:fldCharType="end"/>
      </w:r>
      <w:r>
        <w:t xml:space="preserve">, interregional capacity is increased in line with capacity needed to avoid prolonged substantial price separation between interconnected regions, with price separation not being greater than typical line losses. </w:t>
      </w:r>
    </w:p>
    <w:p w:rsidR="00B320D9" w:rsidRDefault="00B320D9" w:rsidP="00B320D9">
      <w:pPr>
        <w:pStyle w:val="Para0"/>
      </w:pPr>
      <w:r w:rsidRPr="00952F9C">
        <w:t xml:space="preserve">Assumptions on </w:t>
      </w:r>
      <w:r>
        <w:t xml:space="preserve">initial </w:t>
      </w:r>
      <w:r w:rsidRPr="00952F9C">
        <w:t>interconnect limits are shown in</w:t>
      </w:r>
      <w:r w:rsidR="00D03179">
        <w:t xml:space="preserve"> </w:t>
      </w:r>
      <w:r w:rsidR="00D03179">
        <w:fldChar w:fldCharType="begin"/>
      </w:r>
      <w:r w:rsidR="00D03179">
        <w:instrText xml:space="preserve"> REF _Ref419319626 \h </w:instrText>
      </w:r>
      <w:r w:rsidR="00D03179">
        <w:fldChar w:fldCharType="separate"/>
      </w:r>
      <w:r w:rsidR="00014844">
        <w:t xml:space="preserve">Table </w:t>
      </w:r>
      <w:r w:rsidR="00014844">
        <w:rPr>
          <w:noProof/>
        </w:rPr>
        <w:t>5</w:t>
      </w:r>
      <w:r w:rsidR="00D03179">
        <w:fldChar w:fldCharType="end"/>
      </w:r>
      <w:r w:rsidRPr="00952F9C">
        <w:t xml:space="preserve">.  We have retained a Snowy zone in our Strategist model to better represent the impact of </w:t>
      </w:r>
      <w:r>
        <w:t>intra</w:t>
      </w:r>
      <w:r>
        <w:noBreakHyphen/>
        <w:t xml:space="preserve">regional </w:t>
      </w:r>
      <w:r w:rsidRPr="00952F9C">
        <w:t xml:space="preserve">constraints </w:t>
      </w:r>
      <w:r>
        <w:t>on each</w:t>
      </w:r>
      <w:r w:rsidRPr="00952F9C">
        <w:t xml:space="preserve"> side of the Victoria/NSW border.</w:t>
      </w:r>
    </w:p>
    <w:p w:rsidR="00B320D9" w:rsidRPr="00952F9C" w:rsidRDefault="00B320D9" w:rsidP="00B320D9">
      <w:pPr>
        <w:pStyle w:val="Caption"/>
      </w:pPr>
      <w:bookmarkStart w:id="154" w:name="_Ref419319626"/>
      <w:r>
        <w:lastRenderedPageBreak/>
        <w:t xml:space="preserve">Table </w:t>
      </w:r>
      <w:r>
        <w:fldChar w:fldCharType="begin"/>
      </w:r>
      <w:r>
        <w:instrText xml:space="preserve"> SEQ Table \* ARABIC </w:instrText>
      </w:r>
      <w:r>
        <w:fldChar w:fldCharType="separate"/>
      </w:r>
      <w:r w:rsidR="00014844">
        <w:rPr>
          <w:noProof/>
        </w:rPr>
        <w:t>5</w:t>
      </w:r>
      <w:r>
        <w:fldChar w:fldCharType="end"/>
      </w:r>
      <w:bookmarkEnd w:id="154"/>
      <w:r w:rsidRPr="009038E7">
        <w:t xml:space="preserve">: </w:t>
      </w:r>
      <w:r w:rsidRPr="00952F9C">
        <w:t xml:space="preserve"> Interconnection limits – based on maximum recorded flows in </w:t>
      </w:r>
      <w:r>
        <w:t>2011/12</w:t>
      </w:r>
    </w:p>
    <w:tbl>
      <w:tblPr>
        <w:tblStyle w:val="Table1"/>
        <w:tblW w:w="9639" w:type="dxa"/>
        <w:tblLayout w:type="fixed"/>
        <w:tblLook w:val="0000" w:firstRow="0" w:lastRow="0" w:firstColumn="0" w:lastColumn="0" w:noHBand="0" w:noVBand="0"/>
      </w:tblPr>
      <w:tblGrid>
        <w:gridCol w:w="2849"/>
        <w:gridCol w:w="2796"/>
        <w:gridCol w:w="2396"/>
        <w:gridCol w:w="1598"/>
      </w:tblGrid>
      <w:tr w:rsidR="00B320D9" w:rsidRPr="00952F9C" w:rsidTr="001022F8">
        <w:trPr>
          <w:trHeight w:val="255"/>
        </w:trPr>
        <w:tc>
          <w:tcPr>
            <w:tcW w:w="2140" w:type="dxa"/>
            <w:shd w:val="clear" w:color="auto" w:fill="002669" w:themeFill="accent6" w:themeFillShade="BF"/>
          </w:tcPr>
          <w:p w:rsidR="00B320D9" w:rsidRPr="002734FD" w:rsidRDefault="00B320D9" w:rsidP="001022F8">
            <w:pPr>
              <w:pStyle w:val="Tablesmallheading"/>
              <w:rPr>
                <w:color w:val="FFFFFF" w:themeColor="background1"/>
                <w:sz w:val="20"/>
                <w:szCs w:val="20"/>
              </w:rPr>
            </w:pPr>
            <w:r w:rsidRPr="002734FD">
              <w:rPr>
                <w:color w:val="FFFFFF" w:themeColor="background1"/>
                <w:sz w:val="20"/>
                <w:szCs w:val="20"/>
              </w:rPr>
              <w:t>From</w:t>
            </w:r>
          </w:p>
        </w:tc>
        <w:tc>
          <w:tcPr>
            <w:tcW w:w="2100" w:type="dxa"/>
            <w:shd w:val="clear" w:color="auto" w:fill="002669" w:themeFill="accent6" w:themeFillShade="BF"/>
          </w:tcPr>
          <w:p w:rsidR="00B320D9" w:rsidRPr="002734FD" w:rsidRDefault="00B320D9" w:rsidP="001022F8">
            <w:pPr>
              <w:pStyle w:val="Tablesmallheading"/>
              <w:rPr>
                <w:color w:val="FFFFFF" w:themeColor="background1"/>
                <w:sz w:val="20"/>
                <w:szCs w:val="20"/>
              </w:rPr>
            </w:pPr>
            <w:r w:rsidRPr="002734FD">
              <w:rPr>
                <w:color w:val="FFFFFF" w:themeColor="background1"/>
                <w:sz w:val="20"/>
                <w:szCs w:val="20"/>
              </w:rPr>
              <w:t>To</w:t>
            </w:r>
          </w:p>
        </w:tc>
        <w:tc>
          <w:tcPr>
            <w:tcW w:w="1800" w:type="dxa"/>
            <w:shd w:val="clear" w:color="auto" w:fill="002669" w:themeFill="accent6" w:themeFillShade="BF"/>
          </w:tcPr>
          <w:p w:rsidR="00B320D9" w:rsidRPr="002734FD" w:rsidRDefault="00B320D9" w:rsidP="001022F8">
            <w:pPr>
              <w:pStyle w:val="Tablesmallheading"/>
              <w:rPr>
                <w:color w:val="FFFFFF" w:themeColor="background1"/>
                <w:sz w:val="20"/>
                <w:szCs w:val="20"/>
              </w:rPr>
            </w:pPr>
            <w:r w:rsidRPr="002734FD">
              <w:rPr>
                <w:color w:val="FFFFFF" w:themeColor="background1"/>
                <w:sz w:val="20"/>
                <w:szCs w:val="20"/>
              </w:rPr>
              <w:t>Capacity</w:t>
            </w:r>
          </w:p>
        </w:tc>
        <w:tc>
          <w:tcPr>
            <w:tcW w:w="1200" w:type="dxa"/>
            <w:shd w:val="clear" w:color="auto" w:fill="002669" w:themeFill="accent6" w:themeFillShade="BF"/>
          </w:tcPr>
          <w:p w:rsidR="00B320D9" w:rsidRPr="002734FD" w:rsidRDefault="00B320D9" w:rsidP="001022F8">
            <w:pPr>
              <w:pStyle w:val="Tablesmallheading"/>
              <w:rPr>
                <w:color w:val="FFFFFF" w:themeColor="background1"/>
                <w:sz w:val="20"/>
                <w:szCs w:val="20"/>
              </w:rPr>
            </w:pPr>
            <w:r w:rsidRPr="002734FD">
              <w:rPr>
                <w:color w:val="FFFFFF" w:themeColor="background1"/>
                <w:sz w:val="20"/>
                <w:szCs w:val="20"/>
              </w:rPr>
              <w:t>Summer</w:t>
            </w: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Victoria</w:t>
            </w:r>
          </w:p>
        </w:tc>
        <w:tc>
          <w:tcPr>
            <w:tcW w:w="2100" w:type="dxa"/>
          </w:tcPr>
          <w:p w:rsidR="00B320D9" w:rsidRPr="002734FD" w:rsidRDefault="00B320D9" w:rsidP="001022F8">
            <w:pPr>
              <w:pStyle w:val="Tablesmalltext"/>
              <w:rPr>
                <w:sz w:val="20"/>
                <w:szCs w:val="20"/>
              </w:rPr>
            </w:pPr>
            <w:r w:rsidRPr="002734FD">
              <w:rPr>
                <w:sz w:val="20"/>
                <w:szCs w:val="20"/>
              </w:rPr>
              <w:t>Tasmania</w:t>
            </w:r>
          </w:p>
        </w:tc>
        <w:tc>
          <w:tcPr>
            <w:tcW w:w="1800" w:type="dxa"/>
          </w:tcPr>
          <w:p w:rsidR="00B320D9" w:rsidRPr="002734FD" w:rsidRDefault="00B320D9" w:rsidP="001022F8">
            <w:pPr>
              <w:pStyle w:val="Tablesmalltext"/>
              <w:rPr>
                <w:sz w:val="20"/>
                <w:szCs w:val="20"/>
              </w:rPr>
            </w:pPr>
            <w:r w:rsidRPr="002734FD">
              <w:rPr>
                <w:sz w:val="20"/>
                <w:szCs w:val="20"/>
              </w:rPr>
              <w:t>480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Tasmania</w:t>
            </w:r>
          </w:p>
        </w:tc>
        <w:tc>
          <w:tcPr>
            <w:tcW w:w="2100" w:type="dxa"/>
          </w:tcPr>
          <w:p w:rsidR="00B320D9" w:rsidRPr="002734FD" w:rsidRDefault="00B320D9" w:rsidP="001022F8">
            <w:pPr>
              <w:pStyle w:val="Tablesmalltext"/>
              <w:rPr>
                <w:sz w:val="20"/>
                <w:szCs w:val="20"/>
              </w:rPr>
            </w:pPr>
            <w:r w:rsidRPr="002734FD">
              <w:rPr>
                <w:sz w:val="20"/>
                <w:szCs w:val="20"/>
              </w:rPr>
              <w:t>Victoria</w:t>
            </w:r>
          </w:p>
        </w:tc>
        <w:tc>
          <w:tcPr>
            <w:tcW w:w="1800" w:type="dxa"/>
          </w:tcPr>
          <w:p w:rsidR="00B320D9" w:rsidRPr="002734FD" w:rsidRDefault="00B320D9" w:rsidP="001022F8">
            <w:pPr>
              <w:pStyle w:val="Tablesmalltext"/>
              <w:rPr>
                <w:sz w:val="20"/>
                <w:szCs w:val="20"/>
              </w:rPr>
            </w:pPr>
            <w:r w:rsidRPr="002734FD">
              <w:rPr>
                <w:sz w:val="20"/>
                <w:szCs w:val="20"/>
              </w:rPr>
              <w:t>600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Victoria</w:t>
            </w:r>
          </w:p>
        </w:tc>
        <w:tc>
          <w:tcPr>
            <w:tcW w:w="2100" w:type="dxa"/>
          </w:tcPr>
          <w:p w:rsidR="00B320D9" w:rsidRPr="002734FD" w:rsidRDefault="00B320D9" w:rsidP="001022F8">
            <w:pPr>
              <w:pStyle w:val="Tablesmalltext"/>
              <w:rPr>
                <w:sz w:val="20"/>
                <w:szCs w:val="20"/>
              </w:rPr>
            </w:pPr>
            <w:r w:rsidRPr="002734FD">
              <w:rPr>
                <w:sz w:val="20"/>
                <w:szCs w:val="20"/>
              </w:rPr>
              <w:t>South Australia</w:t>
            </w:r>
          </w:p>
        </w:tc>
        <w:tc>
          <w:tcPr>
            <w:tcW w:w="1800" w:type="dxa"/>
          </w:tcPr>
          <w:p w:rsidR="00B320D9" w:rsidRPr="002734FD" w:rsidRDefault="00B320D9" w:rsidP="001022F8">
            <w:pPr>
              <w:pStyle w:val="Tablesmalltext"/>
              <w:rPr>
                <w:sz w:val="20"/>
                <w:szCs w:val="20"/>
              </w:rPr>
            </w:pPr>
            <w:r>
              <w:rPr>
                <w:sz w:val="20"/>
                <w:szCs w:val="20"/>
              </w:rPr>
              <w:t>630</w:t>
            </w:r>
            <w:r w:rsidRPr="002734FD">
              <w:rPr>
                <w:sz w:val="20"/>
                <w:szCs w:val="20"/>
              </w:rPr>
              <w:t xml:space="preserve">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South Australia</w:t>
            </w:r>
          </w:p>
        </w:tc>
        <w:tc>
          <w:tcPr>
            <w:tcW w:w="2100" w:type="dxa"/>
          </w:tcPr>
          <w:p w:rsidR="00B320D9" w:rsidRPr="002734FD" w:rsidRDefault="00B320D9" w:rsidP="001022F8">
            <w:pPr>
              <w:pStyle w:val="Tablesmalltext"/>
              <w:rPr>
                <w:sz w:val="20"/>
                <w:szCs w:val="20"/>
              </w:rPr>
            </w:pPr>
            <w:r w:rsidRPr="002734FD">
              <w:rPr>
                <w:sz w:val="20"/>
                <w:szCs w:val="20"/>
              </w:rPr>
              <w:t xml:space="preserve">Victoria </w:t>
            </w:r>
          </w:p>
        </w:tc>
        <w:tc>
          <w:tcPr>
            <w:tcW w:w="1800" w:type="dxa"/>
          </w:tcPr>
          <w:p w:rsidR="00B320D9" w:rsidRPr="002734FD" w:rsidRDefault="00B320D9" w:rsidP="001022F8">
            <w:pPr>
              <w:pStyle w:val="Tablesmalltext"/>
              <w:rPr>
                <w:sz w:val="20"/>
                <w:szCs w:val="20"/>
              </w:rPr>
            </w:pPr>
            <w:r>
              <w:rPr>
                <w:sz w:val="20"/>
                <w:szCs w:val="20"/>
              </w:rPr>
              <w:t>630</w:t>
            </w:r>
            <w:r w:rsidRPr="002734FD">
              <w:rPr>
                <w:sz w:val="20"/>
                <w:szCs w:val="20"/>
              </w:rPr>
              <w:t xml:space="preserve">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South Australia</w:t>
            </w:r>
          </w:p>
        </w:tc>
        <w:tc>
          <w:tcPr>
            <w:tcW w:w="2100" w:type="dxa"/>
          </w:tcPr>
          <w:p w:rsidR="00B320D9" w:rsidRPr="002734FD" w:rsidRDefault="00B320D9" w:rsidP="001022F8">
            <w:pPr>
              <w:pStyle w:val="Tablesmalltext"/>
              <w:rPr>
                <w:sz w:val="20"/>
                <w:szCs w:val="20"/>
              </w:rPr>
            </w:pPr>
            <w:r w:rsidRPr="002734FD">
              <w:rPr>
                <w:sz w:val="20"/>
                <w:szCs w:val="20"/>
              </w:rPr>
              <w:t>Redcliffs</w:t>
            </w:r>
          </w:p>
        </w:tc>
        <w:tc>
          <w:tcPr>
            <w:tcW w:w="1800" w:type="dxa"/>
          </w:tcPr>
          <w:p w:rsidR="00B320D9" w:rsidRPr="002734FD" w:rsidRDefault="00B320D9" w:rsidP="001022F8">
            <w:pPr>
              <w:pStyle w:val="Tablesmalltext"/>
              <w:rPr>
                <w:sz w:val="20"/>
                <w:szCs w:val="20"/>
              </w:rPr>
            </w:pPr>
            <w:r w:rsidRPr="002734FD">
              <w:rPr>
                <w:sz w:val="20"/>
                <w:szCs w:val="20"/>
              </w:rPr>
              <w:t>135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Redcliffs</w:t>
            </w:r>
          </w:p>
        </w:tc>
        <w:tc>
          <w:tcPr>
            <w:tcW w:w="2100" w:type="dxa"/>
          </w:tcPr>
          <w:p w:rsidR="00B320D9" w:rsidRPr="002734FD" w:rsidRDefault="00B320D9" w:rsidP="001022F8">
            <w:pPr>
              <w:pStyle w:val="Tablesmalltext"/>
              <w:rPr>
                <w:sz w:val="20"/>
                <w:szCs w:val="20"/>
              </w:rPr>
            </w:pPr>
            <w:r w:rsidRPr="002734FD">
              <w:rPr>
                <w:sz w:val="20"/>
                <w:szCs w:val="20"/>
              </w:rPr>
              <w:t>South Australia</w:t>
            </w:r>
          </w:p>
        </w:tc>
        <w:tc>
          <w:tcPr>
            <w:tcW w:w="1800" w:type="dxa"/>
          </w:tcPr>
          <w:p w:rsidR="00B320D9" w:rsidRPr="002734FD" w:rsidRDefault="00B320D9" w:rsidP="001022F8">
            <w:pPr>
              <w:pStyle w:val="Tablesmalltext"/>
              <w:rPr>
                <w:sz w:val="20"/>
                <w:szCs w:val="20"/>
              </w:rPr>
            </w:pPr>
            <w:r w:rsidRPr="002734FD">
              <w:rPr>
                <w:sz w:val="20"/>
                <w:szCs w:val="20"/>
              </w:rPr>
              <w:t>220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Victoria</w:t>
            </w:r>
          </w:p>
        </w:tc>
        <w:tc>
          <w:tcPr>
            <w:tcW w:w="2100" w:type="dxa"/>
          </w:tcPr>
          <w:p w:rsidR="00B320D9" w:rsidRPr="002734FD" w:rsidRDefault="00B320D9" w:rsidP="001022F8">
            <w:pPr>
              <w:pStyle w:val="Tablesmalltext"/>
              <w:rPr>
                <w:sz w:val="20"/>
                <w:szCs w:val="20"/>
              </w:rPr>
            </w:pPr>
            <w:r w:rsidRPr="002734FD">
              <w:rPr>
                <w:sz w:val="20"/>
                <w:szCs w:val="20"/>
              </w:rPr>
              <w:t>Snowy</w:t>
            </w:r>
          </w:p>
        </w:tc>
        <w:tc>
          <w:tcPr>
            <w:tcW w:w="1800" w:type="dxa"/>
          </w:tcPr>
          <w:p w:rsidR="00B320D9" w:rsidRPr="002734FD" w:rsidRDefault="00B320D9" w:rsidP="001022F8">
            <w:pPr>
              <w:pStyle w:val="Tablesmalltext"/>
              <w:rPr>
                <w:sz w:val="20"/>
                <w:szCs w:val="20"/>
              </w:rPr>
            </w:pPr>
            <w:r w:rsidRPr="002734FD">
              <w:rPr>
                <w:sz w:val="20"/>
                <w:szCs w:val="20"/>
              </w:rPr>
              <w:t>1,300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Snowy</w:t>
            </w:r>
          </w:p>
        </w:tc>
        <w:tc>
          <w:tcPr>
            <w:tcW w:w="2100" w:type="dxa"/>
          </w:tcPr>
          <w:p w:rsidR="00B320D9" w:rsidRPr="002734FD" w:rsidRDefault="00B320D9" w:rsidP="001022F8">
            <w:pPr>
              <w:pStyle w:val="Tablesmalltext"/>
              <w:rPr>
                <w:sz w:val="20"/>
                <w:szCs w:val="20"/>
              </w:rPr>
            </w:pPr>
            <w:r w:rsidRPr="002734FD">
              <w:rPr>
                <w:sz w:val="20"/>
                <w:szCs w:val="20"/>
              </w:rPr>
              <w:t>Victoria</w:t>
            </w:r>
          </w:p>
        </w:tc>
        <w:tc>
          <w:tcPr>
            <w:tcW w:w="1800" w:type="dxa"/>
          </w:tcPr>
          <w:p w:rsidR="00B320D9" w:rsidRPr="002734FD" w:rsidRDefault="00B320D9" w:rsidP="001022F8">
            <w:pPr>
              <w:pStyle w:val="Tablesmalltext"/>
              <w:rPr>
                <w:sz w:val="20"/>
                <w:szCs w:val="20"/>
              </w:rPr>
            </w:pPr>
            <w:r w:rsidRPr="002734FD">
              <w:rPr>
                <w:sz w:val="20"/>
                <w:szCs w:val="20"/>
              </w:rPr>
              <w:t>1,900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06"/>
        </w:trPr>
        <w:tc>
          <w:tcPr>
            <w:tcW w:w="2140" w:type="dxa"/>
          </w:tcPr>
          <w:p w:rsidR="00B320D9" w:rsidRPr="002734FD" w:rsidRDefault="00B320D9" w:rsidP="001022F8">
            <w:pPr>
              <w:pStyle w:val="Tablesmalltext"/>
              <w:rPr>
                <w:sz w:val="20"/>
                <w:szCs w:val="20"/>
              </w:rPr>
            </w:pPr>
            <w:r w:rsidRPr="002734FD">
              <w:rPr>
                <w:sz w:val="20"/>
                <w:szCs w:val="20"/>
              </w:rPr>
              <w:t>Snowy</w:t>
            </w:r>
          </w:p>
        </w:tc>
        <w:tc>
          <w:tcPr>
            <w:tcW w:w="2100" w:type="dxa"/>
          </w:tcPr>
          <w:p w:rsidR="00B320D9" w:rsidRPr="002734FD" w:rsidRDefault="00B320D9" w:rsidP="001022F8">
            <w:pPr>
              <w:pStyle w:val="Tablesmalltext"/>
              <w:rPr>
                <w:sz w:val="20"/>
                <w:szCs w:val="20"/>
              </w:rPr>
            </w:pPr>
            <w:r w:rsidRPr="002734FD">
              <w:rPr>
                <w:sz w:val="20"/>
                <w:szCs w:val="20"/>
              </w:rPr>
              <w:t>NSW</w:t>
            </w:r>
          </w:p>
        </w:tc>
        <w:tc>
          <w:tcPr>
            <w:tcW w:w="1800" w:type="dxa"/>
          </w:tcPr>
          <w:p w:rsidR="00B320D9" w:rsidRPr="002734FD" w:rsidRDefault="00B320D9" w:rsidP="001022F8">
            <w:pPr>
              <w:pStyle w:val="Tablesmalltext"/>
              <w:rPr>
                <w:sz w:val="20"/>
                <w:szCs w:val="20"/>
              </w:rPr>
            </w:pPr>
            <w:r w:rsidRPr="002734FD">
              <w:rPr>
                <w:sz w:val="20"/>
                <w:szCs w:val="20"/>
              </w:rPr>
              <w:t>3,</w:t>
            </w:r>
            <w:r w:rsidRPr="002734FD" w:rsidDel="00847E02">
              <w:rPr>
                <w:sz w:val="20"/>
                <w:szCs w:val="20"/>
              </w:rPr>
              <w:t xml:space="preserve"> </w:t>
            </w:r>
            <w:r w:rsidRPr="002734FD">
              <w:rPr>
                <w:sz w:val="20"/>
                <w:szCs w:val="20"/>
              </w:rPr>
              <w:t>559 MW</w:t>
            </w:r>
          </w:p>
        </w:tc>
        <w:tc>
          <w:tcPr>
            <w:tcW w:w="1200" w:type="dxa"/>
          </w:tcPr>
          <w:p w:rsidR="00B320D9" w:rsidRPr="002734FD" w:rsidRDefault="00B320D9" w:rsidP="001022F8">
            <w:pPr>
              <w:pStyle w:val="Tablesmalltext"/>
              <w:rPr>
                <w:sz w:val="20"/>
                <w:szCs w:val="20"/>
                <w:vertAlign w:val="superscript"/>
              </w:rPr>
            </w:pPr>
            <w:r w:rsidRPr="002734FD">
              <w:rPr>
                <w:sz w:val="20"/>
                <w:szCs w:val="20"/>
              </w:rPr>
              <w:t>3,117 MW</w:t>
            </w: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NSW</w:t>
            </w:r>
          </w:p>
        </w:tc>
        <w:tc>
          <w:tcPr>
            <w:tcW w:w="2100" w:type="dxa"/>
          </w:tcPr>
          <w:p w:rsidR="00B320D9" w:rsidRPr="002734FD" w:rsidRDefault="00B320D9" w:rsidP="001022F8">
            <w:pPr>
              <w:pStyle w:val="Tablesmalltext"/>
              <w:rPr>
                <w:sz w:val="20"/>
                <w:szCs w:val="20"/>
              </w:rPr>
            </w:pPr>
            <w:r w:rsidRPr="002734FD">
              <w:rPr>
                <w:sz w:val="20"/>
                <w:szCs w:val="20"/>
              </w:rPr>
              <w:t>Snowy</w:t>
            </w:r>
          </w:p>
        </w:tc>
        <w:tc>
          <w:tcPr>
            <w:tcW w:w="1800" w:type="dxa"/>
          </w:tcPr>
          <w:p w:rsidR="00B320D9" w:rsidRPr="002734FD" w:rsidRDefault="00B320D9" w:rsidP="001022F8">
            <w:pPr>
              <w:pStyle w:val="Tablesmalltext"/>
              <w:rPr>
                <w:sz w:val="20"/>
                <w:szCs w:val="20"/>
              </w:rPr>
            </w:pPr>
            <w:r w:rsidRPr="002734FD">
              <w:rPr>
                <w:sz w:val="20"/>
                <w:szCs w:val="20"/>
              </w:rPr>
              <w:t>1,150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NSW</w:t>
            </w:r>
          </w:p>
        </w:tc>
        <w:tc>
          <w:tcPr>
            <w:tcW w:w="2100" w:type="dxa"/>
          </w:tcPr>
          <w:p w:rsidR="00B320D9" w:rsidRPr="002734FD" w:rsidRDefault="00B320D9" w:rsidP="001022F8">
            <w:pPr>
              <w:pStyle w:val="Tablesmalltext"/>
              <w:rPr>
                <w:sz w:val="20"/>
                <w:szCs w:val="20"/>
              </w:rPr>
            </w:pPr>
            <w:r w:rsidRPr="002734FD">
              <w:rPr>
                <w:sz w:val="20"/>
                <w:szCs w:val="20"/>
              </w:rPr>
              <w:t>South Queensland</w:t>
            </w:r>
          </w:p>
        </w:tc>
        <w:tc>
          <w:tcPr>
            <w:tcW w:w="1800" w:type="dxa"/>
          </w:tcPr>
          <w:p w:rsidR="00B320D9" w:rsidRPr="002734FD" w:rsidRDefault="00B320D9" w:rsidP="001022F8">
            <w:pPr>
              <w:pStyle w:val="Tablesmalltext"/>
              <w:rPr>
                <w:sz w:val="20"/>
                <w:szCs w:val="20"/>
              </w:rPr>
            </w:pPr>
            <w:r w:rsidRPr="002734FD">
              <w:rPr>
                <w:sz w:val="20"/>
                <w:szCs w:val="20"/>
              </w:rPr>
              <w:t>120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South Queensland</w:t>
            </w:r>
          </w:p>
        </w:tc>
        <w:tc>
          <w:tcPr>
            <w:tcW w:w="2100" w:type="dxa"/>
          </w:tcPr>
          <w:p w:rsidR="00B320D9" w:rsidRPr="002734FD" w:rsidRDefault="00B320D9" w:rsidP="001022F8">
            <w:pPr>
              <w:pStyle w:val="Tablesmalltext"/>
              <w:rPr>
                <w:sz w:val="20"/>
                <w:szCs w:val="20"/>
              </w:rPr>
            </w:pPr>
            <w:r w:rsidRPr="002734FD">
              <w:rPr>
                <w:sz w:val="20"/>
                <w:szCs w:val="20"/>
              </w:rPr>
              <w:t>NSW</w:t>
            </w:r>
          </w:p>
        </w:tc>
        <w:tc>
          <w:tcPr>
            <w:tcW w:w="1800" w:type="dxa"/>
          </w:tcPr>
          <w:p w:rsidR="00B320D9" w:rsidRPr="002734FD" w:rsidRDefault="00B320D9" w:rsidP="001022F8">
            <w:pPr>
              <w:pStyle w:val="Tablesmalltext"/>
              <w:rPr>
                <w:sz w:val="20"/>
                <w:szCs w:val="20"/>
              </w:rPr>
            </w:pPr>
            <w:r w:rsidRPr="002734FD">
              <w:rPr>
                <w:sz w:val="20"/>
                <w:szCs w:val="20"/>
              </w:rPr>
              <w:t>180 MW</w:t>
            </w:r>
          </w:p>
        </w:tc>
        <w:tc>
          <w:tcPr>
            <w:tcW w:w="1200" w:type="dxa"/>
          </w:tcPr>
          <w:p w:rsidR="00B320D9" w:rsidRPr="002734FD" w:rsidRDefault="00B320D9" w:rsidP="001022F8">
            <w:pPr>
              <w:pStyle w:val="Tablesmalltext"/>
              <w:rPr>
                <w:sz w:val="20"/>
                <w:szCs w:val="20"/>
              </w:rPr>
            </w:pPr>
            <w:r w:rsidRPr="002734FD">
              <w:rPr>
                <w:sz w:val="20"/>
                <w:szCs w:val="20"/>
              </w:rPr>
              <w:t>120 MW</w:t>
            </w: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NSW</w:t>
            </w:r>
          </w:p>
        </w:tc>
        <w:tc>
          <w:tcPr>
            <w:tcW w:w="2100" w:type="dxa"/>
          </w:tcPr>
          <w:p w:rsidR="00B320D9" w:rsidRPr="002734FD" w:rsidRDefault="00B320D9" w:rsidP="001022F8">
            <w:pPr>
              <w:pStyle w:val="Tablesmalltext"/>
              <w:rPr>
                <w:sz w:val="20"/>
                <w:szCs w:val="20"/>
              </w:rPr>
            </w:pPr>
            <w:r w:rsidRPr="002734FD">
              <w:rPr>
                <w:sz w:val="20"/>
                <w:szCs w:val="20"/>
              </w:rPr>
              <w:t>Tarong</w:t>
            </w:r>
          </w:p>
        </w:tc>
        <w:tc>
          <w:tcPr>
            <w:tcW w:w="1800" w:type="dxa"/>
          </w:tcPr>
          <w:p w:rsidR="00B320D9" w:rsidRPr="002734FD" w:rsidRDefault="00B320D9" w:rsidP="001022F8">
            <w:pPr>
              <w:pStyle w:val="Tablesmalltext"/>
              <w:rPr>
                <w:sz w:val="20"/>
                <w:szCs w:val="20"/>
              </w:rPr>
            </w:pPr>
            <w:r w:rsidRPr="002734FD">
              <w:rPr>
                <w:sz w:val="20"/>
                <w:szCs w:val="20"/>
              </w:rPr>
              <w:t>589 MW</w:t>
            </w:r>
          </w:p>
        </w:tc>
        <w:tc>
          <w:tcPr>
            <w:tcW w:w="1200" w:type="dxa"/>
          </w:tcPr>
          <w:p w:rsidR="00B320D9" w:rsidRPr="002734FD" w:rsidRDefault="00B320D9" w:rsidP="001022F8">
            <w:pPr>
              <w:pStyle w:val="Tablesmalltext"/>
              <w:rPr>
                <w:sz w:val="20"/>
                <w:szCs w:val="20"/>
              </w:rPr>
            </w:pPr>
          </w:p>
        </w:tc>
      </w:tr>
      <w:tr w:rsidR="00B320D9" w:rsidRPr="00952F9C" w:rsidTr="001022F8">
        <w:trPr>
          <w:trHeight w:val="315"/>
        </w:trPr>
        <w:tc>
          <w:tcPr>
            <w:tcW w:w="2140" w:type="dxa"/>
          </w:tcPr>
          <w:p w:rsidR="00B320D9" w:rsidRPr="002734FD" w:rsidRDefault="00B320D9" w:rsidP="001022F8">
            <w:pPr>
              <w:pStyle w:val="Tablesmalltext"/>
              <w:rPr>
                <w:sz w:val="20"/>
                <w:szCs w:val="20"/>
              </w:rPr>
            </w:pPr>
            <w:r w:rsidRPr="002734FD">
              <w:rPr>
                <w:sz w:val="20"/>
                <w:szCs w:val="20"/>
              </w:rPr>
              <w:t>Tarong</w:t>
            </w:r>
          </w:p>
        </w:tc>
        <w:tc>
          <w:tcPr>
            <w:tcW w:w="2100" w:type="dxa"/>
          </w:tcPr>
          <w:p w:rsidR="00B320D9" w:rsidRPr="002734FD" w:rsidRDefault="00B320D9" w:rsidP="001022F8">
            <w:pPr>
              <w:pStyle w:val="Tablesmalltext"/>
              <w:rPr>
                <w:sz w:val="20"/>
                <w:szCs w:val="20"/>
              </w:rPr>
            </w:pPr>
            <w:r w:rsidRPr="002734FD">
              <w:rPr>
                <w:sz w:val="20"/>
                <w:szCs w:val="20"/>
              </w:rPr>
              <w:t>NSW</w:t>
            </w:r>
          </w:p>
        </w:tc>
        <w:tc>
          <w:tcPr>
            <w:tcW w:w="1800" w:type="dxa"/>
          </w:tcPr>
          <w:p w:rsidR="00B320D9" w:rsidRPr="002734FD" w:rsidRDefault="00B320D9" w:rsidP="001022F8">
            <w:pPr>
              <w:pStyle w:val="Tablesmalltext"/>
              <w:rPr>
                <w:sz w:val="20"/>
                <w:szCs w:val="20"/>
              </w:rPr>
            </w:pPr>
            <w:r w:rsidRPr="002734FD">
              <w:rPr>
                <w:sz w:val="20"/>
                <w:szCs w:val="20"/>
              </w:rPr>
              <w:t>1,078 MW</w:t>
            </w:r>
          </w:p>
        </w:tc>
        <w:tc>
          <w:tcPr>
            <w:tcW w:w="1200" w:type="dxa"/>
          </w:tcPr>
          <w:p w:rsidR="00B320D9" w:rsidRPr="002734FD" w:rsidRDefault="00B320D9" w:rsidP="001022F8">
            <w:pPr>
              <w:pStyle w:val="Tablesmalltext"/>
              <w:rPr>
                <w:sz w:val="20"/>
                <w:szCs w:val="20"/>
              </w:rPr>
            </w:pPr>
          </w:p>
        </w:tc>
      </w:tr>
    </w:tbl>
    <w:p w:rsidR="00B320D9" w:rsidRPr="00A26BE6" w:rsidRDefault="00525995" w:rsidP="00B320D9">
      <w:pPr>
        <w:rPr>
          <w:sz w:val="16"/>
          <w:szCs w:val="16"/>
        </w:rPr>
      </w:pPr>
      <w:r w:rsidRPr="00A26BE6">
        <w:rPr>
          <w:sz w:val="16"/>
          <w:szCs w:val="16"/>
        </w:rPr>
        <w:t xml:space="preserve">Source: </w:t>
      </w:r>
      <w:r>
        <w:rPr>
          <w:sz w:val="16"/>
          <w:szCs w:val="16"/>
        </w:rPr>
        <w:t>Combination of ESOO and historical market data</w:t>
      </w:r>
    </w:p>
    <w:p w:rsidR="00AD692B" w:rsidRPr="00952F9C" w:rsidRDefault="00AD692B" w:rsidP="00AD692B">
      <w:pPr>
        <w:pStyle w:val="Para0"/>
      </w:pPr>
      <w:r w:rsidRPr="00C61986">
        <w:rPr>
          <w:u w:val="single"/>
        </w:rPr>
        <w:t>Inter</w:t>
      </w:r>
      <w:r w:rsidRPr="00952F9C">
        <w:t xml:space="preserve">-regional loss equations are modelled in Strategist by directly entering the Loss Factor equations published by AEMO except that Strategist does not allow for loss factors to vary with loads.  Therefore we allow a typical area load level to set an appropriate average value for the adjusted constant term in the loss equation.    The losses currently applied are those </w:t>
      </w:r>
      <w:r w:rsidRPr="002734FD">
        <w:t xml:space="preserve">published in the AEMO report entitled “List of Regional Boundaries and Marginal Loss Factors </w:t>
      </w:r>
      <w:proofErr w:type="gramStart"/>
      <w:r w:rsidRPr="002734FD">
        <w:t>for the 201</w:t>
      </w:r>
      <w:r>
        <w:t>4</w:t>
      </w:r>
      <w:r w:rsidRPr="002734FD">
        <w:t>-1</w:t>
      </w:r>
      <w:r>
        <w:t>5</w:t>
      </w:r>
      <w:r w:rsidRPr="002734FD">
        <w:t xml:space="preserve"> Financial Year</w:t>
      </w:r>
      <w:proofErr w:type="gramEnd"/>
      <w:r w:rsidRPr="002734FD">
        <w:t>”</w:t>
      </w:r>
      <w:r w:rsidR="00840ECD">
        <w:t>.</w:t>
      </w:r>
    </w:p>
    <w:p w:rsidR="00840ECD" w:rsidRDefault="00AD692B" w:rsidP="00840ECD">
      <w:pPr>
        <w:pStyle w:val="Para0"/>
      </w:pPr>
      <w:r w:rsidRPr="00952F9C">
        <w:t>Negative losses are avoided by shifting the quadratic loss equation so that the minimum passes through zero loss.</w:t>
      </w:r>
    </w:p>
    <w:p w:rsidR="00840ECD" w:rsidRPr="00952F9C" w:rsidRDefault="00840ECD" w:rsidP="00AD692B">
      <w:pPr>
        <w:pStyle w:val="Para0"/>
      </w:pPr>
      <w:r>
        <w:t xml:space="preserve">Benefits due to lower losses across the </w:t>
      </w:r>
      <w:r w:rsidRPr="00436221">
        <w:rPr>
          <w:u w:val="single"/>
        </w:rPr>
        <w:t>inter</w:t>
      </w:r>
      <w:r>
        <w:t>-regional interconnects are modelled directly in the Strategist model using equations that mimic the transfer equations used in AEMO/IMO dispatch algorithms.</w:t>
      </w:r>
    </w:p>
    <w:p w:rsidR="00AD692B" w:rsidRPr="00952F9C" w:rsidRDefault="00AD692B" w:rsidP="00AD692B">
      <w:pPr>
        <w:pStyle w:val="Para0"/>
      </w:pPr>
      <w:r w:rsidRPr="00C61986">
        <w:rPr>
          <w:u w:val="single"/>
        </w:rPr>
        <w:t>Intra</w:t>
      </w:r>
      <w:r w:rsidRPr="00952F9C">
        <w:t xml:space="preserve">-regional losses are applied as detailed in </w:t>
      </w:r>
      <w:r w:rsidRPr="002734FD">
        <w:t>the AEMO report entitled “List of Regional</w:t>
      </w:r>
      <w:r w:rsidRPr="00952F9C">
        <w:t xml:space="preserve"> Boundaries and Marginal Loss Factors </w:t>
      </w:r>
      <w:proofErr w:type="gramStart"/>
      <w:r w:rsidRPr="00952F9C">
        <w:t>for the 201</w:t>
      </w:r>
      <w:r>
        <w:t>4-</w:t>
      </w:r>
      <w:r w:rsidRPr="00952F9C">
        <w:t>1</w:t>
      </w:r>
      <w:r>
        <w:t>5</w:t>
      </w:r>
      <w:r w:rsidRPr="00952F9C">
        <w:t xml:space="preserve"> Financial Year</w:t>
      </w:r>
      <w:proofErr w:type="gramEnd"/>
      <w:r w:rsidRPr="00952F9C">
        <w:t>”</w:t>
      </w:r>
      <w:r w:rsidR="00840ECD">
        <w:t>.</w:t>
      </w:r>
    </w:p>
    <w:p w:rsidR="00AD692B" w:rsidRDefault="00AD692B" w:rsidP="00AD692B">
      <w:pPr>
        <w:pStyle w:val="Para0"/>
      </w:pPr>
      <w:r w:rsidRPr="00952F9C">
        <w:t xml:space="preserve">The long-term trend of marginal loss factors is extrapolated for </w:t>
      </w:r>
      <w:r>
        <w:t>two</w:t>
      </w:r>
      <w:r w:rsidRPr="00952F9C">
        <w:t xml:space="preserve"> more years and then held at that extrapolated value thereafter.</w:t>
      </w:r>
    </w:p>
    <w:p w:rsidR="00392E3A" w:rsidRDefault="00392E3A" w:rsidP="00392E3A">
      <w:pPr>
        <w:pStyle w:val="Appendixsubheading1"/>
      </w:pPr>
      <w:r>
        <w:t>Further details on nuclear energy</w:t>
      </w:r>
    </w:p>
    <w:p w:rsidR="00CD4298" w:rsidRDefault="00CD4298" w:rsidP="00CD4298">
      <w:r>
        <w:t xml:space="preserve">Nuclear energy, like other plant types, will be constructed and dispatched if it is part of the least cost generation mix to meet total electricity demand given technology costs, fuel prices and the emissions constraint.   This assumes that the regulatory and support frameworks are in-place at the necessary time to allow the consideration of this technology.  These frameworks are not in-place at the present time in Australia and there are no current proposals to put </w:t>
      </w:r>
      <w:proofErr w:type="gramStart"/>
      <w:r>
        <w:t>these in-place</w:t>
      </w:r>
      <w:proofErr w:type="gramEnd"/>
      <w:r>
        <w:t>. The necessary requirements would include:</w:t>
      </w:r>
    </w:p>
    <w:p w:rsidR="00CD4298" w:rsidRDefault="00CD4298" w:rsidP="00733569">
      <w:pPr>
        <w:pStyle w:val="bulletlist"/>
      </w:pPr>
      <w:r>
        <w:t>The political and legislative framework at the Commonwealth and (where relevant) the State level.  The larger States each have legislation prohibiting the construction of a nuclear power station (the Lucas Heights facility operates under a Commonwealth framework).  Bi-partisan support and broad social acceptance is likely to be a pre-requisite to nuclear development.  This would take some time to establish.  The most commercially developed and cost effective technologies presently available are large unit sizes that could only practically be installed in NSW, Victoria or Queensland.</w:t>
      </w:r>
    </w:p>
    <w:p w:rsidR="00CD4298" w:rsidRDefault="00CD4298" w:rsidP="00733569">
      <w:pPr>
        <w:pStyle w:val="bulletlist"/>
      </w:pPr>
      <w:r>
        <w:lastRenderedPageBreak/>
        <w:t>An institutional framework would be required to supervise the industry in its construction and operational phases</w:t>
      </w:r>
    </w:p>
    <w:p w:rsidR="00CD4298" w:rsidRDefault="00CD4298" w:rsidP="00733569">
      <w:pPr>
        <w:pStyle w:val="bulletlist"/>
      </w:pPr>
      <w:r>
        <w:t>A siting study would be required necessitating significant political and consultative processes</w:t>
      </w:r>
    </w:p>
    <w:p w:rsidR="00CD4298" w:rsidRDefault="00CD4298" w:rsidP="00733569">
      <w:pPr>
        <w:pStyle w:val="bulletlist"/>
      </w:pPr>
      <w:r>
        <w:t>An environmental assessment framework specific to nuclear power in Australia would need to be established and undertaken</w:t>
      </w:r>
    </w:p>
    <w:p w:rsidR="00CD4298" w:rsidRDefault="00CD4298" w:rsidP="00733569">
      <w:pPr>
        <w:pStyle w:val="bulletlist"/>
      </w:pPr>
      <w:r>
        <w:t>An insurance framework would need to be established to address the insurer-of-last-resort issues of a nuclear power plant</w:t>
      </w:r>
      <w:r w:rsidR="00733569">
        <w:t>.</w:t>
      </w:r>
    </w:p>
    <w:p w:rsidR="00CD4298" w:rsidRDefault="00CD4298" w:rsidP="00CD4298">
      <w:r>
        <w:t>The costs of these processes have not been incorporated into the analysis.</w:t>
      </w:r>
    </w:p>
    <w:p w:rsidR="00CD4298" w:rsidRDefault="00CD4298" w:rsidP="00453B3F">
      <w:pPr>
        <w:pStyle w:val="Para0"/>
      </w:pPr>
      <w:r>
        <w:t xml:space="preserve">Should an Australian nuclear plant be considered, it would be envisaged that a proven design would be selected from an international vendor. Accordingly, although some of the specialised construction techniques would be first-of-a-kind in Australia they would not be first-of-a-kind for the vendor </w:t>
      </w:r>
      <w:proofErr w:type="gramStart"/>
      <w:r>
        <w:t>nor</w:t>
      </w:r>
      <w:proofErr w:type="gramEnd"/>
      <w:r>
        <w:t xml:space="preserve"> for the global industry. It is assumed that the Australian regulatory regime would not require different or additional design or construction requirements than would apply in other jurisdictions where the vendor(s) have previously applied the design.</w:t>
      </w:r>
    </w:p>
    <w:p w:rsidR="00CD4298" w:rsidRDefault="00CD4298" w:rsidP="00453B3F">
      <w:pPr>
        <w:pStyle w:val="Para0"/>
      </w:pPr>
      <w:r>
        <w:t>In this analysis it is assumed that the design and construction arrangement would be able to apply the benefits of prior learning on other plants overseas.</w:t>
      </w:r>
    </w:p>
    <w:p w:rsidR="00CD4298" w:rsidRDefault="00CD4298" w:rsidP="00453B3F">
      <w:pPr>
        <w:pStyle w:val="Para0"/>
      </w:pPr>
      <w:r>
        <w:t>Costs allowed are based on the “N”-of-a-kind cost for a large scale Generation III reactor (1000MW) in the US of AUD3750/kW ($2013), which is the average cost reported by the World Nuclear Association. These do not include decommissioning costs and an allowance has been included of $20/kW (based on $1000/kW discounted for 60 years at 7% real). An assumed cost of AUD5140/kW is allowed ($2015, and reflecting exchange rate differences).</w:t>
      </w:r>
    </w:p>
    <w:p w:rsidR="00CD4298" w:rsidRDefault="00CD4298" w:rsidP="00453B3F">
      <w:pPr>
        <w:pStyle w:val="Para0"/>
      </w:pPr>
      <w:r>
        <w:t>It should be noted that n</w:t>
      </w:r>
      <w:r w:rsidRPr="008B4A57">
        <w:t xml:space="preserve">uclear costs will always be a highly debatable point in the Australian context until proposals are developed and the framework </w:t>
      </w:r>
      <w:r>
        <w:t xml:space="preserve">that they would be built under </w:t>
      </w:r>
      <w:r w:rsidRPr="008B4A57">
        <w:t>is established.</w:t>
      </w:r>
    </w:p>
    <w:p w:rsidR="00CD4298" w:rsidRPr="008B4A57" w:rsidRDefault="00CD4298" w:rsidP="00453B3F">
      <w:pPr>
        <w:pStyle w:val="Para0"/>
      </w:pPr>
      <w:r w:rsidRPr="008B4A57">
        <w:t>Overseas, the experience has been varied.</w:t>
      </w:r>
    </w:p>
    <w:p w:rsidR="00CD4298" w:rsidRPr="008B4A57" w:rsidRDefault="00CD4298" w:rsidP="00453B3F">
      <w:pPr>
        <w:pStyle w:val="Para0"/>
      </w:pPr>
      <w:r w:rsidRPr="008B4A57">
        <w:t>Indicative contemporary costs as reported by the World Nuclear Association for Generation III plants are approximately USD3500-4000/kW in USA, USD2300-3000/kW in China and for Hinkley C in UK USD7750/kW.  The UK industry has always had costs significantly higher than elsewhere for nuclear plants.</w:t>
      </w:r>
    </w:p>
    <w:p w:rsidR="00CD4298" w:rsidRPr="008B4A57" w:rsidRDefault="00CD4298" w:rsidP="00453B3F">
      <w:pPr>
        <w:pStyle w:val="Para0"/>
      </w:pPr>
      <w:r w:rsidRPr="008B4A57">
        <w:t>These are typically $2013 to present and all are overnight basis</w:t>
      </w:r>
      <w:r>
        <w:t xml:space="preserve"> (that is as if construction costs were paid in full at once, so excluding interest during construction). If we are to compare these to capital costs quoted in </w:t>
      </w:r>
      <w:r>
        <w:fldChar w:fldCharType="begin"/>
      </w:r>
      <w:r>
        <w:instrText xml:space="preserve"> REF _Ref419195874 \h </w:instrText>
      </w:r>
      <w:r w:rsidR="00453B3F">
        <w:instrText xml:space="preserve"> \* MERGEFORMAT </w:instrText>
      </w:r>
      <w:r>
        <w:fldChar w:fldCharType="separate"/>
      </w:r>
      <w:r w:rsidR="00014844">
        <w:t xml:space="preserve">Table </w:t>
      </w:r>
      <w:r w:rsidR="00014844">
        <w:rPr>
          <w:noProof/>
        </w:rPr>
        <w:t>3</w:t>
      </w:r>
      <w:r>
        <w:fldChar w:fldCharType="end"/>
      </w:r>
      <w:r>
        <w:t>, then they should be escalated by 36% to be converted from USD to AUD and inflated to $2015. Thus, typical capital costs for nuclear energy in the USA are AUD4780-5460/kW, AUD3140-4090/kW in China and AUD10</w:t>
      </w:r>
      <w:proofErr w:type="gramStart"/>
      <w:r>
        <w:t>,570</w:t>
      </w:r>
      <w:proofErr w:type="gramEnd"/>
      <w:r>
        <w:t>/kW for the Hinkley C plant in the UK.</w:t>
      </w:r>
    </w:p>
    <w:p w:rsidR="00CD4298" w:rsidRDefault="001E3E71" w:rsidP="00453B3F">
      <w:pPr>
        <w:pStyle w:val="Para0"/>
      </w:pPr>
      <w:r>
        <w:t xml:space="preserve">The Climate Change Authority </w:t>
      </w:r>
      <w:r w:rsidR="000D5BFF">
        <w:t>requested</w:t>
      </w:r>
      <w:r>
        <w:t xml:space="preserve"> Jacobs to</w:t>
      </w:r>
      <w:r w:rsidR="000D5BFF">
        <w:t xml:space="preserve"> model an</w:t>
      </w:r>
      <w:r w:rsidR="00CD4298">
        <w:t xml:space="preserve"> earliest date of entry for nuclear energy</w:t>
      </w:r>
      <w:r w:rsidR="00807840">
        <w:t xml:space="preserve"> </w:t>
      </w:r>
      <w:r>
        <w:t>of</w:t>
      </w:r>
      <w:r w:rsidR="00CD4298">
        <w:t xml:space="preserve"> </w:t>
      </w:r>
      <w:r>
        <w:t>2035</w:t>
      </w:r>
      <w:r w:rsidR="00CD4298">
        <w:t xml:space="preserve">. </w:t>
      </w:r>
      <w:r>
        <w:t>This is based on the significant time for the processes described above to be implemented</w:t>
      </w:r>
      <w:r w:rsidR="00807840">
        <w:t xml:space="preserve"> and accepted</w:t>
      </w:r>
      <w:r w:rsidR="00CD4298">
        <w:t>. </w:t>
      </w:r>
    </w:p>
    <w:p w:rsidR="00840ECD" w:rsidRDefault="00CD4298" w:rsidP="00453B3F">
      <w:pPr>
        <w:pStyle w:val="Para0"/>
      </w:pPr>
      <w:r>
        <w:t>Other nuclear technologies may become available in the future however their technical and cost parameters are not presently known.</w:t>
      </w:r>
    </w:p>
    <w:bookmarkEnd w:id="137"/>
    <w:p w:rsidR="009E0DE2" w:rsidRDefault="009E0DE2" w:rsidP="00A04A8C">
      <w:pPr>
        <w:pStyle w:val="Para0"/>
        <w:sectPr w:rsidR="009E0DE2" w:rsidSect="00513531">
          <w:pgSz w:w="11901" w:h="16840" w:code="9"/>
          <w:pgMar w:top="567" w:right="851" w:bottom="851" w:left="1134" w:header="567" w:footer="369" w:gutter="0"/>
          <w:cols w:space="0"/>
          <w:formProt w:val="0"/>
          <w:docGrid w:linePitch="360"/>
        </w:sectPr>
      </w:pPr>
    </w:p>
    <w:p w:rsidR="008D308B" w:rsidRPr="0010488E" w:rsidRDefault="008D308B" w:rsidP="008D308B">
      <w:pPr>
        <w:pStyle w:val="Heading9"/>
      </w:pPr>
      <w:bookmarkStart w:id="155" w:name="_Toc418776193"/>
      <w:bookmarkStart w:id="156" w:name="_Toc419133337"/>
      <w:bookmarkStart w:id="157" w:name="_Ref419321083"/>
      <w:bookmarkStart w:id="158" w:name="_Toc419383243"/>
      <w:bookmarkStart w:id="159" w:name="_Toc419731548"/>
      <w:bookmarkStart w:id="160" w:name="_Toc419731929"/>
      <w:bookmarkStart w:id="161" w:name="_Toc419793649"/>
      <w:r>
        <w:lastRenderedPageBreak/>
        <w:t>Technology cost assumptions</w:t>
      </w:r>
      <w:bookmarkEnd w:id="155"/>
      <w:bookmarkEnd w:id="156"/>
      <w:bookmarkEnd w:id="157"/>
      <w:bookmarkEnd w:id="158"/>
      <w:bookmarkEnd w:id="159"/>
      <w:bookmarkEnd w:id="160"/>
      <w:bookmarkEnd w:id="161"/>
    </w:p>
    <w:p w:rsidR="002A71D6" w:rsidRDefault="003366B0" w:rsidP="002A71D6">
      <w:pPr>
        <w:spacing w:before="240" w:after="120"/>
      </w:pPr>
      <w:r w:rsidRPr="003366B0">
        <w:rPr>
          <w:noProof/>
          <w:lang w:eastAsia="en-AU"/>
        </w:rPr>
        <w:drawing>
          <wp:inline distT="0" distB="0" distL="0" distR="0" wp14:anchorId="10125FB9" wp14:editId="2BEF014B">
            <wp:extent cx="9792970" cy="4443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92970" cy="4443458"/>
                    </a:xfrm>
                    <a:prstGeom prst="rect">
                      <a:avLst/>
                    </a:prstGeom>
                    <a:noFill/>
                    <a:ln>
                      <a:noFill/>
                    </a:ln>
                  </pic:spPr>
                </pic:pic>
              </a:graphicData>
            </a:graphic>
          </wp:inline>
        </w:drawing>
      </w:r>
    </w:p>
    <w:p w:rsidR="00053D75" w:rsidRDefault="002A36AC" w:rsidP="00053D75">
      <w:pPr>
        <w:spacing w:after="0"/>
        <w:rPr>
          <w:sz w:val="16"/>
          <w:szCs w:val="16"/>
        </w:rPr>
      </w:pPr>
      <w:r w:rsidRPr="002A36AC">
        <w:rPr>
          <w:sz w:val="16"/>
          <w:szCs w:val="16"/>
        </w:rPr>
        <w:t>*</w:t>
      </w:r>
      <w:r>
        <w:rPr>
          <w:sz w:val="16"/>
          <w:szCs w:val="16"/>
        </w:rPr>
        <w:t xml:space="preserve"> Costs for storage technologies are presented as $/MWh.</w:t>
      </w:r>
    </w:p>
    <w:p w:rsidR="002A36AC" w:rsidRDefault="00414BBA" w:rsidP="00053D75">
      <w:pPr>
        <w:spacing w:after="0"/>
        <w:rPr>
          <w:sz w:val="16"/>
          <w:szCs w:val="16"/>
        </w:rPr>
      </w:pPr>
      <w:r>
        <w:rPr>
          <w:sz w:val="16"/>
          <w:szCs w:val="16"/>
        </w:rPr>
        <w:t xml:space="preserve">** Construction periods are build times only and exclude time required for regulatory approvals. </w:t>
      </w:r>
    </w:p>
    <w:p w:rsidR="00053D75" w:rsidRPr="002A36AC" w:rsidRDefault="00053D75" w:rsidP="00053D75">
      <w:pPr>
        <w:spacing w:after="0"/>
        <w:rPr>
          <w:sz w:val="16"/>
          <w:szCs w:val="16"/>
        </w:rPr>
      </w:pPr>
      <w:r>
        <w:rPr>
          <w:sz w:val="16"/>
          <w:szCs w:val="16"/>
        </w:rPr>
        <w:t xml:space="preserve">*** Small-scale PV costs exclude the SRES subsidy, and also include a factor to convert from DC </w:t>
      </w:r>
      <w:r w:rsidR="00916D89">
        <w:rPr>
          <w:sz w:val="16"/>
          <w:szCs w:val="16"/>
        </w:rPr>
        <w:t xml:space="preserve">power </w:t>
      </w:r>
      <w:r>
        <w:rPr>
          <w:sz w:val="16"/>
          <w:szCs w:val="16"/>
        </w:rPr>
        <w:t>to AC</w:t>
      </w:r>
      <w:r w:rsidR="00916D89">
        <w:rPr>
          <w:sz w:val="16"/>
          <w:szCs w:val="16"/>
        </w:rPr>
        <w:t xml:space="preserve"> power</w:t>
      </w:r>
    </w:p>
    <w:p w:rsidR="00254CF7" w:rsidRDefault="00254CF7" w:rsidP="00254CF7">
      <w:pPr>
        <w:pStyle w:val="Caption"/>
      </w:pPr>
      <w:bookmarkStart w:id="162" w:name="_Ref419357625"/>
      <w:r>
        <w:lastRenderedPageBreak/>
        <w:t xml:space="preserve">Figure </w:t>
      </w:r>
      <w:r w:rsidR="00941D78">
        <w:fldChar w:fldCharType="begin"/>
      </w:r>
      <w:r w:rsidR="00941D78">
        <w:instrText xml:space="preserve"> SEQ Figure \* ARABIC </w:instrText>
      </w:r>
      <w:r w:rsidR="00941D78">
        <w:fldChar w:fldCharType="separate"/>
      </w:r>
      <w:r w:rsidR="00014844">
        <w:rPr>
          <w:noProof/>
        </w:rPr>
        <w:t>9</w:t>
      </w:r>
      <w:r w:rsidR="00941D78">
        <w:fldChar w:fldCharType="end"/>
      </w:r>
      <w:bookmarkEnd w:id="162"/>
      <w:r>
        <w:t xml:space="preserve"> Assumed renewable supply curve for Australia in 2020 and 2030 for new projects only</w:t>
      </w:r>
    </w:p>
    <w:p w:rsidR="00744114" w:rsidRDefault="00254CF7" w:rsidP="002A71D6">
      <w:pPr>
        <w:spacing w:before="240" w:after="120"/>
        <w:rPr>
          <w:sz w:val="16"/>
          <w:szCs w:val="16"/>
        </w:rPr>
      </w:pPr>
      <w:r>
        <w:rPr>
          <w:noProof/>
          <w:lang w:eastAsia="en-AU"/>
        </w:rPr>
        <w:drawing>
          <wp:inline distT="0" distB="0" distL="0" distR="0" wp14:anchorId="6E775F41" wp14:editId="748E1FEB">
            <wp:extent cx="7328848" cy="478190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29297" cy="4782199"/>
                    </a:xfrm>
                    <a:prstGeom prst="rect">
                      <a:avLst/>
                    </a:prstGeom>
                    <a:noFill/>
                  </pic:spPr>
                </pic:pic>
              </a:graphicData>
            </a:graphic>
          </wp:inline>
        </w:drawing>
      </w:r>
    </w:p>
    <w:p w:rsidR="004D6833" w:rsidRPr="004D6833" w:rsidRDefault="004D6833" w:rsidP="002A71D6">
      <w:pPr>
        <w:spacing w:before="240" w:after="120"/>
        <w:rPr>
          <w:sz w:val="16"/>
          <w:szCs w:val="16"/>
        </w:rPr>
      </w:pPr>
      <w:r>
        <w:rPr>
          <w:sz w:val="16"/>
          <w:szCs w:val="16"/>
        </w:rPr>
        <w:t xml:space="preserve">Source: </w:t>
      </w:r>
      <w:r w:rsidRPr="00F729D7">
        <w:rPr>
          <w:sz w:val="16"/>
          <w:szCs w:val="16"/>
        </w:rPr>
        <w:t>Jacobs</w:t>
      </w:r>
      <w:r>
        <w:rPr>
          <w:sz w:val="16"/>
          <w:szCs w:val="16"/>
        </w:rPr>
        <w:t>’</w:t>
      </w:r>
      <w:r w:rsidRPr="00F729D7">
        <w:rPr>
          <w:sz w:val="16"/>
          <w:szCs w:val="16"/>
        </w:rPr>
        <w:t xml:space="preserve"> data base of </w:t>
      </w:r>
      <w:r>
        <w:rPr>
          <w:sz w:val="16"/>
          <w:szCs w:val="16"/>
        </w:rPr>
        <w:t>renewable energy projects</w:t>
      </w:r>
      <w:r w:rsidRPr="00815E87">
        <w:rPr>
          <w:sz w:val="16"/>
          <w:szCs w:val="16"/>
        </w:rPr>
        <w:t xml:space="preserve">, which in turn is based on </w:t>
      </w:r>
      <w:r w:rsidRPr="00F729D7">
        <w:rPr>
          <w:sz w:val="16"/>
          <w:szCs w:val="16"/>
        </w:rPr>
        <w:t>annual reports of generators, ASX announcements and other media releases</w:t>
      </w:r>
      <w:r>
        <w:t>.</w:t>
      </w:r>
    </w:p>
    <w:p w:rsidR="009E0DE2" w:rsidRDefault="009E0DE2" w:rsidP="0010488E">
      <w:pPr>
        <w:spacing w:before="240" w:after="120"/>
        <w:sectPr w:rsidR="009E0DE2" w:rsidSect="00BA468B">
          <w:pgSz w:w="16840" w:h="11901" w:orient="landscape" w:code="9"/>
          <w:pgMar w:top="1134" w:right="567" w:bottom="851" w:left="851" w:header="567" w:footer="369" w:gutter="0"/>
          <w:cols w:space="0"/>
          <w:formProt w:val="0"/>
          <w:docGrid w:linePitch="360"/>
        </w:sectPr>
      </w:pPr>
    </w:p>
    <w:p w:rsidR="009E0DE2" w:rsidRPr="00311FF7" w:rsidRDefault="009E0DE2" w:rsidP="009E0DE2">
      <w:pPr>
        <w:pStyle w:val="Heading9"/>
        <w:spacing w:before="0" w:after="240"/>
      </w:pPr>
      <w:bookmarkStart w:id="163" w:name="_Toc317181285"/>
      <w:bookmarkStart w:id="164" w:name="_Ref320016015"/>
      <w:bookmarkStart w:id="165" w:name="_Toc331774762"/>
      <w:bookmarkStart w:id="166" w:name="_Toc417026716"/>
      <w:bookmarkStart w:id="167" w:name="_Toc418776194"/>
      <w:bookmarkStart w:id="168" w:name="_Ref418784405"/>
      <w:bookmarkStart w:id="169" w:name="_Toc419133338"/>
      <w:bookmarkStart w:id="170" w:name="_Ref419360412"/>
      <w:bookmarkStart w:id="171" w:name="_Toc419383244"/>
      <w:bookmarkStart w:id="172" w:name="_Toc419731549"/>
      <w:bookmarkStart w:id="173" w:name="_Toc419731930"/>
      <w:bookmarkStart w:id="174" w:name="_Toc419793650"/>
      <w:r w:rsidRPr="00311FF7">
        <w:lastRenderedPageBreak/>
        <w:t>Costs and performance of</w:t>
      </w:r>
      <w:r w:rsidR="00AD692B">
        <w:t xml:space="preserve"> existing and prospective</w:t>
      </w:r>
      <w:r w:rsidRPr="00311FF7">
        <w:t xml:space="preserve"> thermal plants</w:t>
      </w:r>
      <w:bookmarkEnd w:id="163"/>
      <w:bookmarkEnd w:id="164"/>
      <w:bookmarkEnd w:id="165"/>
      <w:bookmarkEnd w:id="166"/>
      <w:bookmarkEnd w:id="167"/>
      <w:bookmarkEnd w:id="168"/>
      <w:bookmarkEnd w:id="169"/>
      <w:bookmarkEnd w:id="170"/>
      <w:bookmarkEnd w:id="171"/>
      <w:bookmarkEnd w:id="172"/>
      <w:bookmarkEnd w:id="173"/>
      <w:bookmarkEnd w:id="174"/>
    </w:p>
    <w:p w:rsidR="009E0DE2" w:rsidRDefault="009E0DE2" w:rsidP="009E0DE2">
      <w:pPr>
        <w:pStyle w:val="Para0"/>
      </w:pPr>
      <w:bookmarkStart w:id="175" w:name="_Toc314240172"/>
      <w:bookmarkStart w:id="176" w:name="_Toc314477897"/>
      <w:bookmarkStart w:id="177" w:name="_Toc314240173"/>
      <w:bookmarkStart w:id="178" w:name="_Toc314477898"/>
      <w:bookmarkStart w:id="179" w:name="_Toc314240174"/>
      <w:bookmarkStart w:id="180" w:name="_Toc314477899"/>
      <w:bookmarkStart w:id="181" w:name="_Toc314240241"/>
      <w:bookmarkStart w:id="182" w:name="_Toc314477966"/>
      <w:bookmarkEnd w:id="175"/>
      <w:bookmarkEnd w:id="176"/>
      <w:bookmarkEnd w:id="177"/>
      <w:bookmarkEnd w:id="178"/>
      <w:bookmarkEnd w:id="179"/>
      <w:bookmarkEnd w:id="180"/>
      <w:bookmarkEnd w:id="181"/>
      <w:bookmarkEnd w:id="182"/>
      <w:r w:rsidRPr="00DC3FB7">
        <w:t>The following table</w:t>
      </w:r>
      <w:r w:rsidR="00533BC0">
        <w:t>s</w:t>
      </w:r>
      <w:r w:rsidRPr="00DC3FB7">
        <w:t xml:space="preserve"> show the parameters for power plants used in the Strategist model.  Costs are reported in </w:t>
      </w:r>
      <w:r>
        <w:t>March</w:t>
      </w:r>
      <w:r w:rsidRPr="00DC3FB7">
        <w:t xml:space="preserve"> </w:t>
      </w:r>
      <w:r>
        <w:t>2014</w:t>
      </w:r>
      <w:r w:rsidRPr="00DC3FB7">
        <w:t xml:space="preserve"> dollars for 2014/15</w:t>
      </w:r>
      <w:r>
        <w:t>.</w:t>
      </w:r>
    </w:p>
    <w:p w:rsidR="00533BC0" w:rsidRPr="00D03179" w:rsidRDefault="00533BC0" w:rsidP="009E0DE2">
      <w:pPr>
        <w:pStyle w:val="Para0"/>
        <w:rPr>
          <w:b/>
          <w:u w:val="single"/>
        </w:rPr>
      </w:pPr>
      <w:r w:rsidRPr="00D03179">
        <w:rPr>
          <w:b/>
          <w:u w:val="single"/>
        </w:rPr>
        <w:t>NEM</w:t>
      </w:r>
    </w:p>
    <w:tbl>
      <w:tblPr>
        <w:tblStyle w:val="Table2"/>
        <w:tblW w:w="15163" w:type="dxa"/>
        <w:tblLook w:val="04A0" w:firstRow="1" w:lastRow="0" w:firstColumn="1" w:lastColumn="0" w:noHBand="0" w:noVBand="1"/>
      </w:tblPr>
      <w:tblGrid>
        <w:gridCol w:w="1813"/>
        <w:gridCol w:w="1265"/>
        <w:gridCol w:w="995"/>
        <w:gridCol w:w="995"/>
        <w:gridCol w:w="1189"/>
        <w:gridCol w:w="1228"/>
        <w:gridCol w:w="995"/>
        <w:gridCol w:w="1137"/>
        <w:gridCol w:w="1233"/>
        <w:gridCol w:w="1185"/>
        <w:gridCol w:w="1137"/>
        <w:gridCol w:w="1991"/>
      </w:tblGrid>
      <w:tr w:rsidR="009F0E63" w:rsidRPr="00DC3FB7" w:rsidTr="00744114">
        <w:trPr>
          <w:cnfStyle w:val="100000000000" w:firstRow="1" w:lastRow="0" w:firstColumn="0" w:lastColumn="0" w:oddVBand="0" w:evenVBand="0" w:oddHBand="0" w:evenHBand="0" w:firstRowFirstColumn="0" w:firstRowLastColumn="0" w:lastRowFirstColumn="0" w:lastRowLastColumn="0"/>
          <w:trHeight w:val="887"/>
          <w:tblHeader/>
        </w:trPr>
        <w:tc>
          <w:tcPr>
            <w:tcW w:w="0" w:type="auto"/>
            <w:hideMark/>
          </w:tcPr>
          <w:p w:rsidR="009F0E63" w:rsidRPr="00DC3FB7" w:rsidRDefault="009F0E63" w:rsidP="007A5894">
            <w:pPr>
              <w:pStyle w:val="Tablesmalltext"/>
            </w:pPr>
            <w:r w:rsidRPr="00DC3FB7">
              <w:t>Plant</w:t>
            </w:r>
          </w:p>
        </w:tc>
        <w:tc>
          <w:tcPr>
            <w:tcW w:w="1261" w:type="dxa"/>
            <w:hideMark/>
          </w:tcPr>
          <w:p w:rsidR="009F0E63" w:rsidRPr="00DC3FB7" w:rsidRDefault="009F0E63" w:rsidP="007A5894">
            <w:pPr>
              <w:pStyle w:val="Tablesmalltext"/>
            </w:pPr>
            <w:r w:rsidRPr="00DC3FB7">
              <w:t>No Units</w:t>
            </w:r>
          </w:p>
        </w:tc>
        <w:tc>
          <w:tcPr>
            <w:tcW w:w="992" w:type="dxa"/>
            <w:hideMark/>
          </w:tcPr>
          <w:p w:rsidR="009F0E63" w:rsidRPr="00DC3FB7" w:rsidRDefault="009F0E63" w:rsidP="007A5894">
            <w:pPr>
              <w:pStyle w:val="Tablesmalltext"/>
            </w:pPr>
            <w:r w:rsidRPr="00DC3FB7">
              <w:t>Capital Cost $/kW</w:t>
            </w:r>
          </w:p>
        </w:tc>
        <w:tc>
          <w:tcPr>
            <w:tcW w:w="992" w:type="dxa"/>
            <w:hideMark/>
          </w:tcPr>
          <w:p w:rsidR="009F0E63" w:rsidRPr="00DC3FB7" w:rsidRDefault="009F0E63" w:rsidP="007A5894">
            <w:pPr>
              <w:pStyle w:val="Tablesmalltext"/>
            </w:pPr>
            <w:r w:rsidRPr="00DC3FB7">
              <w:t>Total Sent Out Capacity</w:t>
            </w:r>
          </w:p>
        </w:tc>
        <w:tc>
          <w:tcPr>
            <w:tcW w:w="1186" w:type="dxa"/>
            <w:hideMark/>
          </w:tcPr>
          <w:p w:rsidR="009F0E63" w:rsidRPr="00DC3FB7" w:rsidRDefault="009F0E63" w:rsidP="007A5894">
            <w:pPr>
              <w:pStyle w:val="Tablesmalltext"/>
            </w:pPr>
            <w:r w:rsidRPr="00DC3FB7">
              <w:t>Scheduled Maintenance (Weeks pa)</w:t>
            </w:r>
          </w:p>
        </w:tc>
        <w:tc>
          <w:tcPr>
            <w:tcW w:w="1224" w:type="dxa"/>
            <w:hideMark/>
          </w:tcPr>
          <w:p w:rsidR="009F0E63" w:rsidRPr="00DC3FB7" w:rsidRDefault="009F0E63" w:rsidP="007A5894">
            <w:pPr>
              <w:pStyle w:val="Tablesmalltext"/>
            </w:pPr>
            <w:r w:rsidRPr="00DC3FB7">
              <w:t>Effective Forced Outage  Rate</w:t>
            </w:r>
          </w:p>
        </w:tc>
        <w:tc>
          <w:tcPr>
            <w:tcW w:w="992" w:type="dxa"/>
            <w:hideMark/>
          </w:tcPr>
          <w:p w:rsidR="009F0E63" w:rsidRPr="00DC3FB7" w:rsidRDefault="009F0E63" w:rsidP="007A5894">
            <w:pPr>
              <w:pStyle w:val="Tablesmalltext"/>
            </w:pPr>
            <w:r w:rsidRPr="00DC3FB7">
              <w:t>Available Capacity factor</w:t>
            </w:r>
          </w:p>
        </w:tc>
        <w:tc>
          <w:tcPr>
            <w:tcW w:w="1134" w:type="dxa"/>
            <w:hideMark/>
          </w:tcPr>
          <w:p w:rsidR="009F0E63" w:rsidRPr="00DC3FB7" w:rsidRDefault="009F0E63" w:rsidP="007A5894">
            <w:pPr>
              <w:pStyle w:val="Tablesmalltext"/>
            </w:pPr>
            <w:r w:rsidRPr="00DC3FB7">
              <w:t>Full Load Heat Rate</w:t>
            </w:r>
            <w:r>
              <w:t xml:space="preserve"> GJ/MWh so</w:t>
            </w:r>
          </w:p>
        </w:tc>
        <w:tc>
          <w:tcPr>
            <w:tcW w:w="1229" w:type="dxa"/>
          </w:tcPr>
          <w:p w:rsidR="009F0E63" w:rsidRPr="00DC3FB7" w:rsidRDefault="009F0E63" w:rsidP="007A5894">
            <w:pPr>
              <w:pStyle w:val="Tablesmalltext"/>
            </w:pPr>
            <w:r>
              <w:t>Fixed O&amp;M $/kW/yr</w:t>
            </w:r>
          </w:p>
        </w:tc>
        <w:tc>
          <w:tcPr>
            <w:tcW w:w="1182" w:type="dxa"/>
            <w:hideMark/>
          </w:tcPr>
          <w:p w:rsidR="009F0E63" w:rsidRPr="00DC3FB7" w:rsidRDefault="009F0E63" w:rsidP="007A5894">
            <w:pPr>
              <w:pStyle w:val="Tablesmalltext"/>
            </w:pPr>
            <w:r w:rsidRPr="00DC3FB7">
              <w:t>Variable O&amp;M</w:t>
            </w:r>
            <w:r>
              <w:br/>
              <w:t>$/MWh</w:t>
            </w:r>
          </w:p>
        </w:tc>
        <w:tc>
          <w:tcPr>
            <w:tcW w:w="1134" w:type="dxa"/>
            <w:hideMark/>
          </w:tcPr>
          <w:p w:rsidR="009F0E63" w:rsidRPr="00DC3FB7" w:rsidRDefault="009F0E63" w:rsidP="007A5894">
            <w:pPr>
              <w:pStyle w:val="Tablesmalltext"/>
            </w:pPr>
            <w:r w:rsidRPr="00DC3FB7">
              <w:t>Variable Fuel Cost $/GJ</w:t>
            </w:r>
          </w:p>
        </w:tc>
        <w:tc>
          <w:tcPr>
            <w:tcW w:w="1985" w:type="dxa"/>
            <w:hideMark/>
          </w:tcPr>
          <w:p w:rsidR="009F0E63" w:rsidRPr="00DC3FB7" w:rsidRDefault="009F0E63" w:rsidP="007A5894">
            <w:pPr>
              <w:pStyle w:val="Tablesmalltext"/>
            </w:pPr>
            <w:r w:rsidRPr="00DC3FB7">
              <w:t>Total Variable Cost $/MWh</w:t>
            </w:r>
          </w:p>
        </w:tc>
      </w:tr>
      <w:tr w:rsidR="009F0E63" w:rsidRPr="00DC3FB7" w:rsidTr="00744114">
        <w:trPr>
          <w:trHeight w:val="315"/>
        </w:trPr>
        <w:tc>
          <w:tcPr>
            <w:tcW w:w="15163" w:type="dxa"/>
            <w:gridSpan w:val="12"/>
            <w:hideMark/>
          </w:tcPr>
          <w:p w:rsidR="009F0E63" w:rsidRPr="00DC3FB7" w:rsidRDefault="009F0E63" w:rsidP="007A5894">
            <w:pPr>
              <w:pStyle w:val="Tablesmalltext"/>
            </w:pPr>
            <w:r w:rsidRPr="00DC3FB7">
              <w:rPr>
                <w:b/>
              </w:rPr>
              <w:t>Tasmania</w:t>
            </w:r>
          </w:p>
        </w:tc>
      </w:tr>
      <w:tr w:rsidR="009F0E63" w:rsidRPr="00DC3FB7" w:rsidTr="00744114">
        <w:trPr>
          <w:trHeight w:val="255"/>
        </w:trPr>
        <w:tc>
          <w:tcPr>
            <w:tcW w:w="0" w:type="auto"/>
            <w:hideMark/>
          </w:tcPr>
          <w:p w:rsidR="009F0E63" w:rsidRPr="00EE78D1" w:rsidRDefault="009F0E63" w:rsidP="007A5894">
            <w:pPr>
              <w:pStyle w:val="Tablesmalltext"/>
            </w:pPr>
            <w:r w:rsidRPr="00EE78D1">
              <w:t>Tamar Valley CCGT</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201.8</w:t>
            </w:r>
          </w:p>
        </w:tc>
        <w:tc>
          <w:tcPr>
            <w:tcW w:w="1186" w:type="dxa"/>
            <w:hideMark/>
          </w:tcPr>
          <w:p w:rsidR="009F0E63" w:rsidRPr="00DC3FB7" w:rsidRDefault="009F0E63" w:rsidP="007A5894">
            <w:pPr>
              <w:pStyle w:val="Tablesmalltext"/>
            </w:pPr>
            <w:r w:rsidRPr="00DC3FB7">
              <w:t>1.9</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93.6%</w:t>
            </w:r>
          </w:p>
        </w:tc>
        <w:tc>
          <w:tcPr>
            <w:tcW w:w="1134" w:type="dxa"/>
            <w:hideMark/>
          </w:tcPr>
          <w:p w:rsidR="009F0E63" w:rsidRPr="00DC3FB7" w:rsidRDefault="009F0E63" w:rsidP="007A5894">
            <w:pPr>
              <w:pStyle w:val="Tablesmalltext"/>
            </w:pPr>
            <w:r w:rsidRPr="00DC3FB7">
              <w:t>7.54</w:t>
            </w:r>
          </w:p>
        </w:tc>
        <w:tc>
          <w:tcPr>
            <w:tcW w:w="1229" w:type="dxa"/>
          </w:tcPr>
          <w:p w:rsidR="009F0E63" w:rsidRPr="00DC3FB7" w:rsidRDefault="00E32E04" w:rsidP="007A5894">
            <w:pPr>
              <w:pStyle w:val="Tablesmalltext"/>
            </w:pPr>
            <w:r>
              <w:t>3</w:t>
            </w:r>
            <w:r w:rsidR="008E2534">
              <w:t>8</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$7.16</w:t>
            </w:r>
          </w:p>
        </w:tc>
        <w:tc>
          <w:tcPr>
            <w:tcW w:w="1985" w:type="dxa"/>
            <w:hideMark/>
          </w:tcPr>
          <w:p w:rsidR="009F0E63" w:rsidRPr="00DC3FB7" w:rsidRDefault="009F0E63" w:rsidP="007A5894">
            <w:pPr>
              <w:pStyle w:val="Tablesmalltext"/>
            </w:pPr>
            <w:r w:rsidRPr="00DC3FB7">
              <w:t>$56.86</w:t>
            </w:r>
          </w:p>
        </w:tc>
      </w:tr>
      <w:tr w:rsidR="009F0E63" w:rsidRPr="00DC3FB7" w:rsidTr="00744114">
        <w:trPr>
          <w:trHeight w:val="255"/>
        </w:trPr>
        <w:tc>
          <w:tcPr>
            <w:tcW w:w="0" w:type="auto"/>
            <w:hideMark/>
          </w:tcPr>
          <w:p w:rsidR="009F0E63" w:rsidRPr="00EE78D1" w:rsidRDefault="009F0E63" w:rsidP="007A5894">
            <w:pPr>
              <w:pStyle w:val="Tablesmalltext"/>
            </w:pPr>
            <w:r w:rsidRPr="00EE78D1">
              <w:t>Bell Bay GT</w:t>
            </w:r>
          </w:p>
        </w:tc>
        <w:tc>
          <w:tcPr>
            <w:tcW w:w="1261"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119.4</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11.50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$4.72</w:t>
            </w:r>
          </w:p>
        </w:tc>
        <w:tc>
          <w:tcPr>
            <w:tcW w:w="1985" w:type="dxa"/>
            <w:hideMark/>
          </w:tcPr>
          <w:p w:rsidR="009F0E63" w:rsidRPr="00DC3FB7" w:rsidRDefault="009F0E63" w:rsidP="007A5894">
            <w:pPr>
              <w:pStyle w:val="Tablesmalltext"/>
            </w:pPr>
            <w:r w:rsidRPr="00DC3FB7">
              <w:t>$58.53</w:t>
            </w:r>
          </w:p>
        </w:tc>
      </w:tr>
      <w:tr w:rsidR="009F0E63" w:rsidRPr="00DC3FB7" w:rsidTr="00744114">
        <w:trPr>
          <w:trHeight w:val="255"/>
        </w:trPr>
        <w:tc>
          <w:tcPr>
            <w:tcW w:w="0" w:type="auto"/>
            <w:hideMark/>
          </w:tcPr>
          <w:p w:rsidR="009F0E63" w:rsidRPr="00EE78D1" w:rsidRDefault="009F0E63" w:rsidP="007A5894">
            <w:pPr>
              <w:pStyle w:val="Tablesmalltext"/>
            </w:pPr>
            <w:r w:rsidRPr="00EE78D1">
              <w:t>Tamar Valley OCGT</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57.7</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11.50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$15.11</w:t>
            </w:r>
          </w:p>
        </w:tc>
        <w:tc>
          <w:tcPr>
            <w:tcW w:w="1985" w:type="dxa"/>
            <w:hideMark/>
          </w:tcPr>
          <w:p w:rsidR="009F0E63" w:rsidRPr="00DC3FB7" w:rsidRDefault="009F0E63" w:rsidP="007A5894">
            <w:pPr>
              <w:pStyle w:val="Tablesmalltext"/>
            </w:pPr>
            <w:r w:rsidRPr="00DC3FB7">
              <w:t>$178.06</w:t>
            </w:r>
          </w:p>
        </w:tc>
      </w:tr>
      <w:tr w:rsidR="009F0E63" w:rsidRPr="00DC3FB7" w:rsidTr="00744114">
        <w:trPr>
          <w:trHeight w:val="255"/>
        </w:trPr>
        <w:tc>
          <w:tcPr>
            <w:tcW w:w="0" w:type="auto"/>
            <w:hideMark/>
          </w:tcPr>
          <w:p w:rsidR="009F0E63" w:rsidRPr="00EE78D1" w:rsidRDefault="009F0E63" w:rsidP="007A5894">
            <w:pPr>
              <w:pStyle w:val="Tablesmalltext"/>
            </w:pPr>
            <w:r w:rsidRPr="00EE78D1">
              <w:t>New Tas CCGT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1150.0</w:t>
            </w:r>
          </w:p>
        </w:tc>
        <w:tc>
          <w:tcPr>
            <w:tcW w:w="992" w:type="dxa"/>
            <w:hideMark/>
          </w:tcPr>
          <w:p w:rsidR="009F0E63" w:rsidRPr="00DC3FB7" w:rsidRDefault="009F0E63" w:rsidP="007A5894">
            <w:pPr>
              <w:pStyle w:val="Tablesmalltext"/>
            </w:pPr>
            <w:r w:rsidRPr="00DC3FB7">
              <w:t>195.5</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6.93</w:t>
            </w:r>
          </w:p>
        </w:tc>
        <w:tc>
          <w:tcPr>
            <w:tcW w:w="1229" w:type="dxa"/>
          </w:tcPr>
          <w:p w:rsidR="009F0E63" w:rsidRPr="00DC3FB7" w:rsidRDefault="008E2534" w:rsidP="007A5894">
            <w:pPr>
              <w:pStyle w:val="Tablesmalltext"/>
            </w:pPr>
            <w:r>
              <w:t>38</w:t>
            </w:r>
          </w:p>
        </w:tc>
        <w:tc>
          <w:tcPr>
            <w:tcW w:w="1182" w:type="dxa"/>
            <w:hideMark/>
          </w:tcPr>
          <w:p w:rsidR="009F0E63" w:rsidRPr="00DC3FB7" w:rsidRDefault="009F0E63" w:rsidP="007A5894">
            <w:pPr>
              <w:pStyle w:val="Tablesmalltext"/>
            </w:pPr>
            <w:r w:rsidRPr="00DC3FB7">
              <w:t>$3.60</w:t>
            </w:r>
          </w:p>
        </w:tc>
        <w:tc>
          <w:tcPr>
            <w:tcW w:w="1134" w:type="dxa"/>
            <w:hideMark/>
          </w:tcPr>
          <w:p w:rsidR="009F0E63" w:rsidRPr="00DC3FB7" w:rsidRDefault="009F0E63" w:rsidP="007A5894">
            <w:pPr>
              <w:pStyle w:val="Tablesmalltext"/>
            </w:pPr>
            <w:r w:rsidRPr="00DC3FB7">
              <w:t>$7.16</w:t>
            </w:r>
          </w:p>
        </w:tc>
        <w:tc>
          <w:tcPr>
            <w:tcW w:w="1985" w:type="dxa"/>
            <w:hideMark/>
          </w:tcPr>
          <w:p w:rsidR="009F0E63" w:rsidRPr="00DC3FB7" w:rsidRDefault="009F0E63" w:rsidP="007A5894">
            <w:pPr>
              <w:pStyle w:val="Tablesmalltext"/>
            </w:pPr>
            <w:r w:rsidRPr="00DC3FB7">
              <w:t>$53.20</w:t>
            </w:r>
          </w:p>
        </w:tc>
      </w:tr>
      <w:tr w:rsidR="009F0E63" w:rsidRPr="00DC3FB7" w:rsidTr="00744114">
        <w:trPr>
          <w:trHeight w:val="255"/>
        </w:trPr>
        <w:tc>
          <w:tcPr>
            <w:tcW w:w="0" w:type="auto"/>
            <w:hideMark/>
          </w:tcPr>
          <w:p w:rsidR="009F0E63" w:rsidRPr="00EE78D1" w:rsidRDefault="009F0E63" w:rsidP="007A5894">
            <w:pPr>
              <w:pStyle w:val="Tablesmalltext"/>
            </w:pPr>
            <w:r w:rsidRPr="00EE78D1">
              <w:t>New Tas 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902.9</w:t>
            </w:r>
          </w:p>
        </w:tc>
        <w:tc>
          <w:tcPr>
            <w:tcW w:w="992" w:type="dxa"/>
            <w:hideMark/>
          </w:tcPr>
          <w:p w:rsidR="009F0E63" w:rsidRPr="00DC3FB7" w:rsidRDefault="009F0E63" w:rsidP="007A5894">
            <w:pPr>
              <w:pStyle w:val="Tablesmalltext"/>
            </w:pPr>
            <w:r w:rsidRPr="00DC3FB7">
              <w:t>319.2</w:t>
            </w:r>
          </w:p>
        </w:tc>
        <w:tc>
          <w:tcPr>
            <w:tcW w:w="1186" w:type="dxa"/>
            <w:hideMark/>
          </w:tcPr>
          <w:p w:rsidR="009F0E63" w:rsidRPr="00DC3FB7" w:rsidRDefault="009F0E63" w:rsidP="007A5894">
            <w:pPr>
              <w:pStyle w:val="Tablesmalltext"/>
            </w:pPr>
            <w:r w:rsidRPr="00DC3FB7">
              <w:t>2.8</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11.43</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$5.80</w:t>
            </w:r>
          </w:p>
        </w:tc>
        <w:tc>
          <w:tcPr>
            <w:tcW w:w="1134" w:type="dxa"/>
            <w:hideMark/>
          </w:tcPr>
          <w:p w:rsidR="009F0E63" w:rsidRPr="00DC3FB7" w:rsidRDefault="009F0E63" w:rsidP="007A5894">
            <w:pPr>
              <w:pStyle w:val="Tablesmalltext"/>
            </w:pPr>
            <w:r w:rsidRPr="00DC3FB7">
              <w:t>$15.11</w:t>
            </w:r>
          </w:p>
        </w:tc>
        <w:tc>
          <w:tcPr>
            <w:tcW w:w="1985" w:type="dxa"/>
            <w:hideMark/>
          </w:tcPr>
          <w:p w:rsidR="009F0E63" w:rsidRPr="00DC3FB7" w:rsidRDefault="009F0E63" w:rsidP="007A5894">
            <w:pPr>
              <w:pStyle w:val="Tablesmalltext"/>
            </w:pPr>
            <w:r w:rsidRPr="00DC3FB7">
              <w:t>$178.50</w:t>
            </w:r>
          </w:p>
        </w:tc>
      </w:tr>
      <w:tr w:rsidR="009F0E63" w:rsidRPr="00DC3FB7" w:rsidTr="00744114">
        <w:trPr>
          <w:trHeight w:val="255"/>
        </w:trPr>
        <w:tc>
          <w:tcPr>
            <w:tcW w:w="0" w:type="auto"/>
            <w:hideMark/>
          </w:tcPr>
          <w:p w:rsidR="009F0E63" w:rsidRPr="00EE78D1" w:rsidRDefault="009F0E63" w:rsidP="007A5894">
            <w:pPr>
              <w:pStyle w:val="Tablesmalltext"/>
            </w:pPr>
            <w:r w:rsidRPr="00EE78D1">
              <w:t>Tas CCGT 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2533.9</w:t>
            </w:r>
          </w:p>
        </w:tc>
        <w:tc>
          <w:tcPr>
            <w:tcW w:w="992" w:type="dxa"/>
            <w:hideMark/>
          </w:tcPr>
          <w:p w:rsidR="009F0E63" w:rsidRPr="00DC3FB7" w:rsidRDefault="009F0E63" w:rsidP="007A5894">
            <w:pPr>
              <w:pStyle w:val="Tablesmalltext"/>
            </w:pPr>
            <w:r w:rsidRPr="00DC3FB7">
              <w:t>482.5</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7.87</w:t>
            </w:r>
          </w:p>
        </w:tc>
        <w:tc>
          <w:tcPr>
            <w:tcW w:w="1229" w:type="dxa"/>
          </w:tcPr>
          <w:p w:rsidR="009F0E63" w:rsidRPr="00DC3FB7" w:rsidRDefault="008E2534" w:rsidP="007A5894">
            <w:pPr>
              <w:pStyle w:val="Tablesmalltext"/>
            </w:pPr>
            <w:r>
              <w:t>62</w:t>
            </w:r>
          </w:p>
        </w:tc>
        <w:tc>
          <w:tcPr>
            <w:tcW w:w="1182" w:type="dxa"/>
            <w:hideMark/>
          </w:tcPr>
          <w:p w:rsidR="009F0E63" w:rsidRPr="00DC3FB7" w:rsidRDefault="009F0E63" w:rsidP="007A5894">
            <w:pPr>
              <w:pStyle w:val="Tablesmalltext"/>
            </w:pPr>
            <w:r w:rsidRPr="00DC3FB7">
              <w:t>$4.51</w:t>
            </w:r>
          </w:p>
        </w:tc>
        <w:tc>
          <w:tcPr>
            <w:tcW w:w="1134" w:type="dxa"/>
            <w:hideMark/>
          </w:tcPr>
          <w:p w:rsidR="009F0E63" w:rsidRPr="00DC3FB7" w:rsidRDefault="009F0E63" w:rsidP="007A5894">
            <w:pPr>
              <w:pStyle w:val="Tablesmalltext"/>
            </w:pPr>
            <w:r w:rsidRPr="00DC3FB7">
              <w:t>$7.16</w:t>
            </w:r>
          </w:p>
        </w:tc>
        <w:tc>
          <w:tcPr>
            <w:tcW w:w="1985" w:type="dxa"/>
            <w:hideMark/>
          </w:tcPr>
          <w:p w:rsidR="009F0E63" w:rsidRPr="00DC3FB7" w:rsidRDefault="009F0E63" w:rsidP="007A5894">
            <w:pPr>
              <w:pStyle w:val="Tablesmalltext"/>
            </w:pPr>
            <w:r w:rsidRPr="00DC3FB7">
              <w:t>$60.84</w:t>
            </w:r>
          </w:p>
        </w:tc>
      </w:tr>
      <w:tr w:rsidR="009F0E63" w:rsidRPr="00DC3FB7" w:rsidTr="00744114">
        <w:trPr>
          <w:trHeight w:val="315"/>
        </w:trPr>
        <w:tc>
          <w:tcPr>
            <w:tcW w:w="15163" w:type="dxa"/>
            <w:gridSpan w:val="12"/>
            <w:hideMark/>
          </w:tcPr>
          <w:p w:rsidR="009F0E63" w:rsidRPr="00DC3FB7" w:rsidRDefault="009F0E63" w:rsidP="007A5894">
            <w:pPr>
              <w:pStyle w:val="Tablesmalltext"/>
            </w:pPr>
            <w:r w:rsidRPr="00DC3FB7">
              <w:rPr>
                <w:b/>
              </w:rPr>
              <w:t>Victoria</w:t>
            </w:r>
            <w:r w:rsidRPr="00DC3FB7">
              <w:t> </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AGL Somerton</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161.7</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9%</w:t>
            </w:r>
          </w:p>
        </w:tc>
        <w:tc>
          <w:tcPr>
            <w:tcW w:w="992" w:type="dxa"/>
            <w:hideMark/>
          </w:tcPr>
          <w:p w:rsidR="009F0E63" w:rsidRPr="00DC3FB7" w:rsidRDefault="009F0E63" w:rsidP="007A5894">
            <w:pPr>
              <w:pStyle w:val="Tablesmalltext"/>
            </w:pPr>
            <w:r w:rsidRPr="00DC3FB7">
              <w:t>83.9%</w:t>
            </w:r>
          </w:p>
        </w:tc>
        <w:tc>
          <w:tcPr>
            <w:tcW w:w="1134" w:type="dxa"/>
            <w:hideMark/>
          </w:tcPr>
          <w:p w:rsidR="009F0E63" w:rsidRPr="00DC3FB7" w:rsidRDefault="009F0E63" w:rsidP="007A5894">
            <w:pPr>
              <w:pStyle w:val="Tablesmalltext"/>
            </w:pPr>
            <w:r w:rsidRPr="00DC3FB7">
              <w:t>13.50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$4.38</w:t>
            </w:r>
          </w:p>
        </w:tc>
        <w:tc>
          <w:tcPr>
            <w:tcW w:w="1985" w:type="dxa"/>
            <w:hideMark/>
          </w:tcPr>
          <w:p w:rsidR="009F0E63" w:rsidRPr="00DC3FB7" w:rsidRDefault="009F0E63" w:rsidP="007A5894">
            <w:pPr>
              <w:pStyle w:val="Tablesmalltext"/>
            </w:pPr>
            <w:r w:rsidRPr="00DC3FB7">
              <w:t>$61.98</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Anglesea</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145.4</w:t>
            </w:r>
          </w:p>
        </w:tc>
        <w:tc>
          <w:tcPr>
            <w:tcW w:w="1186" w:type="dxa"/>
            <w:hideMark/>
          </w:tcPr>
          <w:p w:rsidR="009F0E63" w:rsidRPr="00DC3FB7" w:rsidRDefault="009F0E63" w:rsidP="007A5894">
            <w:pPr>
              <w:pStyle w:val="Tablesmalltext"/>
            </w:pPr>
            <w:r w:rsidRPr="00DC3FB7">
              <w:t>1.0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96.6%</w:t>
            </w:r>
          </w:p>
        </w:tc>
        <w:tc>
          <w:tcPr>
            <w:tcW w:w="1134" w:type="dxa"/>
            <w:hideMark/>
          </w:tcPr>
          <w:p w:rsidR="009F0E63" w:rsidRPr="00DC3FB7" w:rsidRDefault="009F0E63" w:rsidP="007A5894">
            <w:pPr>
              <w:pStyle w:val="Tablesmalltext"/>
            </w:pPr>
            <w:r w:rsidRPr="00DC3FB7">
              <w:t>13.00</w:t>
            </w:r>
          </w:p>
        </w:tc>
        <w:tc>
          <w:tcPr>
            <w:tcW w:w="1229" w:type="dxa"/>
          </w:tcPr>
          <w:p w:rsidR="009F0E63" w:rsidRPr="00DC3FB7" w:rsidRDefault="009F0E63" w:rsidP="007A5894">
            <w:pPr>
              <w:pStyle w:val="Tablesmalltext"/>
            </w:pPr>
            <w:r>
              <w:t>54</w:t>
            </w:r>
          </w:p>
        </w:tc>
        <w:tc>
          <w:tcPr>
            <w:tcW w:w="1182" w:type="dxa"/>
            <w:hideMark/>
          </w:tcPr>
          <w:p w:rsidR="009F0E63" w:rsidRPr="00DC3FB7" w:rsidRDefault="009F0E63" w:rsidP="007A5894">
            <w:pPr>
              <w:pStyle w:val="Tablesmalltext"/>
            </w:pPr>
            <w:r w:rsidRPr="00DC3FB7">
              <w:t>$1.43</w:t>
            </w:r>
          </w:p>
        </w:tc>
        <w:tc>
          <w:tcPr>
            <w:tcW w:w="1134" w:type="dxa"/>
            <w:hideMark/>
          </w:tcPr>
          <w:p w:rsidR="009F0E63" w:rsidRPr="00DC3FB7" w:rsidRDefault="009F0E63" w:rsidP="007A5894">
            <w:pPr>
              <w:pStyle w:val="Tablesmalltext"/>
            </w:pPr>
            <w:r w:rsidRPr="00DC3FB7">
              <w:t>$0.15</w:t>
            </w:r>
          </w:p>
        </w:tc>
        <w:tc>
          <w:tcPr>
            <w:tcW w:w="1985" w:type="dxa"/>
            <w:hideMark/>
          </w:tcPr>
          <w:p w:rsidR="009F0E63" w:rsidRPr="00DC3FB7" w:rsidRDefault="009F0E63" w:rsidP="007A5894">
            <w:pPr>
              <w:pStyle w:val="Tablesmalltext"/>
            </w:pPr>
            <w:r w:rsidRPr="00DC3FB7">
              <w:t>$3.37</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Bairnsdale</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83.6</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11.50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$4.52</w:t>
            </w:r>
          </w:p>
        </w:tc>
        <w:tc>
          <w:tcPr>
            <w:tcW w:w="1985" w:type="dxa"/>
            <w:hideMark/>
          </w:tcPr>
          <w:p w:rsidR="009F0E63" w:rsidRPr="00DC3FB7" w:rsidRDefault="009F0E63" w:rsidP="007A5894">
            <w:pPr>
              <w:pStyle w:val="Tablesmalltext"/>
            </w:pPr>
            <w:r w:rsidRPr="00DC3FB7">
              <w:t>$56.33</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Hazelwood</w:t>
            </w:r>
          </w:p>
        </w:tc>
        <w:tc>
          <w:tcPr>
            <w:tcW w:w="1261" w:type="dxa"/>
            <w:hideMark/>
          </w:tcPr>
          <w:p w:rsidR="009F0E63" w:rsidRPr="00DC3FB7" w:rsidRDefault="009F0E63" w:rsidP="007A5894">
            <w:pPr>
              <w:pStyle w:val="Tablesmalltext"/>
            </w:pPr>
            <w:r w:rsidRPr="00DC3FB7">
              <w:t>8</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1472.0</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9%</w:t>
            </w:r>
          </w:p>
        </w:tc>
        <w:tc>
          <w:tcPr>
            <w:tcW w:w="992" w:type="dxa"/>
            <w:hideMark/>
          </w:tcPr>
          <w:p w:rsidR="009F0E63" w:rsidRPr="00DC3FB7" w:rsidRDefault="009F0E63" w:rsidP="007A5894">
            <w:pPr>
              <w:pStyle w:val="Tablesmalltext"/>
            </w:pPr>
            <w:r w:rsidRPr="00DC3FB7">
              <w:t>84.0%</w:t>
            </w:r>
          </w:p>
        </w:tc>
        <w:tc>
          <w:tcPr>
            <w:tcW w:w="1134" w:type="dxa"/>
            <w:hideMark/>
          </w:tcPr>
          <w:p w:rsidR="009F0E63" w:rsidRPr="00DC3FB7" w:rsidRDefault="009F0E63" w:rsidP="007A5894">
            <w:pPr>
              <w:pStyle w:val="Tablesmalltext"/>
            </w:pPr>
            <w:r w:rsidRPr="00DC3FB7">
              <w:t>13.30</w:t>
            </w:r>
          </w:p>
        </w:tc>
        <w:tc>
          <w:tcPr>
            <w:tcW w:w="1229" w:type="dxa"/>
          </w:tcPr>
          <w:p w:rsidR="009F0E63" w:rsidRPr="00DC3FB7" w:rsidRDefault="009F0E63" w:rsidP="007A5894">
            <w:pPr>
              <w:pStyle w:val="Tablesmalltext"/>
            </w:pPr>
            <w:r>
              <w:t>40</w:t>
            </w:r>
          </w:p>
        </w:tc>
        <w:tc>
          <w:tcPr>
            <w:tcW w:w="1182" w:type="dxa"/>
            <w:hideMark/>
          </w:tcPr>
          <w:p w:rsidR="009F0E63" w:rsidRPr="00DC3FB7" w:rsidRDefault="009F0E63" w:rsidP="007A5894">
            <w:pPr>
              <w:pStyle w:val="Tablesmalltext"/>
            </w:pPr>
            <w:r w:rsidRPr="00DC3FB7">
              <w:t>$0.66</w:t>
            </w:r>
          </w:p>
        </w:tc>
        <w:tc>
          <w:tcPr>
            <w:tcW w:w="1134" w:type="dxa"/>
            <w:hideMark/>
          </w:tcPr>
          <w:p w:rsidR="009F0E63" w:rsidRPr="00DC3FB7" w:rsidRDefault="009F0E63" w:rsidP="007A5894">
            <w:pPr>
              <w:pStyle w:val="Tablesmalltext"/>
            </w:pPr>
            <w:r w:rsidRPr="00DC3FB7">
              <w:t>$0.67</w:t>
            </w:r>
          </w:p>
        </w:tc>
        <w:tc>
          <w:tcPr>
            <w:tcW w:w="1985" w:type="dxa"/>
            <w:hideMark/>
          </w:tcPr>
          <w:p w:rsidR="009F0E63" w:rsidRPr="00DC3FB7" w:rsidRDefault="009F0E63" w:rsidP="007A5894">
            <w:pPr>
              <w:pStyle w:val="Tablesmalltext"/>
            </w:pPr>
            <w:r w:rsidRPr="00DC3FB7">
              <w:t>$9.56</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Jeeralang A</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230.8</w:t>
            </w:r>
          </w:p>
        </w:tc>
        <w:tc>
          <w:tcPr>
            <w:tcW w:w="1186" w:type="dxa"/>
            <w:hideMark/>
          </w:tcPr>
          <w:p w:rsidR="009F0E63" w:rsidRPr="00DC3FB7" w:rsidRDefault="009F0E63" w:rsidP="007A5894">
            <w:pPr>
              <w:pStyle w:val="Tablesmalltext"/>
            </w:pPr>
            <w:r w:rsidRPr="00DC3FB7">
              <w:t>2.1</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95.0%</w:t>
            </w:r>
          </w:p>
        </w:tc>
        <w:tc>
          <w:tcPr>
            <w:tcW w:w="1134" w:type="dxa"/>
            <w:hideMark/>
          </w:tcPr>
          <w:p w:rsidR="009F0E63" w:rsidRPr="00DC3FB7" w:rsidRDefault="009F0E63" w:rsidP="007A5894">
            <w:pPr>
              <w:pStyle w:val="Tablesmalltext"/>
            </w:pPr>
            <w:r w:rsidRPr="00DC3FB7">
              <w:t>13.75</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$4.28</w:t>
            </w:r>
          </w:p>
        </w:tc>
        <w:tc>
          <w:tcPr>
            <w:tcW w:w="1985" w:type="dxa"/>
            <w:hideMark/>
          </w:tcPr>
          <w:p w:rsidR="009F0E63" w:rsidRPr="00DC3FB7" w:rsidRDefault="009F0E63" w:rsidP="007A5894">
            <w:pPr>
              <w:pStyle w:val="Tablesmalltext"/>
            </w:pPr>
            <w:r w:rsidRPr="00DC3FB7">
              <w:t>$67.44</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Jeeralang B</w:t>
            </w:r>
          </w:p>
        </w:tc>
        <w:tc>
          <w:tcPr>
            <w:tcW w:w="1261"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253.7</w:t>
            </w:r>
          </w:p>
        </w:tc>
        <w:tc>
          <w:tcPr>
            <w:tcW w:w="1186" w:type="dxa"/>
            <w:hideMark/>
          </w:tcPr>
          <w:p w:rsidR="009F0E63" w:rsidRPr="00DC3FB7" w:rsidRDefault="009F0E63" w:rsidP="007A5894">
            <w:pPr>
              <w:pStyle w:val="Tablesmalltext"/>
            </w:pPr>
            <w:r w:rsidRPr="00DC3FB7">
              <w:t>2.1</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95.0%</w:t>
            </w:r>
          </w:p>
        </w:tc>
        <w:tc>
          <w:tcPr>
            <w:tcW w:w="1134" w:type="dxa"/>
            <w:hideMark/>
          </w:tcPr>
          <w:p w:rsidR="009F0E63" w:rsidRPr="00DC3FB7" w:rsidRDefault="009F0E63" w:rsidP="007A5894">
            <w:pPr>
              <w:pStyle w:val="Tablesmalltext"/>
            </w:pPr>
            <w:r w:rsidRPr="00DC3FB7">
              <w:t>12.85</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$4.28</w:t>
            </w:r>
          </w:p>
        </w:tc>
        <w:tc>
          <w:tcPr>
            <w:tcW w:w="1985" w:type="dxa"/>
            <w:hideMark/>
          </w:tcPr>
          <w:p w:rsidR="009F0E63" w:rsidRPr="00DC3FB7" w:rsidRDefault="009F0E63" w:rsidP="007A5894">
            <w:pPr>
              <w:pStyle w:val="Tablesmalltext"/>
            </w:pPr>
            <w:r w:rsidRPr="00DC3FB7">
              <w:t>$63.59</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Laverton North</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338.3</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93.9%</w:t>
            </w:r>
          </w:p>
        </w:tc>
        <w:tc>
          <w:tcPr>
            <w:tcW w:w="1134" w:type="dxa"/>
            <w:hideMark/>
          </w:tcPr>
          <w:p w:rsidR="009F0E63" w:rsidRPr="00DC3FB7" w:rsidRDefault="009F0E63" w:rsidP="007A5894">
            <w:pPr>
              <w:pStyle w:val="Tablesmalltext"/>
            </w:pPr>
            <w:r w:rsidRPr="00DC3FB7">
              <w:t>11.55</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$4.38</w:t>
            </w:r>
          </w:p>
        </w:tc>
        <w:tc>
          <w:tcPr>
            <w:tcW w:w="1985" w:type="dxa"/>
            <w:hideMark/>
          </w:tcPr>
          <w:p w:rsidR="009F0E63" w:rsidRPr="00DC3FB7" w:rsidRDefault="009F0E63" w:rsidP="007A5894">
            <w:pPr>
              <w:pStyle w:val="Tablesmalltext"/>
            </w:pPr>
            <w:r w:rsidRPr="00DC3FB7">
              <w:t>$54.87</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Loy Yang A</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2043.0</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r w:rsidRPr="00DC3FB7">
              <w:t>91.9%</w:t>
            </w:r>
          </w:p>
        </w:tc>
        <w:tc>
          <w:tcPr>
            <w:tcW w:w="1134" w:type="dxa"/>
            <w:hideMark/>
          </w:tcPr>
          <w:p w:rsidR="009F0E63" w:rsidRPr="00DC3FB7" w:rsidRDefault="009F0E63" w:rsidP="007A5894">
            <w:pPr>
              <w:pStyle w:val="Tablesmalltext"/>
            </w:pPr>
            <w:r w:rsidRPr="00DC3FB7">
              <w:t>11.58</w:t>
            </w:r>
          </w:p>
        </w:tc>
        <w:tc>
          <w:tcPr>
            <w:tcW w:w="1229" w:type="dxa"/>
          </w:tcPr>
          <w:p w:rsidR="009F0E63" w:rsidRPr="00DC3FB7" w:rsidRDefault="00E32E04" w:rsidP="007A5894">
            <w:pPr>
              <w:pStyle w:val="Tablesmalltext"/>
            </w:pPr>
            <w:r>
              <w:t>54</w:t>
            </w:r>
          </w:p>
        </w:tc>
        <w:tc>
          <w:tcPr>
            <w:tcW w:w="1182" w:type="dxa"/>
            <w:hideMark/>
          </w:tcPr>
          <w:p w:rsidR="009F0E63" w:rsidRPr="00DC3FB7" w:rsidRDefault="009F0E63" w:rsidP="007A5894">
            <w:pPr>
              <w:pStyle w:val="Tablesmalltext"/>
            </w:pPr>
            <w:r w:rsidRPr="00DC3FB7">
              <w:t>$1.15</w:t>
            </w:r>
          </w:p>
        </w:tc>
        <w:tc>
          <w:tcPr>
            <w:tcW w:w="1134" w:type="dxa"/>
            <w:hideMark/>
          </w:tcPr>
          <w:p w:rsidR="009F0E63" w:rsidRPr="00DC3FB7" w:rsidRDefault="009F0E63" w:rsidP="007A5894">
            <w:pPr>
              <w:pStyle w:val="Tablesmalltext"/>
            </w:pPr>
            <w:r w:rsidRPr="00DC3FB7">
              <w:t>$0.51</w:t>
            </w:r>
          </w:p>
        </w:tc>
        <w:tc>
          <w:tcPr>
            <w:tcW w:w="1985" w:type="dxa"/>
            <w:hideMark/>
          </w:tcPr>
          <w:p w:rsidR="009F0E63" w:rsidRPr="00DC3FB7" w:rsidRDefault="009F0E63" w:rsidP="007A5894">
            <w:pPr>
              <w:pStyle w:val="Tablesmalltext"/>
            </w:pPr>
            <w:r w:rsidRPr="00DC3FB7">
              <w:t>$7.03</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Loy Yang B</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966.0</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11.70</w:t>
            </w:r>
          </w:p>
        </w:tc>
        <w:tc>
          <w:tcPr>
            <w:tcW w:w="1229" w:type="dxa"/>
          </w:tcPr>
          <w:p w:rsidR="009F0E63" w:rsidRPr="00DC3FB7" w:rsidRDefault="00E32E04" w:rsidP="007A5894">
            <w:pPr>
              <w:pStyle w:val="Tablesmalltext"/>
            </w:pPr>
            <w:r>
              <w:t>54</w:t>
            </w:r>
          </w:p>
        </w:tc>
        <w:tc>
          <w:tcPr>
            <w:tcW w:w="1182" w:type="dxa"/>
            <w:hideMark/>
          </w:tcPr>
          <w:p w:rsidR="009F0E63" w:rsidRPr="00DC3FB7" w:rsidRDefault="009F0E63" w:rsidP="007A5894">
            <w:pPr>
              <w:pStyle w:val="Tablesmalltext"/>
            </w:pPr>
            <w:r w:rsidRPr="00DC3FB7">
              <w:t>$1.15</w:t>
            </w:r>
          </w:p>
        </w:tc>
        <w:tc>
          <w:tcPr>
            <w:tcW w:w="1134" w:type="dxa"/>
            <w:hideMark/>
          </w:tcPr>
          <w:p w:rsidR="009F0E63" w:rsidRPr="00DC3FB7" w:rsidRDefault="009F0E63" w:rsidP="007A5894">
            <w:pPr>
              <w:pStyle w:val="Tablesmalltext"/>
            </w:pPr>
            <w:r w:rsidRPr="00DC3FB7">
              <w:t>$0.51</w:t>
            </w:r>
          </w:p>
        </w:tc>
        <w:tc>
          <w:tcPr>
            <w:tcW w:w="1985" w:type="dxa"/>
            <w:hideMark/>
          </w:tcPr>
          <w:p w:rsidR="009F0E63" w:rsidRPr="00DC3FB7" w:rsidRDefault="009F0E63" w:rsidP="007A5894">
            <w:pPr>
              <w:pStyle w:val="Tablesmalltext"/>
            </w:pPr>
            <w:r w:rsidRPr="00DC3FB7">
              <w:t>$7.09</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Valley Power</w:t>
            </w:r>
          </w:p>
        </w:tc>
        <w:tc>
          <w:tcPr>
            <w:tcW w:w="1261" w:type="dxa"/>
            <w:hideMark/>
          </w:tcPr>
          <w:p w:rsidR="009F0E63" w:rsidRPr="00DC3FB7" w:rsidRDefault="009F0E63" w:rsidP="007A5894">
            <w:pPr>
              <w:pStyle w:val="Tablesmalltext"/>
            </w:pPr>
            <w:r w:rsidRPr="00DC3FB7">
              <w:t>6</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334.3</w:t>
            </w:r>
          </w:p>
        </w:tc>
        <w:tc>
          <w:tcPr>
            <w:tcW w:w="1186" w:type="dxa"/>
            <w:hideMark/>
          </w:tcPr>
          <w:p w:rsidR="009F0E63" w:rsidRPr="00DC3FB7" w:rsidRDefault="009F0E63" w:rsidP="007A5894">
            <w:pPr>
              <w:pStyle w:val="Tablesmalltext"/>
            </w:pPr>
            <w:r w:rsidRPr="00DC3FB7">
              <w:t>2.1</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95.0%</w:t>
            </w:r>
          </w:p>
        </w:tc>
        <w:tc>
          <w:tcPr>
            <w:tcW w:w="1134" w:type="dxa"/>
            <w:hideMark/>
          </w:tcPr>
          <w:p w:rsidR="009F0E63" w:rsidRPr="00DC3FB7" w:rsidRDefault="009F0E63" w:rsidP="007A5894">
            <w:pPr>
              <w:pStyle w:val="Tablesmalltext"/>
            </w:pPr>
            <w:r w:rsidRPr="00DC3FB7">
              <w:t>13.75</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$4.28</w:t>
            </w:r>
          </w:p>
        </w:tc>
        <w:tc>
          <w:tcPr>
            <w:tcW w:w="1985" w:type="dxa"/>
            <w:hideMark/>
          </w:tcPr>
          <w:p w:rsidR="009F0E63" w:rsidRPr="00DC3FB7" w:rsidRDefault="009F0E63" w:rsidP="007A5894">
            <w:pPr>
              <w:pStyle w:val="Tablesmalltext"/>
            </w:pPr>
            <w:r w:rsidRPr="00DC3FB7">
              <w:t>$67.44</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Yallourn W</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1361.6</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6%</w:t>
            </w:r>
          </w:p>
        </w:tc>
        <w:tc>
          <w:tcPr>
            <w:tcW w:w="992" w:type="dxa"/>
            <w:hideMark/>
          </w:tcPr>
          <w:p w:rsidR="009F0E63" w:rsidRPr="00DC3FB7" w:rsidRDefault="009F0E63" w:rsidP="007A5894">
            <w:pPr>
              <w:pStyle w:val="Tablesmalltext"/>
            </w:pPr>
            <w:r w:rsidRPr="00DC3FB7">
              <w:t>88.6%</w:t>
            </w:r>
          </w:p>
        </w:tc>
        <w:tc>
          <w:tcPr>
            <w:tcW w:w="1134" w:type="dxa"/>
            <w:hideMark/>
          </w:tcPr>
          <w:p w:rsidR="009F0E63" w:rsidRPr="00DC3FB7" w:rsidRDefault="009F0E63" w:rsidP="007A5894">
            <w:pPr>
              <w:pStyle w:val="Tablesmalltext"/>
            </w:pPr>
            <w:r w:rsidRPr="00DC3FB7">
              <w:t>12.91</w:t>
            </w:r>
          </w:p>
        </w:tc>
        <w:tc>
          <w:tcPr>
            <w:tcW w:w="1229" w:type="dxa"/>
          </w:tcPr>
          <w:p w:rsidR="009F0E63" w:rsidRPr="00DC3FB7" w:rsidRDefault="00E32E04" w:rsidP="007A5894">
            <w:pPr>
              <w:pStyle w:val="Tablesmalltext"/>
            </w:pPr>
            <w:r>
              <w:t>28</w:t>
            </w:r>
          </w:p>
        </w:tc>
        <w:tc>
          <w:tcPr>
            <w:tcW w:w="1182" w:type="dxa"/>
            <w:hideMark/>
          </w:tcPr>
          <w:p w:rsidR="009F0E63" w:rsidRPr="00DC3FB7" w:rsidRDefault="009F0E63" w:rsidP="007A5894">
            <w:pPr>
              <w:pStyle w:val="Tablesmalltext"/>
            </w:pPr>
            <w:r w:rsidRPr="00DC3FB7">
              <w:t>$3.43</w:t>
            </w:r>
          </w:p>
        </w:tc>
        <w:tc>
          <w:tcPr>
            <w:tcW w:w="1134" w:type="dxa"/>
            <w:hideMark/>
          </w:tcPr>
          <w:p w:rsidR="009F0E63" w:rsidRPr="00DC3FB7" w:rsidRDefault="009F0E63" w:rsidP="007A5894">
            <w:pPr>
              <w:pStyle w:val="Tablesmalltext"/>
            </w:pPr>
            <w:r w:rsidRPr="00DC3FB7">
              <w:t>$0.52</w:t>
            </w:r>
          </w:p>
        </w:tc>
        <w:tc>
          <w:tcPr>
            <w:tcW w:w="1985" w:type="dxa"/>
            <w:hideMark/>
          </w:tcPr>
          <w:p w:rsidR="009F0E63" w:rsidRPr="00DC3FB7" w:rsidRDefault="009F0E63" w:rsidP="007A5894">
            <w:pPr>
              <w:pStyle w:val="Tablesmalltext"/>
            </w:pPr>
            <w:r w:rsidRPr="00DC3FB7">
              <w:t>$10.15</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lastRenderedPageBreak/>
              <w:t>Newport</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484.5</w:t>
            </w:r>
          </w:p>
        </w:tc>
        <w:tc>
          <w:tcPr>
            <w:tcW w:w="1186" w:type="dxa"/>
            <w:hideMark/>
          </w:tcPr>
          <w:p w:rsidR="009F0E63" w:rsidRPr="00DC3FB7" w:rsidRDefault="009F0E63" w:rsidP="007A5894">
            <w:pPr>
              <w:pStyle w:val="Tablesmalltext"/>
            </w:pPr>
            <w:r w:rsidRPr="00DC3FB7">
              <w:t>2.2</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93.0%</w:t>
            </w:r>
          </w:p>
        </w:tc>
        <w:tc>
          <w:tcPr>
            <w:tcW w:w="1134" w:type="dxa"/>
            <w:hideMark/>
          </w:tcPr>
          <w:p w:rsidR="009F0E63" w:rsidRPr="00DC3FB7" w:rsidRDefault="009F0E63" w:rsidP="007A5894">
            <w:pPr>
              <w:pStyle w:val="Tablesmalltext"/>
            </w:pPr>
            <w:r w:rsidRPr="00DC3FB7">
              <w:t>10.33</w:t>
            </w:r>
          </w:p>
        </w:tc>
        <w:tc>
          <w:tcPr>
            <w:tcW w:w="1229" w:type="dxa"/>
          </w:tcPr>
          <w:p w:rsidR="009F0E63" w:rsidRPr="00DC3FB7" w:rsidRDefault="00E32E04" w:rsidP="007A5894">
            <w:pPr>
              <w:pStyle w:val="Tablesmalltext"/>
            </w:pPr>
            <w:r>
              <w:t>25</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$4.38</w:t>
            </w:r>
          </w:p>
        </w:tc>
        <w:tc>
          <w:tcPr>
            <w:tcW w:w="1985" w:type="dxa"/>
            <w:hideMark/>
          </w:tcPr>
          <w:p w:rsidR="009F0E63" w:rsidRPr="00DC3FB7" w:rsidRDefault="009F0E63" w:rsidP="007A5894">
            <w:pPr>
              <w:pStyle w:val="Tablesmalltext"/>
            </w:pPr>
            <w:r w:rsidRPr="00DC3FB7">
              <w:t>$48.10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Mortlake OCGT</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550.2</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93.0%</w:t>
            </w:r>
          </w:p>
        </w:tc>
        <w:tc>
          <w:tcPr>
            <w:tcW w:w="1134" w:type="dxa"/>
            <w:hideMark/>
          </w:tcPr>
          <w:p w:rsidR="009F0E63" w:rsidRPr="00DC3FB7" w:rsidRDefault="009F0E63" w:rsidP="007A5894">
            <w:pPr>
              <w:pStyle w:val="Tablesmalltext"/>
            </w:pPr>
            <w:r w:rsidRPr="00DC3FB7">
              <w:t>10.78</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$3.65</w:t>
            </w:r>
          </w:p>
        </w:tc>
        <w:tc>
          <w:tcPr>
            <w:tcW w:w="1134" w:type="dxa"/>
            <w:hideMark/>
          </w:tcPr>
          <w:p w:rsidR="009F0E63" w:rsidRPr="00DC3FB7" w:rsidRDefault="009F0E63" w:rsidP="007A5894">
            <w:pPr>
              <w:pStyle w:val="Tablesmalltext"/>
            </w:pPr>
            <w:r w:rsidRPr="00DC3FB7">
              <w:t>$6.44</w:t>
            </w:r>
          </w:p>
        </w:tc>
        <w:tc>
          <w:tcPr>
            <w:tcW w:w="1985" w:type="dxa"/>
            <w:hideMark/>
          </w:tcPr>
          <w:p w:rsidR="009F0E63" w:rsidRPr="00DC3FB7" w:rsidRDefault="009F0E63" w:rsidP="007A5894">
            <w:pPr>
              <w:pStyle w:val="Tablesmalltext"/>
            </w:pPr>
            <w:r w:rsidRPr="00DC3FB7">
              <w:t>$73.06</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Qenos Cogen</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21.0</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11.00</w:t>
            </w:r>
          </w:p>
        </w:tc>
        <w:tc>
          <w:tcPr>
            <w:tcW w:w="1229" w:type="dxa"/>
          </w:tcPr>
          <w:p w:rsidR="009F0E63" w:rsidRPr="00DC3FB7" w:rsidRDefault="00E32E04" w:rsidP="007A5894">
            <w:pPr>
              <w:pStyle w:val="Tablesmalltext"/>
            </w:pPr>
            <w:r>
              <w:t>28</w:t>
            </w:r>
          </w:p>
        </w:tc>
        <w:tc>
          <w:tcPr>
            <w:tcW w:w="1182" w:type="dxa"/>
            <w:hideMark/>
          </w:tcPr>
          <w:p w:rsidR="009F0E63" w:rsidRPr="00DC3FB7" w:rsidRDefault="009F0E63" w:rsidP="007A5894">
            <w:pPr>
              <w:pStyle w:val="Tablesmalltext"/>
            </w:pPr>
            <w:r w:rsidRPr="00DC3FB7">
              <w:t>$2.07</w:t>
            </w:r>
          </w:p>
        </w:tc>
        <w:tc>
          <w:tcPr>
            <w:tcW w:w="1134" w:type="dxa"/>
            <w:hideMark/>
          </w:tcPr>
          <w:p w:rsidR="009F0E63" w:rsidRPr="00DC3FB7" w:rsidRDefault="009F0E63" w:rsidP="007A5894">
            <w:pPr>
              <w:pStyle w:val="Tablesmalltext"/>
            </w:pPr>
            <w:r w:rsidRPr="00DC3FB7">
              <w:t>$7.94</w:t>
            </w:r>
          </w:p>
        </w:tc>
        <w:tc>
          <w:tcPr>
            <w:tcW w:w="1985" w:type="dxa"/>
            <w:hideMark/>
          </w:tcPr>
          <w:p w:rsidR="009F0E63" w:rsidRPr="00DC3FB7" w:rsidRDefault="009F0E63" w:rsidP="007A5894">
            <w:pPr>
              <w:pStyle w:val="Tablesmalltext"/>
            </w:pPr>
            <w:r w:rsidRPr="00DC3FB7">
              <w:t>$89.40</w:t>
            </w:r>
          </w:p>
        </w:tc>
      </w:tr>
      <w:tr w:rsidR="009F0E63" w:rsidRPr="00DC3FB7" w:rsidTr="00744114">
        <w:trPr>
          <w:trHeight w:val="255"/>
        </w:trPr>
        <w:tc>
          <w:tcPr>
            <w:tcW w:w="0" w:type="auto"/>
            <w:hideMark/>
          </w:tcPr>
          <w:p w:rsidR="009F0E63" w:rsidRPr="00EE78D1" w:rsidRDefault="009F0E63" w:rsidP="007A5894">
            <w:pPr>
              <w:pStyle w:val="Tablesmalltext"/>
            </w:pPr>
            <w:r w:rsidRPr="00EE78D1">
              <w:t>Generic VIC CCGT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1150.0</w:t>
            </w:r>
          </w:p>
        </w:tc>
        <w:tc>
          <w:tcPr>
            <w:tcW w:w="992" w:type="dxa"/>
            <w:hideMark/>
          </w:tcPr>
          <w:p w:rsidR="009F0E63" w:rsidRPr="00DC3FB7" w:rsidRDefault="009F0E63" w:rsidP="007A5894">
            <w:pPr>
              <w:pStyle w:val="Tablesmalltext"/>
            </w:pPr>
            <w:r w:rsidRPr="00DC3FB7">
              <w:t>546.1</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6.93</w:t>
            </w:r>
          </w:p>
        </w:tc>
        <w:tc>
          <w:tcPr>
            <w:tcW w:w="1229" w:type="dxa"/>
          </w:tcPr>
          <w:p w:rsidR="009F0E63" w:rsidRPr="00DC3FB7" w:rsidRDefault="008E2534" w:rsidP="007A5894">
            <w:pPr>
              <w:pStyle w:val="Tablesmalltext"/>
            </w:pPr>
            <w:r>
              <w:t>35</w:t>
            </w:r>
          </w:p>
        </w:tc>
        <w:tc>
          <w:tcPr>
            <w:tcW w:w="1182" w:type="dxa"/>
            <w:hideMark/>
          </w:tcPr>
          <w:p w:rsidR="009F0E63" w:rsidRPr="00DC3FB7" w:rsidRDefault="009F0E63" w:rsidP="007A5894">
            <w:pPr>
              <w:pStyle w:val="Tablesmalltext"/>
            </w:pPr>
            <w:r w:rsidRPr="00DC3FB7">
              <w:t>$3.51</w:t>
            </w:r>
          </w:p>
        </w:tc>
        <w:tc>
          <w:tcPr>
            <w:tcW w:w="1134" w:type="dxa"/>
            <w:hideMark/>
          </w:tcPr>
          <w:p w:rsidR="009F0E63" w:rsidRPr="00DC3FB7" w:rsidRDefault="009F0E63" w:rsidP="007A5894">
            <w:pPr>
              <w:pStyle w:val="Tablesmalltext"/>
            </w:pPr>
            <w:r w:rsidRPr="00DC3FB7">
              <w:t>$7.94</w:t>
            </w:r>
          </w:p>
        </w:tc>
        <w:tc>
          <w:tcPr>
            <w:tcW w:w="1985" w:type="dxa"/>
            <w:hideMark/>
          </w:tcPr>
          <w:p w:rsidR="009F0E63" w:rsidRPr="00DC3FB7" w:rsidRDefault="009F0E63" w:rsidP="007A5894">
            <w:pPr>
              <w:pStyle w:val="Tablesmalltext"/>
            </w:pPr>
            <w:r w:rsidRPr="00DC3FB7">
              <w:t>$58.53</w:t>
            </w:r>
          </w:p>
        </w:tc>
      </w:tr>
      <w:tr w:rsidR="009F0E63" w:rsidRPr="00DC3FB7" w:rsidTr="00744114">
        <w:trPr>
          <w:trHeight w:val="255"/>
        </w:trPr>
        <w:tc>
          <w:tcPr>
            <w:tcW w:w="0" w:type="auto"/>
            <w:hideMark/>
          </w:tcPr>
          <w:p w:rsidR="009F0E63" w:rsidRPr="00EE78D1" w:rsidRDefault="009F0E63" w:rsidP="007A5894">
            <w:pPr>
              <w:pStyle w:val="Tablesmalltext"/>
            </w:pPr>
            <w:r w:rsidRPr="00EE78D1">
              <w:t>Generic VIC 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753.3</w:t>
            </w:r>
          </w:p>
        </w:tc>
        <w:tc>
          <w:tcPr>
            <w:tcW w:w="992" w:type="dxa"/>
            <w:hideMark/>
          </w:tcPr>
          <w:p w:rsidR="009F0E63" w:rsidRPr="00DC3FB7" w:rsidRDefault="009F0E63" w:rsidP="007A5894">
            <w:pPr>
              <w:pStyle w:val="Tablesmalltext"/>
            </w:pPr>
            <w:r w:rsidRPr="00DC3FB7">
              <w:t>281.3</w:t>
            </w:r>
          </w:p>
        </w:tc>
        <w:tc>
          <w:tcPr>
            <w:tcW w:w="1186" w:type="dxa"/>
            <w:hideMark/>
          </w:tcPr>
          <w:p w:rsidR="009F0E63" w:rsidRPr="00DC3FB7" w:rsidRDefault="009F0E63" w:rsidP="007A5894">
            <w:pPr>
              <w:pStyle w:val="Tablesmalltext"/>
            </w:pPr>
            <w:r w:rsidRPr="00DC3FB7">
              <w:t>1.5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95.2%</w:t>
            </w:r>
          </w:p>
        </w:tc>
        <w:tc>
          <w:tcPr>
            <w:tcW w:w="1134" w:type="dxa"/>
            <w:hideMark/>
          </w:tcPr>
          <w:p w:rsidR="009F0E63" w:rsidRPr="00DC3FB7" w:rsidRDefault="009F0E63" w:rsidP="007A5894">
            <w:pPr>
              <w:pStyle w:val="Tablesmalltext"/>
            </w:pPr>
            <w:r w:rsidRPr="00DC3FB7">
              <w:t>10.38</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$7.30</w:t>
            </w:r>
          </w:p>
        </w:tc>
        <w:tc>
          <w:tcPr>
            <w:tcW w:w="1134" w:type="dxa"/>
            <w:hideMark/>
          </w:tcPr>
          <w:p w:rsidR="009F0E63" w:rsidRPr="00DC3FB7" w:rsidRDefault="009F0E63" w:rsidP="007A5894">
            <w:pPr>
              <w:pStyle w:val="Tablesmalltext"/>
            </w:pPr>
            <w:r w:rsidRPr="00DC3FB7">
              <w:t>$16.76</w:t>
            </w:r>
          </w:p>
        </w:tc>
        <w:tc>
          <w:tcPr>
            <w:tcW w:w="1985" w:type="dxa"/>
            <w:hideMark/>
          </w:tcPr>
          <w:p w:rsidR="009F0E63" w:rsidRPr="00DC3FB7" w:rsidRDefault="009F0E63" w:rsidP="007A5894">
            <w:pPr>
              <w:pStyle w:val="Tablesmalltext"/>
            </w:pPr>
            <w:r w:rsidRPr="00DC3FB7">
              <w:t>$181.27</w:t>
            </w:r>
          </w:p>
        </w:tc>
      </w:tr>
      <w:tr w:rsidR="009F0E63" w:rsidRPr="00DC3FB7" w:rsidTr="00744114">
        <w:trPr>
          <w:trHeight w:val="315"/>
        </w:trPr>
        <w:tc>
          <w:tcPr>
            <w:tcW w:w="15163" w:type="dxa"/>
            <w:gridSpan w:val="12"/>
            <w:hideMark/>
          </w:tcPr>
          <w:p w:rsidR="009F0E63" w:rsidRPr="00DC3FB7" w:rsidRDefault="009F0E63" w:rsidP="007A5894">
            <w:pPr>
              <w:pStyle w:val="Tablesmalltext"/>
            </w:pPr>
            <w:r w:rsidRPr="00DC3FB7">
              <w:rPr>
                <w:b/>
              </w:rPr>
              <w:t>South Australia</w:t>
            </w:r>
            <w:r w:rsidRPr="00DC3FB7">
              <w:t> </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Angaston</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49.8</w:t>
            </w:r>
          </w:p>
        </w:tc>
        <w:tc>
          <w:tcPr>
            <w:tcW w:w="1186" w:type="dxa"/>
            <w:hideMark/>
          </w:tcPr>
          <w:p w:rsidR="009F0E63" w:rsidRPr="00DC3FB7" w:rsidRDefault="009F0E63" w:rsidP="007A5894">
            <w:pPr>
              <w:pStyle w:val="Tablesmalltext"/>
            </w:pPr>
            <w:r w:rsidRPr="00DC3FB7">
              <w:t>0.0</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99.4%</w:t>
            </w:r>
          </w:p>
        </w:tc>
        <w:tc>
          <w:tcPr>
            <w:tcW w:w="1134" w:type="dxa"/>
            <w:hideMark/>
          </w:tcPr>
          <w:p w:rsidR="009F0E63" w:rsidRPr="00DC3FB7" w:rsidRDefault="009F0E63" w:rsidP="007A5894">
            <w:pPr>
              <w:pStyle w:val="Tablesmalltext"/>
            </w:pPr>
            <w:r w:rsidRPr="00DC3FB7">
              <w:t>9.00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$12.31</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$196.05</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Dry Creek</w:t>
            </w:r>
          </w:p>
        </w:tc>
        <w:tc>
          <w:tcPr>
            <w:tcW w:w="1261"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147.3</w:t>
            </w:r>
          </w:p>
        </w:tc>
        <w:tc>
          <w:tcPr>
            <w:tcW w:w="1186" w:type="dxa"/>
            <w:hideMark/>
          </w:tcPr>
          <w:p w:rsidR="009F0E63" w:rsidRPr="00DC3FB7" w:rsidRDefault="009F0E63" w:rsidP="007A5894">
            <w:pPr>
              <w:pStyle w:val="Tablesmalltext"/>
            </w:pPr>
            <w:r w:rsidRPr="00DC3FB7">
              <w:t>5.6</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17.00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$11.07</w:t>
            </w:r>
          </w:p>
        </w:tc>
        <w:tc>
          <w:tcPr>
            <w:tcW w:w="1985" w:type="dxa"/>
            <w:hideMark/>
          </w:tcPr>
          <w:p w:rsidR="009F0E63" w:rsidRPr="00DC3FB7" w:rsidRDefault="009F0E63" w:rsidP="007A5894">
            <w:pPr>
              <w:pStyle w:val="Tablesmalltext"/>
            </w:pPr>
            <w:r w:rsidRPr="00DC3FB7">
              <w:t>$196.77</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Hallett</w:t>
            </w:r>
          </w:p>
        </w:tc>
        <w:tc>
          <w:tcPr>
            <w:tcW w:w="1261"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220.0</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r w:rsidRPr="00DC3FB7">
              <w:t>88.3%</w:t>
            </w:r>
          </w:p>
        </w:tc>
        <w:tc>
          <w:tcPr>
            <w:tcW w:w="1134" w:type="dxa"/>
            <w:hideMark/>
          </w:tcPr>
          <w:p w:rsidR="009F0E63" w:rsidRPr="00DC3FB7" w:rsidRDefault="009F0E63" w:rsidP="007A5894">
            <w:pPr>
              <w:pStyle w:val="Tablesmalltext"/>
            </w:pPr>
            <w:r w:rsidRPr="00DC3FB7">
              <w:t>9.60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$9.83</w:t>
            </w:r>
          </w:p>
        </w:tc>
        <w:tc>
          <w:tcPr>
            <w:tcW w:w="1134" w:type="dxa"/>
            <w:hideMark/>
          </w:tcPr>
          <w:p w:rsidR="009F0E63" w:rsidRPr="00DC3FB7" w:rsidRDefault="009F0E63" w:rsidP="007A5894">
            <w:pPr>
              <w:pStyle w:val="Tablesmalltext"/>
            </w:pPr>
            <w:r w:rsidRPr="00DC3FB7">
              <w:t>$11.07</w:t>
            </w:r>
          </w:p>
        </w:tc>
        <w:tc>
          <w:tcPr>
            <w:tcW w:w="1985" w:type="dxa"/>
            <w:hideMark/>
          </w:tcPr>
          <w:p w:rsidR="009F0E63" w:rsidRPr="00DC3FB7" w:rsidRDefault="009F0E63" w:rsidP="007A5894">
            <w:pPr>
              <w:pStyle w:val="Tablesmalltext"/>
            </w:pPr>
            <w:r w:rsidRPr="00DC3FB7">
              <w:t>$116.08</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Ladbroke Grove</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83.6</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92.1%</w:t>
            </w:r>
          </w:p>
        </w:tc>
        <w:tc>
          <w:tcPr>
            <w:tcW w:w="1134" w:type="dxa"/>
            <w:hideMark/>
          </w:tcPr>
          <w:p w:rsidR="009F0E63" w:rsidRPr="00DC3FB7" w:rsidRDefault="009F0E63" w:rsidP="007A5894">
            <w:pPr>
              <w:pStyle w:val="Tablesmalltext"/>
            </w:pPr>
            <w:r w:rsidRPr="00DC3FB7">
              <w:t>10.00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$7.17</w:t>
            </w:r>
          </w:p>
        </w:tc>
        <w:tc>
          <w:tcPr>
            <w:tcW w:w="1134" w:type="dxa"/>
            <w:hideMark/>
          </w:tcPr>
          <w:p w:rsidR="009F0E63" w:rsidRPr="00DC3FB7" w:rsidRDefault="009F0E63" w:rsidP="007A5894">
            <w:pPr>
              <w:pStyle w:val="Tablesmalltext"/>
            </w:pPr>
            <w:r w:rsidRPr="00DC3FB7">
              <w:t>$5.24</w:t>
            </w:r>
          </w:p>
        </w:tc>
        <w:tc>
          <w:tcPr>
            <w:tcW w:w="1985" w:type="dxa"/>
            <w:hideMark/>
          </w:tcPr>
          <w:p w:rsidR="009F0E63" w:rsidRPr="00DC3FB7" w:rsidRDefault="009F0E63" w:rsidP="007A5894">
            <w:pPr>
              <w:pStyle w:val="Tablesmalltext"/>
            </w:pPr>
            <w:r w:rsidRPr="00DC3FB7">
              <w:t>$59.60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Mintaro 1</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89.6</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r w:rsidRPr="00DC3FB7">
              <w:t>88.1%</w:t>
            </w:r>
          </w:p>
        </w:tc>
        <w:tc>
          <w:tcPr>
            <w:tcW w:w="1134" w:type="dxa"/>
            <w:hideMark/>
          </w:tcPr>
          <w:p w:rsidR="009F0E63" w:rsidRPr="00DC3FB7" w:rsidRDefault="009F0E63" w:rsidP="007A5894">
            <w:pPr>
              <w:pStyle w:val="Tablesmalltext"/>
            </w:pPr>
            <w:r w:rsidRPr="00DC3FB7">
              <w:t>16.00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$11.07</w:t>
            </w:r>
          </w:p>
        </w:tc>
        <w:tc>
          <w:tcPr>
            <w:tcW w:w="1985" w:type="dxa"/>
            <w:hideMark/>
          </w:tcPr>
          <w:p w:rsidR="009F0E63" w:rsidRPr="00DC3FB7" w:rsidRDefault="009F0E63" w:rsidP="007A5894">
            <w:pPr>
              <w:pStyle w:val="Tablesmalltext"/>
            </w:pPr>
            <w:r w:rsidRPr="00DC3FB7">
              <w:t>$185.70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Northern</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505.1</w:t>
            </w:r>
          </w:p>
        </w:tc>
        <w:tc>
          <w:tcPr>
            <w:tcW w:w="1186" w:type="dxa"/>
            <w:hideMark/>
          </w:tcPr>
          <w:p w:rsidR="009F0E63" w:rsidRPr="00DC3FB7" w:rsidRDefault="009F0E63" w:rsidP="007A5894">
            <w:pPr>
              <w:pStyle w:val="Tablesmalltext"/>
            </w:pPr>
            <w:r w:rsidRPr="00DC3FB7">
              <w:t>0.0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97.9%</w:t>
            </w:r>
          </w:p>
        </w:tc>
        <w:tc>
          <w:tcPr>
            <w:tcW w:w="1134" w:type="dxa"/>
            <w:hideMark/>
          </w:tcPr>
          <w:p w:rsidR="009F0E63" w:rsidRPr="00DC3FB7" w:rsidRDefault="009F0E63" w:rsidP="007A5894">
            <w:pPr>
              <w:pStyle w:val="Tablesmalltext"/>
            </w:pPr>
            <w:r w:rsidRPr="00DC3FB7">
              <w:t>11.50</w:t>
            </w:r>
          </w:p>
        </w:tc>
        <w:tc>
          <w:tcPr>
            <w:tcW w:w="1229" w:type="dxa"/>
          </w:tcPr>
          <w:p w:rsidR="009F0E63" w:rsidRPr="00DC3FB7" w:rsidRDefault="00E32E04" w:rsidP="007A5894">
            <w:pPr>
              <w:pStyle w:val="Tablesmalltext"/>
            </w:pPr>
            <w:r>
              <w:t>49</w:t>
            </w:r>
          </w:p>
        </w:tc>
        <w:tc>
          <w:tcPr>
            <w:tcW w:w="1182" w:type="dxa"/>
            <w:hideMark/>
          </w:tcPr>
          <w:p w:rsidR="009F0E63" w:rsidRPr="00DC3FB7" w:rsidRDefault="009F0E63" w:rsidP="007A5894">
            <w:pPr>
              <w:pStyle w:val="Tablesmalltext"/>
            </w:pPr>
            <w:r w:rsidRPr="00DC3FB7">
              <w:t>$2.79</w:t>
            </w:r>
          </w:p>
        </w:tc>
        <w:tc>
          <w:tcPr>
            <w:tcW w:w="1134" w:type="dxa"/>
            <w:hideMark/>
          </w:tcPr>
          <w:p w:rsidR="009F0E63" w:rsidRPr="00DC3FB7" w:rsidRDefault="009F0E63" w:rsidP="007A5894">
            <w:pPr>
              <w:pStyle w:val="Tablesmalltext"/>
            </w:pPr>
            <w:r w:rsidRPr="00DC3FB7">
              <w:t>$2.41</w:t>
            </w:r>
          </w:p>
        </w:tc>
        <w:tc>
          <w:tcPr>
            <w:tcW w:w="1985" w:type="dxa"/>
            <w:hideMark/>
          </w:tcPr>
          <w:p w:rsidR="009F0E63" w:rsidRPr="00DC3FB7" w:rsidRDefault="009F0E63" w:rsidP="007A5894">
            <w:pPr>
              <w:pStyle w:val="Tablesmalltext"/>
            </w:pPr>
            <w:r w:rsidRPr="00DC3FB7">
              <w:t>$30.53</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Osborne</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185.4</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93.9%</w:t>
            </w:r>
          </w:p>
        </w:tc>
        <w:tc>
          <w:tcPr>
            <w:tcW w:w="1134" w:type="dxa"/>
            <w:hideMark/>
          </w:tcPr>
          <w:p w:rsidR="009F0E63" w:rsidRPr="00DC3FB7" w:rsidRDefault="009F0E63" w:rsidP="007A5894">
            <w:pPr>
              <w:pStyle w:val="Tablesmalltext"/>
            </w:pPr>
            <w:r w:rsidRPr="00DC3FB7">
              <w:t>10.40</w:t>
            </w:r>
          </w:p>
        </w:tc>
        <w:tc>
          <w:tcPr>
            <w:tcW w:w="1229" w:type="dxa"/>
          </w:tcPr>
          <w:p w:rsidR="009F0E63" w:rsidRPr="00DC3FB7" w:rsidRDefault="00E32E04" w:rsidP="007A5894">
            <w:pPr>
              <w:pStyle w:val="Tablesmalltext"/>
            </w:pPr>
            <w:r>
              <w:t>28</w:t>
            </w:r>
          </w:p>
        </w:tc>
        <w:tc>
          <w:tcPr>
            <w:tcW w:w="1182" w:type="dxa"/>
            <w:hideMark/>
          </w:tcPr>
          <w:p w:rsidR="009F0E63" w:rsidRPr="00DC3FB7" w:rsidRDefault="009F0E63" w:rsidP="007A5894">
            <w:pPr>
              <w:pStyle w:val="Tablesmalltext"/>
            </w:pPr>
            <w:r w:rsidRPr="00DC3FB7">
              <w:t>$2.79</w:t>
            </w:r>
          </w:p>
        </w:tc>
        <w:tc>
          <w:tcPr>
            <w:tcW w:w="1134" w:type="dxa"/>
            <w:hideMark/>
          </w:tcPr>
          <w:p w:rsidR="009F0E63" w:rsidRPr="00DC3FB7" w:rsidRDefault="009F0E63" w:rsidP="007A5894">
            <w:pPr>
              <w:pStyle w:val="Tablesmalltext"/>
            </w:pPr>
            <w:r w:rsidRPr="00DC3FB7">
              <w:t>$5.24</w:t>
            </w:r>
          </w:p>
        </w:tc>
        <w:tc>
          <w:tcPr>
            <w:tcW w:w="1985" w:type="dxa"/>
            <w:hideMark/>
          </w:tcPr>
          <w:p w:rsidR="009F0E63" w:rsidRPr="00DC3FB7" w:rsidRDefault="009F0E63" w:rsidP="007A5894">
            <w:pPr>
              <w:pStyle w:val="Tablesmalltext"/>
            </w:pPr>
            <w:r w:rsidRPr="00DC3FB7">
              <w:t>$57.32</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Pelican Point</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462.6</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91.4%</w:t>
            </w:r>
          </w:p>
        </w:tc>
        <w:tc>
          <w:tcPr>
            <w:tcW w:w="1134" w:type="dxa"/>
            <w:hideMark/>
          </w:tcPr>
          <w:p w:rsidR="009F0E63" w:rsidRPr="00DC3FB7" w:rsidRDefault="009F0E63" w:rsidP="007A5894">
            <w:pPr>
              <w:pStyle w:val="Tablesmalltext"/>
            </w:pPr>
            <w:r w:rsidRPr="00DC3FB7">
              <w:t>7.71</w:t>
            </w:r>
          </w:p>
        </w:tc>
        <w:tc>
          <w:tcPr>
            <w:tcW w:w="1229" w:type="dxa"/>
          </w:tcPr>
          <w:p w:rsidR="009F0E63" w:rsidRPr="00DC3FB7" w:rsidRDefault="00E32E04" w:rsidP="007A5894">
            <w:pPr>
              <w:pStyle w:val="Tablesmalltext"/>
            </w:pPr>
            <w:r>
              <w:t>3</w:t>
            </w:r>
            <w:r w:rsidR="008E2534">
              <w:t>5</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$4.99</w:t>
            </w:r>
          </w:p>
        </w:tc>
        <w:tc>
          <w:tcPr>
            <w:tcW w:w="1985" w:type="dxa"/>
            <w:hideMark/>
          </w:tcPr>
          <w:p w:rsidR="009F0E63" w:rsidRPr="00DC3FB7" w:rsidRDefault="009F0E63" w:rsidP="007A5894">
            <w:pPr>
              <w:pStyle w:val="Tablesmalltext"/>
            </w:pPr>
            <w:r w:rsidRPr="00DC3FB7">
              <w:t>$41.36</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Port Lincoln</w:t>
            </w:r>
          </w:p>
        </w:tc>
        <w:tc>
          <w:tcPr>
            <w:tcW w:w="1261"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72.6</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91.4%</w:t>
            </w:r>
          </w:p>
        </w:tc>
        <w:tc>
          <w:tcPr>
            <w:tcW w:w="1134" w:type="dxa"/>
            <w:hideMark/>
          </w:tcPr>
          <w:p w:rsidR="009F0E63" w:rsidRPr="00DC3FB7" w:rsidRDefault="009F0E63" w:rsidP="007A5894">
            <w:pPr>
              <w:pStyle w:val="Tablesmalltext"/>
            </w:pPr>
            <w:r w:rsidRPr="00DC3FB7">
              <w:t>11.67</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$246.78</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Quarantine</w:t>
            </w:r>
          </w:p>
        </w:tc>
        <w:tc>
          <w:tcPr>
            <w:tcW w:w="1261"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217.9</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89.1%</w:t>
            </w:r>
          </w:p>
        </w:tc>
        <w:tc>
          <w:tcPr>
            <w:tcW w:w="1134" w:type="dxa"/>
            <w:hideMark/>
          </w:tcPr>
          <w:p w:rsidR="009F0E63" w:rsidRPr="00DC3FB7" w:rsidRDefault="009F0E63" w:rsidP="007A5894">
            <w:pPr>
              <w:pStyle w:val="Tablesmalltext"/>
            </w:pPr>
            <w:r w:rsidRPr="00DC3FB7">
              <w:t>10.35</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$9.15</w:t>
            </w:r>
          </w:p>
        </w:tc>
        <w:tc>
          <w:tcPr>
            <w:tcW w:w="1134" w:type="dxa"/>
            <w:hideMark/>
          </w:tcPr>
          <w:p w:rsidR="009F0E63" w:rsidRPr="00DC3FB7" w:rsidRDefault="009F0E63" w:rsidP="007A5894">
            <w:pPr>
              <w:pStyle w:val="Tablesmalltext"/>
            </w:pPr>
            <w:r w:rsidRPr="00DC3FB7">
              <w:t>$11.07</w:t>
            </w:r>
          </w:p>
        </w:tc>
        <w:tc>
          <w:tcPr>
            <w:tcW w:w="1985" w:type="dxa"/>
            <w:hideMark/>
          </w:tcPr>
          <w:p w:rsidR="009F0E63" w:rsidRPr="00DC3FB7" w:rsidRDefault="009F0E63" w:rsidP="007A5894">
            <w:pPr>
              <w:pStyle w:val="Tablesmalltext"/>
            </w:pPr>
            <w:r w:rsidRPr="00DC3FB7">
              <w:t>$123.71</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Snuggery</w:t>
            </w:r>
          </w:p>
        </w:tc>
        <w:tc>
          <w:tcPr>
            <w:tcW w:w="1261"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65.7</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r w:rsidRPr="00DC3FB7">
              <w:t>88.1%</w:t>
            </w:r>
          </w:p>
        </w:tc>
        <w:tc>
          <w:tcPr>
            <w:tcW w:w="1134" w:type="dxa"/>
            <w:hideMark/>
          </w:tcPr>
          <w:p w:rsidR="009F0E63" w:rsidRPr="00DC3FB7" w:rsidRDefault="009F0E63" w:rsidP="007A5894">
            <w:pPr>
              <w:pStyle w:val="Tablesmalltext"/>
            </w:pPr>
            <w:r w:rsidRPr="00DC3FB7">
              <w:t>15.00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$314.83</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Torrens Island A</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456.0</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r w:rsidRPr="00DC3FB7">
              <w:t>87.7%</w:t>
            </w:r>
          </w:p>
        </w:tc>
        <w:tc>
          <w:tcPr>
            <w:tcW w:w="1134" w:type="dxa"/>
            <w:hideMark/>
          </w:tcPr>
          <w:p w:rsidR="009F0E63" w:rsidRPr="00DC3FB7" w:rsidRDefault="009F0E63" w:rsidP="007A5894">
            <w:pPr>
              <w:pStyle w:val="Tablesmalltext"/>
            </w:pPr>
            <w:r w:rsidRPr="00DC3FB7">
              <w:t>10.80</w:t>
            </w:r>
          </w:p>
        </w:tc>
        <w:tc>
          <w:tcPr>
            <w:tcW w:w="1229" w:type="dxa"/>
          </w:tcPr>
          <w:p w:rsidR="009F0E63" w:rsidRPr="00DC3FB7" w:rsidRDefault="00E32E04" w:rsidP="007A5894">
            <w:pPr>
              <w:pStyle w:val="Tablesmalltext"/>
            </w:pPr>
            <w:r>
              <w:t>39</w:t>
            </w:r>
          </w:p>
        </w:tc>
        <w:tc>
          <w:tcPr>
            <w:tcW w:w="1182" w:type="dxa"/>
            <w:hideMark/>
          </w:tcPr>
          <w:p w:rsidR="009F0E63" w:rsidRPr="00DC3FB7" w:rsidRDefault="009F0E63" w:rsidP="007A5894">
            <w:pPr>
              <w:pStyle w:val="Tablesmalltext"/>
            </w:pPr>
            <w:r w:rsidRPr="00DC3FB7">
              <w:t>$8.61</w:t>
            </w:r>
          </w:p>
        </w:tc>
        <w:tc>
          <w:tcPr>
            <w:tcW w:w="1134" w:type="dxa"/>
            <w:hideMark/>
          </w:tcPr>
          <w:p w:rsidR="009F0E63" w:rsidRPr="00DC3FB7" w:rsidRDefault="009F0E63" w:rsidP="007A5894">
            <w:pPr>
              <w:pStyle w:val="Tablesmalltext"/>
            </w:pPr>
            <w:r w:rsidRPr="00DC3FB7">
              <w:t>$9.22</w:t>
            </w:r>
          </w:p>
        </w:tc>
        <w:tc>
          <w:tcPr>
            <w:tcW w:w="1985" w:type="dxa"/>
            <w:hideMark/>
          </w:tcPr>
          <w:p w:rsidR="009F0E63" w:rsidRPr="00DC3FB7" w:rsidRDefault="009F0E63" w:rsidP="007A5894">
            <w:pPr>
              <w:pStyle w:val="Tablesmalltext"/>
            </w:pPr>
            <w:r w:rsidRPr="00DC3FB7">
              <w:t>$108.17</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Torrens Island B</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760.0</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r w:rsidRPr="00DC3FB7">
              <w:t>87.7%</w:t>
            </w:r>
          </w:p>
        </w:tc>
        <w:tc>
          <w:tcPr>
            <w:tcW w:w="1134" w:type="dxa"/>
            <w:hideMark/>
          </w:tcPr>
          <w:p w:rsidR="009F0E63" w:rsidRPr="00DC3FB7" w:rsidRDefault="009F0E63" w:rsidP="007A5894">
            <w:pPr>
              <w:pStyle w:val="Tablesmalltext"/>
            </w:pPr>
            <w:r w:rsidRPr="00DC3FB7">
              <w:t>10.50</w:t>
            </w:r>
          </w:p>
        </w:tc>
        <w:tc>
          <w:tcPr>
            <w:tcW w:w="1229" w:type="dxa"/>
          </w:tcPr>
          <w:p w:rsidR="009F0E63" w:rsidRPr="00DC3FB7" w:rsidRDefault="00E32E04" w:rsidP="007A5894">
            <w:pPr>
              <w:pStyle w:val="Tablesmalltext"/>
            </w:pPr>
            <w:r>
              <w:t>58</w:t>
            </w:r>
          </w:p>
        </w:tc>
        <w:tc>
          <w:tcPr>
            <w:tcW w:w="1182" w:type="dxa"/>
            <w:hideMark/>
          </w:tcPr>
          <w:p w:rsidR="009F0E63" w:rsidRPr="00DC3FB7" w:rsidRDefault="009F0E63" w:rsidP="007A5894">
            <w:pPr>
              <w:pStyle w:val="Tablesmalltext"/>
            </w:pPr>
            <w:r w:rsidRPr="00DC3FB7">
              <w:t>$2.15</w:t>
            </w:r>
          </w:p>
        </w:tc>
        <w:tc>
          <w:tcPr>
            <w:tcW w:w="1134" w:type="dxa"/>
            <w:hideMark/>
          </w:tcPr>
          <w:p w:rsidR="009F0E63" w:rsidRPr="00DC3FB7" w:rsidRDefault="009F0E63" w:rsidP="007A5894">
            <w:pPr>
              <w:pStyle w:val="Tablesmalltext"/>
            </w:pPr>
            <w:r w:rsidRPr="00DC3FB7">
              <w:t>$8.02</w:t>
            </w:r>
          </w:p>
        </w:tc>
        <w:tc>
          <w:tcPr>
            <w:tcW w:w="1985" w:type="dxa"/>
            <w:hideMark/>
          </w:tcPr>
          <w:p w:rsidR="009F0E63" w:rsidRPr="00DC3FB7" w:rsidRDefault="009F0E63" w:rsidP="007A5894">
            <w:pPr>
              <w:pStyle w:val="Tablesmalltext"/>
            </w:pPr>
            <w:r w:rsidRPr="00DC3FB7">
              <w:t>$86.34</w:t>
            </w:r>
          </w:p>
        </w:tc>
      </w:tr>
      <w:tr w:rsidR="009F0E63" w:rsidRPr="00DC3FB7" w:rsidTr="00744114">
        <w:trPr>
          <w:trHeight w:val="255"/>
        </w:trPr>
        <w:tc>
          <w:tcPr>
            <w:tcW w:w="0" w:type="auto"/>
            <w:hideMark/>
          </w:tcPr>
          <w:p w:rsidR="009F0E63" w:rsidRPr="00EE78D1" w:rsidRDefault="009F0E63" w:rsidP="007A5894">
            <w:pPr>
              <w:pStyle w:val="Tablesmalltext"/>
            </w:pPr>
            <w:r w:rsidRPr="00EE78D1">
              <w:t>Pelican Point 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902.9</w:t>
            </w:r>
          </w:p>
        </w:tc>
        <w:tc>
          <w:tcPr>
            <w:tcW w:w="992" w:type="dxa"/>
            <w:hideMark/>
          </w:tcPr>
          <w:p w:rsidR="009F0E63" w:rsidRPr="00DC3FB7" w:rsidRDefault="009F0E63" w:rsidP="007A5894">
            <w:pPr>
              <w:pStyle w:val="Tablesmalltext"/>
            </w:pPr>
            <w:r w:rsidRPr="00DC3FB7">
              <w:t>164.7</w:t>
            </w:r>
          </w:p>
        </w:tc>
        <w:tc>
          <w:tcPr>
            <w:tcW w:w="1186" w:type="dxa"/>
            <w:hideMark/>
          </w:tcPr>
          <w:p w:rsidR="009F0E63" w:rsidRPr="00DC3FB7" w:rsidRDefault="009F0E63" w:rsidP="007A5894">
            <w:pPr>
              <w:pStyle w:val="Tablesmalltext"/>
            </w:pPr>
            <w:r w:rsidRPr="00DC3FB7">
              <w:t>1.5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95.2%</w:t>
            </w:r>
          </w:p>
        </w:tc>
        <w:tc>
          <w:tcPr>
            <w:tcW w:w="1134" w:type="dxa"/>
            <w:hideMark/>
          </w:tcPr>
          <w:p w:rsidR="009F0E63" w:rsidRPr="00DC3FB7" w:rsidRDefault="009F0E63" w:rsidP="007A5894">
            <w:pPr>
              <w:pStyle w:val="Tablesmalltext"/>
            </w:pPr>
            <w:r w:rsidRPr="00DC3FB7">
              <w:t>11.36</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$7.22</w:t>
            </w:r>
          </w:p>
        </w:tc>
        <w:tc>
          <w:tcPr>
            <w:tcW w:w="1134" w:type="dxa"/>
            <w:hideMark/>
          </w:tcPr>
          <w:p w:rsidR="009F0E63" w:rsidRPr="00DC3FB7" w:rsidRDefault="009F0E63" w:rsidP="007A5894">
            <w:pPr>
              <w:pStyle w:val="Tablesmalltext"/>
            </w:pPr>
            <w:r w:rsidRPr="00DC3FB7">
              <w:t>$8.02</w:t>
            </w:r>
          </w:p>
        </w:tc>
        <w:tc>
          <w:tcPr>
            <w:tcW w:w="1985" w:type="dxa"/>
            <w:hideMark/>
          </w:tcPr>
          <w:p w:rsidR="009F0E63" w:rsidRPr="00DC3FB7" w:rsidRDefault="009F0E63" w:rsidP="007A5894">
            <w:pPr>
              <w:pStyle w:val="Tablesmalltext"/>
            </w:pPr>
            <w:r w:rsidRPr="00DC3FB7">
              <w:t>$98.30</w:t>
            </w:r>
          </w:p>
        </w:tc>
      </w:tr>
      <w:tr w:rsidR="009F0E63" w:rsidRPr="00DC3FB7" w:rsidTr="00744114">
        <w:trPr>
          <w:trHeight w:val="255"/>
        </w:trPr>
        <w:tc>
          <w:tcPr>
            <w:tcW w:w="0" w:type="auto"/>
            <w:hideMark/>
          </w:tcPr>
          <w:p w:rsidR="009F0E63" w:rsidRPr="00EE78D1" w:rsidRDefault="009F0E63" w:rsidP="007A5894">
            <w:pPr>
              <w:pStyle w:val="Tablesmalltext"/>
            </w:pPr>
            <w:r w:rsidRPr="00EE78D1">
              <w:t>SA OCGT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902.9</w:t>
            </w:r>
          </w:p>
        </w:tc>
        <w:tc>
          <w:tcPr>
            <w:tcW w:w="992" w:type="dxa"/>
            <w:hideMark/>
          </w:tcPr>
          <w:p w:rsidR="009F0E63" w:rsidRPr="00DC3FB7" w:rsidRDefault="009F0E63" w:rsidP="007A5894">
            <w:pPr>
              <w:pStyle w:val="Tablesmalltext"/>
            </w:pPr>
            <w:r w:rsidRPr="00DC3FB7">
              <w:t>164.7</w:t>
            </w:r>
          </w:p>
        </w:tc>
        <w:tc>
          <w:tcPr>
            <w:tcW w:w="1186" w:type="dxa"/>
            <w:hideMark/>
          </w:tcPr>
          <w:p w:rsidR="009F0E63" w:rsidRPr="00DC3FB7" w:rsidRDefault="009F0E63" w:rsidP="007A5894">
            <w:pPr>
              <w:pStyle w:val="Tablesmalltext"/>
            </w:pPr>
            <w:r w:rsidRPr="00DC3FB7">
              <w:t>1.5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95.2%</w:t>
            </w:r>
          </w:p>
        </w:tc>
        <w:tc>
          <w:tcPr>
            <w:tcW w:w="1134" w:type="dxa"/>
            <w:hideMark/>
          </w:tcPr>
          <w:p w:rsidR="009F0E63" w:rsidRPr="00DC3FB7" w:rsidRDefault="009F0E63" w:rsidP="007A5894">
            <w:pPr>
              <w:pStyle w:val="Tablesmalltext"/>
            </w:pPr>
            <w:r w:rsidRPr="00DC3FB7">
              <w:t>11.36</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$7.22</w:t>
            </w:r>
          </w:p>
        </w:tc>
        <w:tc>
          <w:tcPr>
            <w:tcW w:w="1134" w:type="dxa"/>
            <w:hideMark/>
          </w:tcPr>
          <w:p w:rsidR="009F0E63" w:rsidRPr="00DC3FB7" w:rsidRDefault="009F0E63" w:rsidP="007A5894">
            <w:pPr>
              <w:pStyle w:val="Tablesmalltext"/>
            </w:pPr>
            <w:r w:rsidRPr="00DC3FB7">
              <w:t>$16.93</w:t>
            </w:r>
          </w:p>
        </w:tc>
        <w:tc>
          <w:tcPr>
            <w:tcW w:w="1985" w:type="dxa"/>
            <w:hideMark/>
          </w:tcPr>
          <w:p w:rsidR="009F0E63" w:rsidRPr="00DC3FB7" w:rsidRDefault="009F0E63" w:rsidP="007A5894">
            <w:pPr>
              <w:pStyle w:val="Tablesmalltext"/>
            </w:pPr>
            <w:r w:rsidRPr="00DC3FB7">
              <w:t>$199.50</w:t>
            </w:r>
          </w:p>
        </w:tc>
      </w:tr>
      <w:tr w:rsidR="009F0E63" w:rsidRPr="00EE71D7" w:rsidTr="00744114">
        <w:trPr>
          <w:trHeight w:val="255"/>
        </w:trPr>
        <w:tc>
          <w:tcPr>
            <w:tcW w:w="0" w:type="auto"/>
            <w:hideMark/>
          </w:tcPr>
          <w:p w:rsidR="009F0E63" w:rsidRPr="00EE78D1" w:rsidRDefault="009F0E63" w:rsidP="007A5894">
            <w:pPr>
              <w:pStyle w:val="Tablesmalltext"/>
            </w:pPr>
            <w:r w:rsidRPr="00EE78D1">
              <w:t>Hallett</w:t>
            </w:r>
          </w:p>
        </w:tc>
        <w:tc>
          <w:tcPr>
            <w:tcW w:w="1261" w:type="dxa"/>
            <w:hideMark/>
          </w:tcPr>
          <w:p w:rsidR="009F0E63" w:rsidRPr="008E4CCE" w:rsidRDefault="009F0E63" w:rsidP="007A5894">
            <w:pPr>
              <w:pStyle w:val="Tablesmalltext"/>
              <w:rPr>
                <w:i/>
                <w:iCs/>
              </w:rPr>
            </w:pPr>
            <w:r w:rsidRPr="008E4CCE">
              <w:rPr>
                <w:i/>
                <w:iCs/>
              </w:rPr>
              <w:t>prospective</w:t>
            </w:r>
          </w:p>
        </w:tc>
        <w:tc>
          <w:tcPr>
            <w:tcW w:w="992" w:type="dxa"/>
            <w:hideMark/>
          </w:tcPr>
          <w:p w:rsidR="009F0E63" w:rsidRPr="00EE78D1" w:rsidRDefault="00E32E04" w:rsidP="007A5894">
            <w:pPr>
              <w:pStyle w:val="Tablesmalltext"/>
            </w:pPr>
            <w:r w:rsidRPr="00DC3FB7">
              <w:t>902.9</w:t>
            </w:r>
          </w:p>
        </w:tc>
        <w:tc>
          <w:tcPr>
            <w:tcW w:w="992" w:type="dxa"/>
            <w:hideMark/>
          </w:tcPr>
          <w:p w:rsidR="009F0E63" w:rsidRPr="00EE78D1" w:rsidRDefault="009F0E63" w:rsidP="007A5894">
            <w:pPr>
              <w:pStyle w:val="Tablesmalltext"/>
            </w:pPr>
            <w:r w:rsidRPr="00EE78D1">
              <w:t>220.0</w:t>
            </w:r>
          </w:p>
        </w:tc>
        <w:tc>
          <w:tcPr>
            <w:tcW w:w="1186" w:type="dxa"/>
            <w:hideMark/>
          </w:tcPr>
          <w:p w:rsidR="009F0E63" w:rsidRPr="00EE78D1" w:rsidRDefault="009F0E63" w:rsidP="007A5894">
            <w:pPr>
              <w:pStyle w:val="Tablesmalltext"/>
            </w:pPr>
            <w:r w:rsidRPr="00EE78D1">
              <w:t>4.0</w:t>
            </w:r>
          </w:p>
        </w:tc>
        <w:tc>
          <w:tcPr>
            <w:tcW w:w="1224" w:type="dxa"/>
            <w:hideMark/>
          </w:tcPr>
          <w:p w:rsidR="009F0E63" w:rsidRPr="00EE78D1" w:rsidRDefault="009F0E63" w:rsidP="007A5894">
            <w:pPr>
              <w:pStyle w:val="Tablesmalltext"/>
            </w:pPr>
            <w:r w:rsidRPr="00EE78D1">
              <w:t>4%</w:t>
            </w:r>
          </w:p>
        </w:tc>
        <w:tc>
          <w:tcPr>
            <w:tcW w:w="992" w:type="dxa"/>
            <w:hideMark/>
          </w:tcPr>
          <w:p w:rsidR="009F0E63" w:rsidRPr="00EE78D1" w:rsidRDefault="009F0E63" w:rsidP="007A5894">
            <w:pPr>
              <w:pStyle w:val="Tablesmalltext"/>
            </w:pPr>
            <w:r w:rsidRPr="00EE78D1">
              <w:t>88.3%</w:t>
            </w:r>
          </w:p>
        </w:tc>
        <w:tc>
          <w:tcPr>
            <w:tcW w:w="1134" w:type="dxa"/>
            <w:hideMark/>
          </w:tcPr>
          <w:p w:rsidR="009F0E63" w:rsidRPr="00EE78D1" w:rsidRDefault="009F0E63" w:rsidP="007A5894">
            <w:pPr>
              <w:pStyle w:val="Tablesmalltext"/>
            </w:pPr>
            <w:r w:rsidRPr="00EE78D1">
              <w:t>9.60</w:t>
            </w:r>
          </w:p>
        </w:tc>
        <w:tc>
          <w:tcPr>
            <w:tcW w:w="1229" w:type="dxa"/>
          </w:tcPr>
          <w:p w:rsidR="009F0E63" w:rsidRPr="00EE78D1" w:rsidRDefault="008E2534" w:rsidP="007A5894">
            <w:pPr>
              <w:pStyle w:val="Tablesmalltext"/>
            </w:pPr>
            <w:r>
              <w:t>13</w:t>
            </w:r>
          </w:p>
        </w:tc>
        <w:tc>
          <w:tcPr>
            <w:tcW w:w="1182" w:type="dxa"/>
            <w:hideMark/>
          </w:tcPr>
          <w:p w:rsidR="009F0E63" w:rsidRPr="00EE78D1" w:rsidRDefault="009F0E63" w:rsidP="007A5894">
            <w:pPr>
              <w:pStyle w:val="Tablesmalltext"/>
            </w:pPr>
            <w:r w:rsidRPr="00EE78D1">
              <w:t>$9.83</w:t>
            </w:r>
          </w:p>
        </w:tc>
        <w:tc>
          <w:tcPr>
            <w:tcW w:w="1134" w:type="dxa"/>
            <w:hideMark/>
          </w:tcPr>
          <w:p w:rsidR="009F0E63" w:rsidRPr="00EE78D1" w:rsidRDefault="009F0E63" w:rsidP="007A5894">
            <w:pPr>
              <w:pStyle w:val="Tablesmalltext"/>
            </w:pPr>
            <w:r w:rsidRPr="00EE78D1">
              <w:t>$11.07</w:t>
            </w:r>
          </w:p>
        </w:tc>
        <w:tc>
          <w:tcPr>
            <w:tcW w:w="1985" w:type="dxa"/>
            <w:hideMark/>
          </w:tcPr>
          <w:p w:rsidR="009F0E63" w:rsidRPr="00EE78D1" w:rsidRDefault="009F0E63" w:rsidP="007A5894">
            <w:pPr>
              <w:pStyle w:val="Tablesmalltext"/>
            </w:pPr>
            <w:r w:rsidRPr="00EE78D1">
              <w:t>$116.08</w:t>
            </w:r>
          </w:p>
        </w:tc>
      </w:tr>
      <w:tr w:rsidR="009F0E63" w:rsidRPr="00DC3FB7" w:rsidTr="00744114">
        <w:trPr>
          <w:trHeight w:val="315"/>
        </w:trPr>
        <w:tc>
          <w:tcPr>
            <w:tcW w:w="15163" w:type="dxa"/>
            <w:gridSpan w:val="12"/>
            <w:hideMark/>
          </w:tcPr>
          <w:p w:rsidR="009F0E63" w:rsidRPr="00DC3FB7" w:rsidRDefault="009F0E63" w:rsidP="007A5894">
            <w:pPr>
              <w:pStyle w:val="Tablesmalltext"/>
            </w:pPr>
            <w:r w:rsidRPr="00DC3FB7">
              <w:rPr>
                <w:b/>
              </w:rPr>
              <w:t>N</w:t>
            </w:r>
            <w:r>
              <w:rPr>
                <w:b/>
              </w:rPr>
              <w:t>ew South Wales</w:t>
            </w:r>
            <w:r w:rsidRPr="00DC3FB7">
              <w:t> </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Bayswater</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2592.7</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10.00</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$1.74</w:t>
            </w:r>
          </w:p>
        </w:tc>
        <w:tc>
          <w:tcPr>
            <w:tcW w:w="1985" w:type="dxa"/>
            <w:hideMark/>
          </w:tcPr>
          <w:p w:rsidR="009F0E63" w:rsidRPr="00DC3FB7" w:rsidRDefault="009F0E63" w:rsidP="007A5894">
            <w:pPr>
              <w:pStyle w:val="Tablesmalltext"/>
            </w:pPr>
            <w:r w:rsidRPr="00DC3FB7">
              <w:t>$20.22</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lastRenderedPageBreak/>
              <w:t>Colongra OCGT</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720.4</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91.9%</w:t>
            </w:r>
          </w:p>
        </w:tc>
        <w:tc>
          <w:tcPr>
            <w:tcW w:w="1134" w:type="dxa"/>
            <w:hideMark/>
          </w:tcPr>
          <w:p w:rsidR="009F0E63" w:rsidRPr="00DC3FB7" w:rsidRDefault="009F0E63" w:rsidP="007A5894">
            <w:pPr>
              <w:pStyle w:val="Tablesmalltext"/>
            </w:pPr>
            <w:r w:rsidRPr="00DC3FB7">
              <w:t>11.84</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$9.90</w:t>
            </w:r>
          </w:p>
        </w:tc>
        <w:tc>
          <w:tcPr>
            <w:tcW w:w="1134" w:type="dxa"/>
            <w:hideMark/>
          </w:tcPr>
          <w:p w:rsidR="009F0E63" w:rsidRPr="00DC3FB7" w:rsidRDefault="009F0E63" w:rsidP="007A5894">
            <w:pPr>
              <w:pStyle w:val="Tablesmalltext"/>
            </w:pPr>
            <w:r w:rsidRPr="00DC3FB7">
              <w:t>$17.45</w:t>
            </w:r>
          </w:p>
        </w:tc>
        <w:tc>
          <w:tcPr>
            <w:tcW w:w="1985" w:type="dxa"/>
            <w:hideMark/>
          </w:tcPr>
          <w:p w:rsidR="009F0E63" w:rsidRPr="00DC3FB7" w:rsidRDefault="009F0E63" w:rsidP="007A5894">
            <w:pPr>
              <w:pStyle w:val="Tablesmalltext"/>
            </w:pPr>
            <w:r w:rsidRPr="00DC3FB7">
              <w:t>$216.49</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Eraring</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2707.2</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r w:rsidRPr="00DC3FB7">
              <w:t>91.8%</w:t>
            </w:r>
          </w:p>
        </w:tc>
        <w:tc>
          <w:tcPr>
            <w:tcW w:w="1134" w:type="dxa"/>
            <w:hideMark/>
          </w:tcPr>
          <w:p w:rsidR="009F0E63" w:rsidRPr="00DC3FB7" w:rsidRDefault="009F0E63" w:rsidP="007A5894">
            <w:pPr>
              <w:pStyle w:val="Tablesmalltext"/>
            </w:pPr>
            <w:r w:rsidRPr="00DC3FB7">
              <w:t>10.08</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$2.03</w:t>
            </w:r>
          </w:p>
        </w:tc>
        <w:tc>
          <w:tcPr>
            <w:tcW w:w="1985" w:type="dxa"/>
            <w:hideMark/>
          </w:tcPr>
          <w:p w:rsidR="009F0E63" w:rsidRPr="00DC3FB7" w:rsidRDefault="009F0E63" w:rsidP="007A5894">
            <w:pPr>
              <w:pStyle w:val="Tablesmalltext"/>
            </w:pPr>
            <w:r w:rsidRPr="00DC3FB7">
              <w:t>$23.36</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Eraring GT</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41.8</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91.9%</w:t>
            </w:r>
          </w:p>
        </w:tc>
        <w:tc>
          <w:tcPr>
            <w:tcW w:w="1134" w:type="dxa"/>
            <w:hideMark/>
          </w:tcPr>
          <w:p w:rsidR="009F0E63" w:rsidRPr="00DC3FB7" w:rsidRDefault="009F0E63" w:rsidP="007A5894">
            <w:pPr>
              <w:pStyle w:val="Tablesmalltext"/>
            </w:pPr>
            <w:r w:rsidRPr="00DC3FB7">
              <w:t>11.84</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$9.90</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$251.57</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Hunter Valley GT</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49.8</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89.1%</w:t>
            </w:r>
          </w:p>
        </w:tc>
        <w:tc>
          <w:tcPr>
            <w:tcW w:w="1134" w:type="dxa"/>
            <w:hideMark/>
          </w:tcPr>
          <w:p w:rsidR="009F0E63" w:rsidRPr="00DC3FB7" w:rsidRDefault="009F0E63" w:rsidP="007A5894">
            <w:pPr>
              <w:pStyle w:val="Tablesmalltext"/>
            </w:pPr>
            <w:r w:rsidRPr="00DC3FB7">
              <w:t>23.38</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$9.90</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$487.20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Liddell</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1936.4</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10.38</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$2.59</w:t>
            </w:r>
          </w:p>
        </w:tc>
        <w:tc>
          <w:tcPr>
            <w:tcW w:w="1134" w:type="dxa"/>
            <w:hideMark/>
          </w:tcPr>
          <w:p w:rsidR="009F0E63" w:rsidRPr="00DC3FB7" w:rsidRDefault="009F0E63" w:rsidP="007A5894">
            <w:pPr>
              <w:pStyle w:val="Tablesmalltext"/>
            </w:pPr>
            <w:r w:rsidRPr="00DC3FB7">
              <w:t>$1.74</w:t>
            </w:r>
          </w:p>
        </w:tc>
        <w:tc>
          <w:tcPr>
            <w:tcW w:w="1985" w:type="dxa"/>
            <w:hideMark/>
          </w:tcPr>
          <w:p w:rsidR="009F0E63" w:rsidRPr="00DC3FB7" w:rsidRDefault="009F0E63" w:rsidP="007A5894">
            <w:pPr>
              <w:pStyle w:val="Tablesmalltext"/>
            </w:pPr>
            <w:r w:rsidRPr="00DC3FB7">
              <w:t>$20.60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Mt Piper</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1259.6</w:t>
            </w:r>
          </w:p>
        </w:tc>
        <w:tc>
          <w:tcPr>
            <w:tcW w:w="1186" w:type="dxa"/>
            <w:hideMark/>
          </w:tcPr>
          <w:p w:rsidR="009F0E63" w:rsidRPr="00DC3FB7" w:rsidRDefault="009F0E63" w:rsidP="007A5894">
            <w:pPr>
              <w:pStyle w:val="Tablesmalltext"/>
            </w:pPr>
            <w:r w:rsidRPr="00DC3FB7">
              <w:t>1.0</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97.1%</w:t>
            </w:r>
          </w:p>
        </w:tc>
        <w:tc>
          <w:tcPr>
            <w:tcW w:w="1134" w:type="dxa"/>
            <w:hideMark/>
          </w:tcPr>
          <w:p w:rsidR="009F0E63" w:rsidRPr="00DC3FB7" w:rsidRDefault="009F0E63" w:rsidP="007A5894">
            <w:pPr>
              <w:pStyle w:val="Tablesmalltext"/>
            </w:pPr>
            <w:r w:rsidRPr="00DC3FB7">
              <w:t>9.93</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$2.73</w:t>
            </w:r>
          </w:p>
        </w:tc>
        <w:tc>
          <w:tcPr>
            <w:tcW w:w="1134" w:type="dxa"/>
            <w:hideMark/>
          </w:tcPr>
          <w:p w:rsidR="009F0E63" w:rsidRPr="00DC3FB7" w:rsidRDefault="009F0E63" w:rsidP="007A5894">
            <w:pPr>
              <w:pStyle w:val="Tablesmalltext"/>
            </w:pPr>
            <w:r w:rsidRPr="00DC3FB7">
              <w:t>$1.76</w:t>
            </w:r>
          </w:p>
        </w:tc>
        <w:tc>
          <w:tcPr>
            <w:tcW w:w="1985" w:type="dxa"/>
            <w:hideMark/>
          </w:tcPr>
          <w:p w:rsidR="009F0E63" w:rsidRPr="00DC3FB7" w:rsidRDefault="009F0E63" w:rsidP="007A5894">
            <w:pPr>
              <w:pStyle w:val="Tablesmalltext"/>
            </w:pPr>
            <w:r w:rsidRPr="00DC3FB7">
              <w:t>$20.26</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Smithfield</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151.2</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91.4%</w:t>
            </w:r>
          </w:p>
        </w:tc>
        <w:tc>
          <w:tcPr>
            <w:tcW w:w="1134" w:type="dxa"/>
            <w:hideMark/>
          </w:tcPr>
          <w:p w:rsidR="009F0E63" w:rsidRPr="00DC3FB7" w:rsidRDefault="009F0E63" w:rsidP="007A5894">
            <w:pPr>
              <w:pStyle w:val="Tablesmalltext"/>
            </w:pPr>
            <w:r w:rsidRPr="00DC3FB7">
              <w:t>10.00</w:t>
            </w:r>
          </w:p>
        </w:tc>
        <w:tc>
          <w:tcPr>
            <w:tcW w:w="1229" w:type="dxa"/>
          </w:tcPr>
          <w:p w:rsidR="009F0E63" w:rsidRPr="00DC3FB7" w:rsidRDefault="00E32E04" w:rsidP="007A5894">
            <w:pPr>
              <w:pStyle w:val="Tablesmalltext"/>
            </w:pPr>
            <w:r>
              <w:t>28</w:t>
            </w:r>
          </w:p>
        </w:tc>
        <w:tc>
          <w:tcPr>
            <w:tcW w:w="1182" w:type="dxa"/>
            <w:hideMark/>
          </w:tcPr>
          <w:p w:rsidR="009F0E63" w:rsidRPr="00DC3FB7" w:rsidRDefault="009F0E63" w:rsidP="007A5894">
            <w:pPr>
              <w:pStyle w:val="Tablesmalltext"/>
            </w:pPr>
            <w:r w:rsidRPr="00DC3FB7">
              <w:t>$5.45</w:t>
            </w:r>
          </w:p>
        </w:tc>
        <w:tc>
          <w:tcPr>
            <w:tcW w:w="1134" w:type="dxa"/>
            <w:hideMark/>
          </w:tcPr>
          <w:p w:rsidR="009F0E63" w:rsidRPr="00DC3FB7" w:rsidRDefault="009F0E63" w:rsidP="007A5894">
            <w:pPr>
              <w:pStyle w:val="Tablesmalltext"/>
            </w:pPr>
            <w:r w:rsidRPr="00DC3FB7">
              <w:t>$5.97</w:t>
            </w:r>
          </w:p>
        </w:tc>
        <w:tc>
          <w:tcPr>
            <w:tcW w:w="1985" w:type="dxa"/>
            <w:hideMark/>
          </w:tcPr>
          <w:p w:rsidR="009F0E63" w:rsidRPr="00DC3FB7" w:rsidRDefault="009F0E63" w:rsidP="007A5894">
            <w:pPr>
              <w:pStyle w:val="Tablesmalltext"/>
            </w:pPr>
            <w:r w:rsidRPr="00DC3FB7">
              <w:t>$65.11</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Tallawarra</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422.0</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7.17</w:t>
            </w:r>
          </w:p>
        </w:tc>
        <w:tc>
          <w:tcPr>
            <w:tcW w:w="1229" w:type="dxa"/>
          </w:tcPr>
          <w:p w:rsidR="009F0E63" w:rsidRPr="00DC3FB7" w:rsidRDefault="00E32E04" w:rsidP="007A5894">
            <w:pPr>
              <w:pStyle w:val="Tablesmalltext"/>
            </w:pPr>
            <w:r>
              <w:t>3</w:t>
            </w:r>
            <w:r w:rsidR="008E2534">
              <w:t>5</w:t>
            </w:r>
          </w:p>
        </w:tc>
        <w:tc>
          <w:tcPr>
            <w:tcW w:w="1182" w:type="dxa"/>
            <w:hideMark/>
          </w:tcPr>
          <w:p w:rsidR="009F0E63" w:rsidRPr="00DC3FB7" w:rsidRDefault="009F0E63" w:rsidP="007A5894">
            <w:pPr>
              <w:pStyle w:val="Tablesmalltext"/>
            </w:pPr>
            <w:r w:rsidRPr="00DC3FB7">
              <w:t>$3.64</w:t>
            </w:r>
          </w:p>
        </w:tc>
        <w:tc>
          <w:tcPr>
            <w:tcW w:w="1134" w:type="dxa"/>
            <w:hideMark/>
          </w:tcPr>
          <w:p w:rsidR="009F0E63" w:rsidRPr="00DC3FB7" w:rsidRDefault="009F0E63" w:rsidP="007A5894">
            <w:pPr>
              <w:pStyle w:val="Tablesmalltext"/>
            </w:pPr>
            <w:r w:rsidRPr="00DC3FB7">
              <w:t>$8.27</w:t>
            </w:r>
          </w:p>
        </w:tc>
        <w:tc>
          <w:tcPr>
            <w:tcW w:w="1985" w:type="dxa"/>
            <w:hideMark/>
          </w:tcPr>
          <w:p w:rsidR="009F0E63" w:rsidRPr="00DC3FB7" w:rsidRDefault="009F0E63" w:rsidP="007A5894">
            <w:pPr>
              <w:pStyle w:val="Tablesmalltext"/>
            </w:pPr>
            <w:r w:rsidRPr="00DC3FB7">
              <w:t>$62.90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Uranquinty</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660.7</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10.98</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$3.47</w:t>
            </w:r>
          </w:p>
        </w:tc>
        <w:tc>
          <w:tcPr>
            <w:tcW w:w="1134" w:type="dxa"/>
            <w:hideMark/>
          </w:tcPr>
          <w:p w:rsidR="009F0E63" w:rsidRPr="00DC3FB7" w:rsidRDefault="009F0E63" w:rsidP="007A5894">
            <w:pPr>
              <w:pStyle w:val="Tablesmalltext"/>
            </w:pPr>
            <w:r w:rsidRPr="00DC3FB7">
              <w:t>$17.45</w:t>
            </w:r>
          </w:p>
        </w:tc>
        <w:tc>
          <w:tcPr>
            <w:tcW w:w="1985" w:type="dxa"/>
            <w:hideMark/>
          </w:tcPr>
          <w:p w:rsidR="009F0E63" w:rsidRPr="00DC3FB7" w:rsidRDefault="009F0E63" w:rsidP="007A5894">
            <w:pPr>
              <w:pStyle w:val="Tablesmalltext"/>
            </w:pPr>
            <w:r w:rsidRPr="00DC3FB7">
              <w:t>$195.08</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Vales Point</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1240.8</w:t>
            </w:r>
          </w:p>
        </w:tc>
        <w:tc>
          <w:tcPr>
            <w:tcW w:w="1186" w:type="dxa"/>
            <w:hideMark/>
          </w:tcPr>
          <w:p w:rsidR="009F0E63" w:rsidRPr="00DC3FB7" w:rsidRDefault="009F0E63" w:rsidP="007A5894">
            <w:pPr>
              <w:pStyle w:val="Tablesmalltext"/>
            </w:pPr>
            <w:r w:rsidRPr="00DC3FB7">
              <w:t>3.8</w:t>
            </w:r>
          </w:p>
        </w:tc>
        <w:tc>
          <w:tcPr>
            <w:tcW w:w="1224"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r w:rsidRPr="00DC3FB7">
              <w:t>89.0%</w:t>
            </w:r>
          </w:p>
        </w:tc>
        <w:tc>
          <w:tcPr>
            <w:tcW w:w="1134" w:type="dxa"/>
            <w:hideMark/>
          </w:tcPr>
          <w:p w:rsidR="009F0E63" w:rsidRPr="00DC3FB7" w:rsidRDefault="009F0E63" w:rsidP="007A5894">
            <w:pPr>
              <w:pStyle w:val="Tablesmalltext"/>
            </w:pPr>
            <w:r w:rsidRPr="00DC3FB7">
              <w:t>9.87</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$3.59</w:t>
            </w:r>
          </w:p>
        </w:tc>
        <w:tc>
          <w:tcPr>
            <w:tcW w:w="1134" w:type="dxa"/>
            <w:hideMark/>
          </w:tcPr>
          <w:p w:rsidR="009F0E63" w:rsidRPr="00DC3FB7" w:rsidRDefault="009F0E63" w:rsidP="007A5894">
            <w:pPr>
              <w:pStyle w:val="Tablesmalltext"/>
            </w:pPr>
            <w:r w:rsidRPr="00DC3FB7">
              <w:t>$2.08</w:t>
            </w:r>
          </w:p>
        </w:tc>
        <w:tc>
          <w:tcPr>
            <w:tcW w:w="1985" w:type="dxa"/>
            <w:hideMark/>
          </w:tcPr>
          <w:p w:rsidR="009F0E63" w:rsidRPr="00DC3FB7" w:rsidRDefault="009F0E63" w:rsidP="007A5894">
            <w:pPr>
              <w:pStyle w:val="Tablesmalltext"/>
            </w:pPr>
            <w:r w:rsidRPr="00DC3FB7">
              <w:t>$24.14</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Wallerawang</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940.0</w:t>
            </w:r>
          </w:p>
        </w:tc>
        <w:tc>
          <w:tcPr>
            <w:tcW w:w="1186" w:type="dxa"/>
            <w:hideMark/>
          </w:tcPr>
          <w:p w:rsidR="009F0E63" w:rsidRPr="00DC3FB7" w:rsidRDefault="009F0E63" w:rsidP="007A5894">
            <w:pPr>
              <w:pStyle w:val="Tablesmalltext"/>
            </w:pPr>
            <w:r w:rsidRPr="00DC3FB7">
              <w:t>4.8</w:t>
            </w:r>
          </w:p>
        </w:tc>
        <w:tc>
          <w:tcPr>
            <w:tcW w:w="1224" w:type="dxa"/>
            <w:hideMark/>
          </w:tcPr>
          <w:p w:rsidR="009F0E63" w:rsidRPr="00DC3FB7" w:rsidRDefault="009F0E63" w:rsidP="007A5894">
            <w:pPr>
              <w:pStyle w:val="Tablesmalltext"/>
            </w:pPr>
            <w:r w:rsidRPr="00DC3FB7">
              <w:t>8%</w:t>
            </w:r>
          </w:p>
        </w:tc>
        <w:tc>
          <w:tcPr>
            <w:tcW w:w="992" w:type="dxa"/>
            <w:hideMark/>
          </w:tcPr>
          <w:p w:rsidR="009F0E63" w:rsidRPr="00DC3FB7" w:rsidRDefault="009F0E63" w:rsidP="007A5894">
            <w:pPr>
              <w:pStyle w:val="Tablesmalltext"/>
            </w:pPr>
            <w:r w:rsidRPr="00DC3FB7">
              <w:t>83.9%</w:t>
            </w:r>
          </w:p>
        </w:tc>
        <w:tc>
          <w:tcPr>
            <w:tcW w:w="1134" w:type="dxa"/>
            <w:hideMark/>
          </w:tcPr>
          <w:p w:rsidR="009F0E63" w:rsidRPr="00DC3FB7" w:rsidRDefault="009F0E63" w:rsidP="007A5894">
            <w:pPr>
              <w:pStyle w:val="Tablesmalltext"/>
            </w:pPr>
            <w:r w:rsidRPr="00DC3FB7">
              <w:t>11.13</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$1.74</w:t>
            </w:r>
          </w:p>
        </w:tc>
        <w:tc>
          <w:tcPr>
            <w:tcW w:w="1985" w:type="dxa"/>
            <w:hideMark/>
          </w:tcPr>
          <w:p w:rsidR="009F0E63" w:rsidRPr="00DC3FB7" w:rsidRDefault="009F0E63" w:rsidP="007A5894">
            <w:pPr>
              <w:pStyle w:val="Tablesmalltext"/>
            </w:pPr>
            <w:r w:rsidRPr="00DC3FB7">
              <w:t>$23.62</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Generic NSW CCGT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1150.0</w:t>
            </w:r>
          </w:p>
        </w:tc>
        <w:tc>
          <w:tcPr>
            <w:tcW w:w="992" w:type="dxa"/>
            <w:hideMark/>
          </w:tcPr>
          <w:p w:rsidR="009F0E63" w:rsidRPr="00DC3FB7" w:rsidRDefault="009F0E63" w:rsidP="007A5894">
            <w:pPr>
              <w:pStyle w:val="Tablesmalltext"/>
            </w:pPr>
            <w:r w:rsidRPr="00DC3FB7">
              <w:t>546.1</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6.93</w:t>
            </w:r>
          </w:p>
        </w:tc>
        <w:tc>
          <w:tcPr>
            <w:tcW w:w="1229" w:type="dxa"/>
          </w:tcPr>
          <w:p w:rsidR="009F0E63" w:rsidRPr="00DC3FB7" w:rsidRDefault="008E2534" w:rsidP="007A5894">
            <w:pPr>
              <w:pStyle w:val="Tablesmalltext"/>
            </w:pPr>
            <w:r>
              <w:t>35</w:t>
            </w:r>
          </w:p>
        </w:tc>
        <w:tc>
          <w:tcPr>
            <w:tcW w:w="1182" w:type="dxa"/>
            <w:hideMark/>
          </w:tcPr>
          <w:p w:rsidR="009F0E63" w:rsidRPr="00DC3FB7" w:rsidRDefault="009F0E63" w:rsidP="007A5894">
            <w:pPr>
              <w:pStyle w:val="Tablesmalltext"/>
            </w:pPr>
            <w:r w:rsidRPr="00DC3FB7">
              <w:t>$3.56</w:t>
            </w:r>
          </w:p>
        </w:tc>
        <w:tc>
          <w:tcPr>
            <w:tcW w:w="1134" w:type="dxa"/>
            <w:hideMark/>
          </w:tcPr>
          <w:p w:rsidR="009F0E63" w:rsidRPr="00DC3FB7" w:rsidRDefault="009F0E63" w:rsidP="007A5894">
            <w:pPr>
              <w:pStyle w:val="Tablesmalltext"/>
            </w:pPr>
            <w:r w:rsidRPr="00DC3FB7">
              <w:t>$8.27</w:t>
            </w:r>
          </w:p>
        </w:tc>
        <w:tc>
          <w:tcPr>
            <w:tcW w:w="1985" w:type="dxa"/>
            <w:hideMark/>
          </w:tcPr>
          <w:p w:rsidR="009F0E63" w:rsidRPr="00DC3FB7" w:rsidRDefault="009F0E63" w:rsidP="007A5894">
            <w:pPr>
              <w:pStyle w:val="Tablesmalltext"/>
            </w:pPr>
            <w:r w:rsidRPr="00DC3FB7">
              <w:t>$60.85</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Generic NSW OCGT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753.3</w:t>
            </w:r>
          </w:p>
        </w:tc>
        <w:tc>
          <w:tcPr>
            <w:tcW w:w="992" w:type="dxa"/>
            <w:hideMark/>
          </w:tcPr>
          <w:p w:rsidR="009F0E63" w:rsidRPr="00DC3FB7" w:rsidRDefault="009F0E63" w:rsidP="007A5894">
            <w:pPr>
              <w:pStyle w:val="Tablesmalltext"/>
            </w:pPr>
            <w:r w:rsidRPr="00DC3FB7">
              <w:t>281.3</w:t>
            </w:r>
          </w:p>
        </w:tc>
        <w:tc>
          <w:tcPr>
            <w:tcW w:w="1186" w:type="dxa"/>
            <w:hideMark/>
          </w:tcPr>
          <w:p w:rsidR="009F0E63" w:rsidRPr="00DC3FB7" w:rsidRDefault="009F0E63" w:rsidP="007A5894">
            <w:pPr>
              <w:pStyle w:val="Tablesmalltext"/>
            </w:pPr>
            <w:r w:rsidRPr="00DC3FB7">
              <w:t>1.5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95.2%</w:t>
            </w:r>
          </w:p>
        </w:tc>
        <w:tc>
          <w:tcPr>
            <w:tcW w:w="1134" w:type="dxa"/>
            <w:hideMark/>
          </w:tcPr>
          <w:p w:rsidR="009F0E63" w:rsidRPr="00DC3FB7" w:rsidRDefault="009F0E63" w:rsidP="007A5894">
            <w:pPr>
              <w:pStyle w:val="Tablesmalltext"/>
            </w:pPr>
            <w:r w:rsidRPr="00DC3FB7">
              <w:t>10.38</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$7.15</w:t>
            </w:r>
          </w:p>
        </w:tc>
        <w:tc>
          <w:tcPr>
            <w:tcW w:w="1134" w:type="dxa"/>
            <w:hideMark/>
          </w:tcPr>
          <w:p w:rsidR="009F0E63" w:rsidRPr="00DC3FB7" w:rsidRDefault="009F0E63" w:rsidP="007A5894">
            <w:pPr>
              <w:pStyle w:val="Tablesmalltext"/>
            </w:pPr>
            <w:r w:rsidRPr="00DC3FB7">
              <w:t>$17.45</w:t>
            </w:r>
          </w:p>
        </w:tc>
        <w:tc>
          <w:tcPr>
            <w:tcW w:w="1985" w:type="dxa"/>
            <w:hideMark/>
          </w:tcPr>
          <w:p w:rsidR="009F0E63" w:rsidRPr="00DC3FB7" w:rsidRDefault="009F0E63" w:rsidP="007A5894">
            <w:pPr>
              <w:pStyle w:val="Tablesmalltext"/>
            </w:pPr>
            <w:r w:rsidRPr="00DC3FB7">
              <w:t>$188.30</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NSW CCGT 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2533.9</w:t>
            </w:r>
          </w:p>
        </w:tc>
        <w:tc>
          <w:tcPr>
            <w:tcW w:w="992" w:type="dxa"/>
            <w:hideMark/>
          </w:tcPr>
          <w:p w:rsidR="009F0E63" w:rsidRPr="00DC3FB7" w:rsidRDefault="009F0E63" w:rsidP="007A5894">
            <w:pPr>
              <w:pStyle w:val="Tablesmalltext"/>
            </w:pPr>
            <w:r w:rsidRPr="00DC3FB7">
              <w:t>482.5</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7.87</w:t>
            </w:r>
          </w:p>
        </w:tc>
        <w:tc>
          <w:tcPr>
            <w:tcW w:w="1229" w:type="dxa"/>
          </w:tcPr>
          <w:p w:rsidR="009F0E63" w:rsidRPr="00DC3FB7" w:rsidRDefault="008E2534" w:rsidP="007A5894">
            <w:pPr>
              <w:pStyle w:val="Tablesmalltext"/>
            </w:pPr>
            <w:r>
              <w:t>62</w:t>
            </w:r>
          </w:p>
        </w:tc>
        <w:tc>
          <w:tcPr>
            <w:tcW w:w="1182" w:type="dxa"/>
            <w:hideMark/>
          </w:tcPr>
          <w:p w:rsidR="009F0E63" w:rsidRPr="00DC3FB7" w:rsidRDefault="009F0E63" w:rsidP="007A5894">
            <w:pPr>
              <w:pStyle w:val="Tablesmalltext"/>
            </w:pPr>
            <w:r w:rsidRPr="00DC3FB7">
              <w:t>$4.38</w:t>
            </w:r>
          </w:p>
        </w:tc>
        <w:tc>
          <w:tcPr>
            <w:tcW w:w="1134" w:type="dxa"/>
            <w:hideMark/>
          </w:tcPr>
          <w:p w:rsidR="009F0E63" w:rsidRPr="00DC3FB7" w:rsidRDefault="009F0E63" w:rsidP="007A5894">
            <w:pPr>
              <w:pStyle w:val="Tablesmalltext"/>
            </w:pPr>
            <w:r w:rsidRPr="00DC3FB7">
              <w:t>$8.27</w:t>
            </w:r>
          </w:p>
        </w:tc>
        <w:tc>
          <w:tcPr>
            <w:tcW w:w="1985" w:type="dxa"/>
            <w:hideMark/>
          </w:tcPr>
          <w:p w:rsidR="009F0E63" w:rsidRPr="00DC3FB7" w:rsidRDefault="009F0E63" w:rsidP="007A5894">
            <w:pPr>
              <w:pStyle w:val="Tablesmalltext"/>
            </w:pPr>
            <w:r w:rsidRPr="00DC3FB7">
              <w:t>$69.44</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 xml:space="preserve">NSW </w:t>
            </w:r>
            <w:r w:rsidR="00053D75">
              <w:t xml:space="preserve">coal </w:t>
            </w:r>
            <w:r w:rsidRPr="00EE78D1">
              <w:t>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5568.5</w:t>
            </w:r>
          </w:p>
        </w:tc>
        <w:tc>
          <w:tcPr>
            <w:tcW w:w="992" w:type="dxa"/>
            <w:hideMark/>
          </w:tcPr>
          <w:p w:rsidR="009F0E63" w:rsidRPr="00DC3FB7" w:rsidRDefault="009F0E63" w:rsidP="007A5894">
            <w:pPr>
              <w:pStyle w:val="Tablesmalltext"/>
            </w:pPr>
            <w:r w:rsidRPr="00DC3FB7">
              <w:t>396.0</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7%</w:t>
            </w:r>
          </w:p>
        </w:tc>
        <w:tc>
          <w:tcPr>
            <w:tcW w:w="992" w:type="dxa"/>
            <w:hideMark/>
          </w:tcPr>
          <w:p w:rsidR="009F0E63" w:rsidRPr="00DC3FB7" w:rsidRDefault="009F0E63" w:rsidP="007A5894">
            <w:pPr>
              <w:pStyle w:val="Tablesmalltext"/>
            </w:pPr>
            <w:r w:rsidRPr="00DC3FB7">
              <w:t>87.6%</w:t>
            </w:r>
          </w:p>
        </w:tc>
        <w:tc>
          <w:tcPr>
            <w:tcW w:w="1134" w:type="dxa"/>
            <w:hideMark/>
          </w:tcPr>
          <w:p w:rsidR="009F0E63" w:rsidRPr="00DC3FB7" w:rsidRDefault="009F0E63" w:rsidP="007A5894">
            <w:pPr>
              <w:pStyle w:val="Tablesmalltext"/>
            </w:pPr>
            <w:r w:rsidRPr="00DC3FB7">
              <w:t>9.87</w:t>
            </w:r>
          </w:p>
        </w:tc>
        <w:tc>
          <w:tcPr>
            <w:tcW w:w="1229" w:type="dxa"/>
          </w:tcPr>
          <w:p w:rsidR="009F0E63" w:rsidRPr="00DC3FB7" w:rsidRDefault="008E2534" w:rsidP="007A5894">
            <w:pPr>
              <w:pStyle w:val="Tablesmalltext"/>
            </w:pPr>
            <w:r>
              <w:t>157</w:t>
            </w:r>
          </w:p>
        </w:tc>
        <w:tc>
          <w:tcPr>
            <w:tcW w:w="1182" w:type="dxa"/>
            <w:hideMark/>
          </w:tcPr>
          <w:p w:rsidR="009F0E63" w:rsidRPr="00DC3FB7" w:rsidRDefault="009F0E63" w:rsidP="007A5894">
            <w:pPr>
              <w:pStyle w:val="Tablesmalltext"/>
            </w:pPr>
            <w:r w:rsidRPr="00DC3FB7">
              <w:t>$4.72</w:t>
            </w:r>
          </w:p>
        </w:tc>
        <w:tc>
          <w:tcPr>
            <w:tcW w:w="1134" w:type="dxa"/>
            <w:hideMark/>
          </w:tcPr>
          <w:p w:rsidR="009F0E63" w:rsidRPr="00DC3FB7" w:rsidRDefault="009F0E63" w:rsidP="007A5894">
            <w:pPr>
              <w:pStyle w:val="Tablesmalltext"/>
            </w:pPr>
            <w:r w:rsidRPr="00DC3FB7">
              <w:t>$2.33</w:t>
            </w:r>
          </w:p>
        </w:tc>
        <w:tc>
          <w:tcPr>
            <w:tcW w:w="1985" w:type="dxa"/>
            <w:hideMark/>
          </w:tcPr>
          <w:p w:rsidR="009F0E63" w:rsidRPr="00DC3FB7" w:rsidRDefault="009F0E63" w:rsidP="007A5894">
            <w:pPr>
              <w:pStyle w:val="Tablesmalltext"/>
            </w:pPr>
            <w:r w:rsidRPr="00DC3FB7">
              <w:t>$27.74</w:t>
            </w:r>
          </w:p>
        </w:tc>
      </w:tr>
      <w:tr w:rsidR="009F0E63" w:rsidRPr="00DC3FB7" w:rsidTr="001A2641">
        <w:trPr>
          <w:trHeight w:val="315"/>
        </w:trPr>
        <w:tc>
          <w:tcPr>
            <w:tcW w:w="15163" w:type="dxa"/>
            <w:gridSpan w:val="12"/>
            <w:hideMark/>
          </w:tcPr>
          <w:p w:rsidR="009F0E63" w:rsidRPr="00DC3FB7" w:rsidRDefault="009F0E63" w:rsidP="007A5894">
            <w:pPr>
              <w:pStyle w:val="Tablesmalltext"/>
              <w:keepNext/>
            </w:pPr>
            <w:r w:rsidRPr="00DC3FB7">
              <w:rPr>
                <w:b/>
              </w:rPr>
              <w:t>Queensland</w:t>
            </w:r>
            <w:r w:rsidRPr="00DC3FB7">
              <w:t> </w:t>
            </w:r>
          </w:p>
        </w:tc>
      </w:tr>
      <w:tr w:rsidR="009F0E63" w:rsidRPr="00DC3FB7" w:rsidTr="00744114">
        <w:trPr>
          <w:trHeight w:val="255"/>
        </w:trPr>
        <w:tc>
          <w:tcPr>
            <w:tcW w:w="0" w:type="auto"/>
            <w:hideMark/>
          </w:tcPr>
          <w:p w:rsidR="009F0E63" w:rsidRPr="00EE78D1" w:rsidRDefault="009F0E63" w:rsidP="007A5894">
            <w:pPr>
              <w:pStyle w:val="Tablesmalltext"/>
            </w:pPr>
            <w:r w:rsidRPr="00EE78D1">
              <w:t>Barcaldine CC</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36.8</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91.4%</w:t>
            </w:r>
          </w:p>
        </w:tc>
        <w:tc>
          <w:tcPr>
            <w:tcW w:w="1134" w:type="dxa"/>
            <w:hideMark/>
          </w:tcPr>
          <w:p w:rsidR="009F0E63" w:rsidRPr="00DC3FB7" w:rsidRDefault="009F0E63" w:rsidP="007A5894">
            <w:pPr>
              <w:pStyle w:val="Tablesmalltext"/>
            </w:pPr>
            <w:r w:rsidRPr="00DC3FB7">
              <w:t>8.02</w:t>
            </w:r>
          </w:p>
        </w:tc>
        <w:tc>
          <w:tcPr>
            <w:tcW w:w="1229" w:type="dxa"/>
          </w:tcPr>
          <w:p w:rsidR="009F0E63" w:rsidRPr="00DC3FB7" w:rsidRDefault="00E32E04" w:rsidP="007A5894">
            <w:pPr>
              <w:pStyle w:val="Tablesmalltext"/>
            </w:pPr>
            <w:r>
              <w:t>28</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$5.21</w:t>
            </w:r>
          </w:p>
        </w:tc>
        <w:tc>
          <w:tcPr>
            <w:tcW w:w="1985" w:type="dxa"/>
            <w:hideMark/>
          </w:tcPr>
          <w:p w:rsidR="009F0E63" w:rsidRPr="00DC3FB7" w:rsidRDefault="009F0E63" w:rsidP="007A5894">
            <w:pPr>
              <w:pStyle w:val="Tablesmalltext"/>
            </w:pPr>
            <w:r w:rsidRPr="00DC3FB7">
              <w:t>$46.09</w:t>
            </w:r>
          </w:p>
        </w:tc>
      </w:tr>
      <w:tr w:rsidR="009F0E63" w:rsidRPr="00DC3FB7" w:rsidTr="00744114">
        <w:trPr>
          <w:trHeight w:val="255"/>
        </w:trPr>
        <w:tc>
          <w:tcPr>
            <w:tcW w:w="0" w:type="auto"/>
            <w:hideMark/>
          </w:tcPr>
          <w:p w:rsidR="009F0E63" w:rsidRPr="00EE78D1" w:rsidRDefault="009F0E63" w:rsidP="007A5894">
            <w:pPr>
              <w:pStyle w:val="Tablesmalltext"/>
            </w:pPr>
            <w:r w:rsidRPr="00EE78D1">
              <w:t>Braemar</w:t>
            </w:r>
          </w:p>
        </w:tc>
        <w:tc>
          <w:tcPr>
            <w:tcW w:w="1261" w:type="dxa"/>
            <w:hideMark/>
          </w:tcPr>
          <w:p w:rsidR="009F0E63" w:rsidRPr="00DC3FB7" w:rsidRDefault="009F0E63" w:rsidP="007A5894">
            <w:pPr>
              <w:pStyle w:val="Tablesmalltext"/>
            </w:pPr>
            <w:r w:rsidRPr="00DC3FB7">
              <w:t>6</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1017.9</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94.2%</w:t>
            </w:r>
          </w:p>
        </w:tc>
        <w:tc>
          <w:tcPr>
            <w:tcW w:w="1134" w:type="dxa"/>
            <w:hideMark/>
          </w:tcPr>
          <w:p w:rsidR="009F0E63" w:rsidRPr="00DC3FB7" w:rsidRDefault="009F0E63" w:rsidP="007A5894">
            <w:pPr>
              <w:pStyle w:val="Tablesmalltext"/>
            </w:pPr>
            <w:r w:rsidRPr="00DC3FB7">
              <w:t>11.00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$3.61</w:t>
            </w:r>
          </w:p>
        </w:tc>
        <w:tc>
          <w:tcPr>
            <w:tcW w:w="1134" w:type="dxa"/>
            <w:hideMark/>
          </w:tcPr>
          <w:p w:rsidR="009F0E63" w:rsidRPr="00DC3FB7" w:rsidRDefault="009F0E63" w:rsidP="007A5894">
            <w:pPr>
              <w:pStyle w:val="Tablesmalltext"/>
            </w:pPr>
            <w:r w:rsidRPr="00DC3FB7">
              <w:t>$1.96</w:t>
            </w:r>
          </w:p>
        </w:tc>
        <w:tc>
          <w:tcPr>
            <w:tcW w:w="1985" w:type="dxa"/>
            <w:hideMark/>
          </w:tcPr>
          <w:p w:rsidR="009F0E63" w:rsidRPr="00DC3FB7" w:rsidRDefault="009F0E63" w:rsidP="007A5894">
            <w:pPr>
              <w:pStyle w:val="Tablesmalltext"/>
            </w:pPr>
            <w:r w:rsidRPr="00DC3FB7">
              <w:t>$25.19</w:t>
            </w:r>
          </w:p>
        </w:tc>
      </w:tr>
      <w:tr w:rsidR="009F0E63" w:rsidRPr="00DC3FB7" w:rsidTr="00744114">
        <w:trPr>
          <w:trHeight w:val="255"/>
        </w:trPr>
        <w:tc>
          <w:tcPr>
            <w:tcW w:w="0" w:type="auto"/>
            <w:hideMark/>
          </w:tcPr>
          <w:p w:rsidR="009F0E63" w:rsidRPr="00EE78D1" w:rsidRDefault="009F0E63" w:rsidP="007A5894">
            <w:pPr>
              <w:pStyle w:val="Tablesmalltext"/>
            </w:pPr>
            <w:r w:rsidRPr="00EE78D1">
              <w:t>Callide B</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658.0</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9.88</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$2.07</w:t>
            </w:r>
          </w:p>
        </w:tc>
        <w:tc>
          <w:tcPr>
            <w:tcW w:w="1134" w:type="dxa"/>
            <w:hideMark/>
          </w:tcPr>
          <w:p w:rsidR="009F0E63" w:rsidRPr="00DC3FB7" w:rsidRDefault="009F0E63" w:rsidP="007A5894">
            <w:pPr>
              <w:pStyle w:val="Tablesmalltext"/>
            </w:pPr>
            <w:r w:rsidRPr="00DC3FB7">
              <w:t>$1.69</w:t>
            </w:r>
          </w:p>
        </w:tc>
        <w:tc>
          <w:tcPr>
            <w:tcW w:w="1985" w:type="dxa"/>
            <w:hideMark/>
          </w:tcPr>
          <w:p w:rsidR="009F0E63" w:rsidRPr="00DC3FB7" w:rsidRDefault="009F0E63" w:rsidP="007A5894">
            <w:pPr>
              <w:pStyle w:val="Tablesmalltext"/>
            </w:pPr>
            <w:r w:rsidRPr="00DC3FB7">
              <w:t>$18.72</w:t>
            </w:r>
          </w:p>
        </w:tc>
      </w:tr>
      <w:tr w:rsidR="009F0E63" w:rsidRPr="00DC3FB7" w:rsidTr="00744114">
        <w:trPr>
          <w:trHeight w:val="255"/>
        </w:trPr>
        <w:tc>
          <w:tcPr>
            <w:tcW w:w="0" w:type="auto"/>
            <w:hideMark/>
          </w:tcPr>
          <w:p w:rsidR="009F0E63" w:rsidRPr="00EE78D1" w:rsidRDefault="009F0E63" w:rsidP="007A5894">
            <w:pPr>
              <w:pStyle w:val="Tablesmalltext"/>
            </w:pPr>
            <w:r w:rsidRPr="00EE78D1">
              <w:t>Callide C</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846.0</w:t>
            </w:r>
          </w:p>
        </w:tc>
        <w:tc>
          <w:tcPr>
            <w:tcW w:w="1186" w:type="dxa"/>
            <w:hideMark/>
          </w:tcPr>
          <w:p w:rsidR="009F0E63" w:rsidRPr="00DC3FB7" w:rsidRDefault="009F0E63" w:rsidP="007A5894">
            <w:pPr>
              <w:pStyle w:val="Tablesmalltext"/>
            </w:pPr>
            <w:r w:rsidRPr="00DC3FB7">
              <w:t>1.2</w:t>
            </w:r>
          </w:p>
        </w:tc>
        <w:tc>
          <w:tcPr>
            <w:tcW w:w="1224" w:type="dxa"/>
            <w:hideMark/>
          </w:tcPr>
          <w:p w:rsidR="009F0E63" w:rsidRPr="00DC3FB7" w:rsidRDefault="009F0E63" w:rsidP="007A5894">
            <w:pPr>
              <w:pStyle w:val="Tablesmalltext"/>
            </w:pPr>
            <w:r w:rsidRPr="00DC3FB7">
              <w:t>6%</w:t>
            </w:r>
          </w:p>
        </w:tc>
        <w:tc>
          <w:tcPr>
            <w:tcW w:w="992" w:type="dxa"/>
            <w:hideMark/>
          </w:tcPr>
          <w:p w:rsidR="009F0E63" w:rsidRPr="00DC3FB7" w:rsidRDefault="009F0E63" w:rsidP="007A5894">
            <w:pPr>
              <w:pStyle w:val="Tablesmalltext"/>
            </w:pPr>
            <w:r w:rsidRPr="00DC3FB7">
              <w:t>91.9%</w:t>
            </w:r>
          </w:p>
        </w:tc>
        <w:tc>
          <w:tcPr>
            <w:tcW w:w="1134" w:type="dxa"/>
            <w:hideMark/>
          </w:tcPr>
          <w:p w:rsidR="009F0E63" w:rsidRPr="00DC3FB7" w:rsidRDefault="009F0E63" w:rsidP="007A5894">
            <w:pPr>
              <w:pStyle w:val="Tablesmalltext"/>
            </w:pPr>
            <w:r w:rsidRPr="00DC3FB7">
              <w:t>9.00</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$1.43</w:t>
            </w:r>
          </w:p>
        </w:tc>
        <w:tc>
          <w:tcPr>
            <w:tcW w:w="1134" w:type="dxa"/>
            <w:hideMark/>
          </w:tcPr>
          <w:p w:rsidR="009F0E63" w:rsidRPr="00DC3FB7" w:rsidRDefault="009F0E63" w:rsidP="007A5894">
            <w:pPr>
              <w:pStyle w:val="Tablesmalltext"/>
            </w:pPr>
            <w:r w:rsidRPr="00DC3FB7">
              <w:t>$1.69</w:t>
            </w:r>
          </w:p>
        </w:tc>
        <w:tc>
          <w:tcPr>
            <w:tcW w:w="1985" w:type="dxa"/>
            <w:hideMark/>
          </w:tcPr>
          <w:p w:rsidR="009F0E63" w:rsidRPr="00DC3FB7" w:rsidRDefault="009F0E63" w:rsidP="007A5894">
            <w:pPr>
              <w:pStyle w:val="Tablesmalltext"/>
            </w:pPr>
            <w:r w:rsidRPr="00DC3FB7">
              <w:t>$16.61</w:t>
            </w:r>
          </w:p>
        </w:tc>
      </w:tr>
      <w:tr w:rsidR="009F0E63" w:rsidRPr="00DC3FB7" w:rsidTr="00744114">
        <w:trPr>
          <w:trHeight w:val="255"/>
        </w:trPr>
        <w:tc>
          <w:tcPr>
            <w:tcW w:w="0" w:type="auto"/>
            <w:hideMark/>
          </w:tcPr>
          <w:p w:rsidR="009F0E63" w:rsidRPr="00EE78D1" w:rsidRDefault="009F0E63" w:rsidP="007A5894">
            <w:pPr>
              <w:pStyle w:val="Tablesmalltext"/>
            </w:pPr>
            <w:r w:rsidRPr="00EE78D1">
              <w:t>Darling Downs</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898.7</w:t>
            </w:r>
          </w:p>
        </w:tc>
        <w:tc>
          <w:tcPr>
            <w:tcW w:w="1186" w:type="dxa"/>
            <w:hideMark/>
          </w:tcPr>
          <w:p w:rsidR="009F0E63" w:rsidRPr="00DC3FB7" w:rsidRDefault="009F0E63" w:rsidP="007A5894">
            <w:pPr>
              <w:pStyle w:val="Tablesmalltext"/>
            </w:pPr>
            <w:r w:rsidRPr="00DC3FB7">
              <w:t>2.3</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94.2%</w:t>
            </w:r>
          </w:p>
        </w:tc>
        <w:tc>
          <w:tcPr>
            <w:tcW w:w="1134" w:type="dxa"/>
            <w:hideMark/>
          </w:tcPr>
          <w:p w:rsidR="009F0E63" w:rsidRPr="00DC3FB7" w:rsidRDefault="009F0E63" w:rsidP="007A5894">
            <w:pPr>
              <w:pStyle w:val="Tablesmalltext"/>
            </w:pPr>
            <w:r w:rsidRPr="00DC3FB7">
              <w:t>8.54</w:t>
            </w:r>
          </w:p>
        </w:tc>
        <w:tc>
          <w:tcPr>
            <w:tcW w:w="1229" w:type="dxa"/>
          </w:tcPr>
          <w:p w:rsidR="009F0E63" w:rsidRPr="00DC3FB7" w:rsidRDefault="00E32E04" w:rsidP="007A5894">
            <w:pPr>
              <w:pStyle w:val="Tablesmalltext"/>
            </w:pPr>
            <w:r>
              <w:t>28</w:t>
            </w:r>
          </w:p>
        </w:tc>
        <w:tc>
          <w:tcPr>
            <w:tcW w:w="1182" w:type="dxa"/>
            <w:hideMark/>
          </w:tcPr>
          <w:p w:rsidR="009F0E63" w:rsidRPr="00DC3FB7" w:rsidRDefault="009F0E63" w:rsidP="007A5894">
            <w:pPr>
              <w:pStyle w:val="Tablesmalltext"/>
            </w:pPr>
            <w:r w:rsidRPr="00DC3FB7">
              <w:t>$5.45</w:t>
            </w:r>
          </w:p>
        </w:tc>
        <w:tc>
          <w:tcPr>
            <w:tcW w:w="1134" w:type="dxa"/>
            <w:hideMark/>
          </w:tcPr>
          <w:p w:rsidR="009F0E63" w:rsidRPr="00DC3FB7" w:rsidRDefault="009F0E63" w:rsidP="007A5894">
            <w:pPr>
              <w:pStyle w:val="Tablesmalltext"/>
            </w:pPr>
            <w:r w:rsidRPr="00DC3FB7">
              <w:t>$11.61</w:t>
            </w:r>
          </w:p>
        </w:tc>
        <w:tc>
          <w:tcPr>
            <w:tcW w:w="1985" w:type="dxa"/>
            <w:hideMark/>
          </w:tcPr>
          <w:p w:rsidR="009F0E63" w:rsidRPr="00DC3FB7" w:rsidRDefault="009F0E63" w:rsidP="007A5894">
            <w:pPr>
              <w:pStyle w:val="Tablesmalltext"/>
            </w:pPr>
            <w:r w:rsidRPr="00DC3FB7">
              <w:t>$104.62</w:t>
            </w:r>
          </w:p>
        </w:tc>
      </w:tr>
      <w:tr w:rsidR="009F0E63" w:rsidRPr="00DC3FB7" w:rsidTr="00744114">
        <w:trPr>
          <w:trHeight w:val="255"/>
        </w:trPr>
        <w:tc>
          <w:tcPr>
            <w:tcW w:w="0" w:type="auto"/>
            <w:hideMark/>
          </w:tcPr>
          <w:p w:rsidR="009F0E63" w:rsidRPr="00EE78D1" w:rsidRDefault="009F0E63" w:rsidP="007A5894">
            <w:pPr>
              <w:pStyle w:val="Tablesmalltext"/>
            </w:pPr>
            <w:r w:rsidRPr="00EE78D1">
              <w:t>Gladstone</w:t>
            </w:r>
          </w:p>
        </w:tc>
        <w:tc>
          <w:tcPr>
            <w:tcW w:w="1261" w:type="dxa"/>
            <w:hideMark/>
          </w:tcPr>
          <w:p w:rsidR="009F0E63" w:rsidRPr="00DC3FB7" w:rsidRDefault="009F0E63" w:rsidP="007A5894">
            <w:pPr>
              <w:pStyle w:val="Tablesmalltext"/>
            </w:pPr>
            <w:r w:rsidRPr="00DC3FB7">
              <w:t>6</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1579.2</w:t>
            </w:r>
          </w:p>
        </w:tc>
        <w:tc>
          <w:tcPr>
            <w:tcW w:w="1186" w:type="dxa"/>
            <w:hideMark/>
          </w:tcPr>
          <w:p w:rsidR="009F0E63" w:rsidRPr="00DC3FB7" w:rsidRDefault="009F0E63" w:rsidP="007A5894">
            <w:pPr>
              <w:pStyle w:val="Tablesmalltext"/>
            </w:pPr>
            <w:r w:rsidRPr="00DC3FB7">
              <w:t>2.4</w:t>
            </w:r>
          </w:p>
        </w:tc>
        <w:tc>
          <w:tcPr>
            <w:tcW w:w="1224" w:type="dxa"/>
            <w:hideMark/>
          </w:tcPr>
          <w:p w:rsidR="009F0E63" w:rsidRPr="00DC3FB7" w:rsidRDefault="009F0E63" w:rsidP="007A5894">
            <w:pPr>
              <w:pStyle w:val="Tablesmalltext"/>
            </w:pPr>
            <w:r w:rsidRPr="00DC3FB7">
              <w:t>5%</w:t>
            </w:r>
          </w:p>
        </w:tc>
        <w:tc>
          <w:tcPr>
            <w:tcW w:w="992" w:type="dxa"/>
            <w:hideMark/>
          </w:tcPr>
          <w:p w:rsidR="009F0E63" w:rsidRPr="00DC3FB7" w:rsidRDefault="009F0E63" w:rsidP="007A5894">
            <w:pPr>
              <w:pStyle w:val="Tablesmalltext"/>
            </w:pPr>
            <w:r w:rsidRPr="00DC3FB7">
              <w:t>91.1%</w:t>
            </w:r>
          </w:p>
        </w:tc>
        <w:tc>
          <w:tcPr>
            <w:tcW w:w="1134" w:type="dxa"/>
            <w:hideMark/>
          </w:tcPr>
          <w:p w:rsidR="009F0E63" w:rsidRPr="00DC3FB7" w:rsidRDefault="009F0E63" w:rsidP="007A5894">
            <w:pPr>
              <w:pStyle w:val="Tablesmalltext"/>
            </w:pPr>
            <w:r w:rsidRPr="00DC3FB7">
              <w:t>10.22</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$1.26</w:t>
            </w:r>
          </w:p>
        </w:tc>
        <w:tc>
          <w:tcPr>
            <w:tcW w:w="1134" w:type="dxa"/>
            <w:hideMark/>
          </w:tcPr>
          <w:p w:rsidR="009F0E63" w:rsidRPr="00DC3FB7" w:rsidRDefault="009F0E63" w:rsidP="007A5894">
            <w:pPr>
              <w:pStyle w:val="Tablesmalltext"/>
            </w:pPr>
            <w:r w:rsidRPr="00DC3FB7">
              <w:t>$1.96</w:t>
            </w:r>
          </w:p>
        </w:tc>
        <w:tc>
          <w:tcPr>
            <w:tcW w:w="1985" w:type="dxa"/>
            <w:hideMark/>
          </w:tcPr>
          <w:p w:rsidR="009F0E63" w:rsidRPr="00DC3FB7" w:rsidRDefault="009F0E63" w:rsidP="007A5894">
            <w:pPr>
              <w:pStyle w:val="Tablesmalltext"/>
            </w:pPr>
            <w:r w:rsidRPr="00DC3FB7">
              <w:t>$21.27</w:t>
            </w:r>
          </w:p>
        </w:tc>
      </w:tr>
      <w:tr w:rsidR="009F0E63" w:rsidRPr="00DC3FB7" w:rsidTr="00744114">
        <w:trPr>
          <w:trHeight w:val="255"/>
        </w:trPr>
        <w:tc>
          <w:tcPr>
            <w:tcW w:w="0" w:type="auto"/>
            <w:hideMark/>
          </w:tcPr>
          <w:p w:rsidR="009F0E63" w:rsidRPr="00EE78D1" w:rsidRDefault="009F0E63" w:rsidP="007A5894">
            <w:pPr>
              <w:pStyle w:val="Tablesmalltext"/>
            </w:pPr>
            <w:r w:rsidRPr="00EE78D1">
              <w:t>Kogan Creek</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699.4</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91.4%</w:t>
            </w:r>
          </w:p>
        </w:tc>
        <w:tc>
          <w:tcPr>
            <w:tcW w:w="1134" w:type="dxa"/>
            <w:hideMark/>
          </w:tcPr>
          <w:p w:rsidR="009F0E63" w:rsidRPr="00DC3FB7" w:rsidRDefault="009F0E63" w:rsidP="007A5894">
            <w:pPr>
              <w:pStyle w:val="Tablesmalltext"/>
            </w:pPr>
            <w:r w:rsidRPr="00DC3FB7">
              <w:t>9.50</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$1.29</w:t>
            </w:r>
          </w:p>
        </w:tc>
        <w:tc>
          <w:tcPr>
            <w:tcW w:w="1134" w:type="dxa"/>
            <w:hideMark/>
          </w:tcPr>
          <w:p w:rsidR="009F0E63" w:rsidRPr="00DC3FB7" w:rsidRDefault="009F0E63" w:rsidP="007A5894">
            <w:pPr>
              <w:pStyle w:val="Tablesmalltext"/>
            </w:pPr>
            <w:r w:rsidRPr="00DC3FB7">
              <w:t>$0.79</w:t>
            </w:r>
          </w:p>
        </w:tc>
        <w:tc>
          <w:tcPr>
            <w:tcW w:w="1985" w:type="dxa"/>
            <w:hideMark/>
          </w:tcPr>
          <w:p w:rsidR="009F0E63" w:rsidRPr="00DC3FB7" w:rsidRDefault="009F0E63" w:rsidP="007A5894">
            <w:pPr>
              <w:pStyle w:val="Tablesmalltext"/>
            </w:pPr>
            <w:r w:rsidRPr="00DC3FB7">
              <w:t>$8.83</w:t>
            </w:r>
          </w:p>
        </w:tc>
      </w:tr>
      <w:tr w:rsidR="009F0E63" w:rsidRPr="00DC3FB7" w:rsidTr="00744114">
        <w:trPr>
          <w:trHeight w:val="255"/>
        </w:trPr>
        <w:tc>
          <w:tcPr>
            <w:tcW w:w="0" w:type="auto"/>
            <w:hideMark/>
          </w:tcPr>
          <w:p w:rsidR="009F0E63" w:rsidRPr="00EE78D1" w:rsidRDefault="009F0E63" w:rsidP="007A5894">
            <w:pPr>
              <w:pStyle w:val="Tablesmalltext"/>
            </w:pPr>
            <w:r w:rsidRPr="00EE78D1">
              <w:t>Mackay GT</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33.8</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94.2%</w:t>
            </w:r>
          </w:p>
        </w:tc>
        <w:tc>
          <w:tcPr>
            <w:tcW w:w="1134" w:type="dxa"/>
            <w:hideMark/>
          </w:tcPr>
          <w:p w:rsidR="009F0E63" w:rsidRPr="00DC3FB7" w:rsidRDefault="009F0E63" w:rsidP="007A5894">
            <w:pPr>
              <w:pStyle w:val="Tablesmalltext"/>
            </w:pPr>
            <w:r w:rsidRPr="00DC3FB7">
              <w:t>13.50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$11.48</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$287.08</w:t>
            </w:r>
          </w:p>
        </w:tc>
      </w:tr>
      <w:tr w:rsidR="009F0E63" w:rsidRPr="00DC3FB7" w:rsidTr="00744114">
        <w:trPr>
          <w:trHeight w:val="255"/>
        </w:trPr>
        <w:tc>
          <w:tcPr>
            <w:tcW w:w="0" w:type="auto"/>
            <w:hideMark/>
          </w:tcPr>
          <w:p w:rsidR="009F0E63" w:rsidRPr="00EE78D1" w:rsidRDefault="009F0E63" w:rsidP="007A5894">
            <w:pPr>
              <w:pStyle w:val="Tablesmalltext"/>
            </w:pPr>
            <w:r w:rsidRPr="00EE78D1">
              <w:lastRenderedPageBreak/>
              <w:t>Millmerran</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787.5</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8%</w:t>
            </w:r>
          </w:p>
        </w:tc>
        <w:tc>
          <w:tcPr>
            <w:tcW w:w="992" w:type="dxa"/>
            <w:hideMark/>
          </w:tcPr>
          <w:p w:rsidR="009F0E63" w:rsidRPr="00DC3FB7" w:rsidRDefault="009F0E63" w:rsidP="007A5894">
            <w:pPr>
              <w:pStyle w:val="Tablesmalltext"/>
            </w:pPr>
            <w:r w:rsidRPr="00DC3FB7">
              <w:t>86.5%</w:t>
            </w:r>
          </w:p>
        </w:tc>
        <w:tc>
          <w:tcPr>
            <w:tcW w:w="1134" w:type="dxa"/>
            <w:hideMark/>
          </w:tcPr>
          <w:p w:rsidR="009F0E63" w:rsidRPr="00DC3FB7" w:rsidRDefault="009F0E63" w:rsidP="007A5894">
            <w:pPr>
              <w:pStyle w:val="Tablesmalltext"/>
            </w:pPr>
            <w:r w:rsidRPr="00DC3FB7">
              <w:t>9.88</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$1.29</w:t>
            </w:r>
          </w:p>
        </w:tc>
        <w:tc>
          <w:tcPr>
            <w:tcW w:w="1134" w:type="dxa"/>
            <w:hideMark/>
          </w:tcPr>
          <w:p w:rsidR="009F0E63" w:rsidRPr="00DC3FB7" w:rsidRDefault="009F0E63" w:rsidP="007A5894">
            <w:pPr>
              <w:pStyle w:val="Tablesmalltext"/>
            </w:pPr>
            <w:r w:rsidRPr="00DC3FB7">
              <w:t>$0.79</w:t>
            </w:r>
          </w:p>
        </w:tc>
        <w:tc>
          <w:tcPr>
            <w:tcW w:w="1985" w:type="dxa"/>
            <w:hideMark/>
          </w:tcPr>
          <w:p w:rsidR="009F0E63" w:rsidRPr="00DC3FB7" w:rsidRDefault="009F0E63" w:rsidP="007A5894">
            <w:pPr>
              <w:pStyle w:val="Tablesmalltext"/>
            </w:pPr>
            <w:r w:rsidRPr="00DC3FB7">
              <w:t>$9.13</w:t>
            </w:r>
          </w:p>
        </w:tc>
      </w:tr>
      <w:tr w:rsidR="009F0E63" w:rsidRPr="00DC3FB7" w:rsidTr="00744114">
        <w:trPr>
          <w:trHeight w:val="255"/>
        </w:trPr>
        <w:tc>
          <w:tcPr>
            <w:tcW w:w="0" w:type="auto"/>
            <w:hideMark/>
          </w:tcPr>
          <w:p w:rsidR="009F0E63" w:rsidRPr="00EE78D1" w:rsidRDefault="009F0E63" w:rsidP="007A5894">
            <w:pPr>
              <w:pStyle w:val="Tablesmalltext"/>
            </w:pPr>
            <w:r w:rsidRPr="00EE78D1">
              <w:t>Moranbah</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45.6</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91.4%</w:t>
            </w:r>
          </w:p>
        </w:tc>
        <w:tc>
          <w:tcPr>
            <w:tcW w:w="1134" w:type="dxa"/>
            <w:hideMark/>
          </w:tcPr>
          <w:p w:rsidR="009F0E63" w:rsidRPr="00DC3FB7" w:rsidRDefault="009F0E63" w:rsidP="007A5894">
            <w:pPr>
              <w:pStyle w:val="Tablesmalltext"/>
            </w:pPr>
            <w:r w:rsidRPr="00DC3FB7">
              <w:t>8.02</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$4.30</w:t>
            </w:r>
          </w:p>
        </w:tc>
        <w:tc>
          <w:tcPr>
            <w:tcW w:w="1134" w:type="dxa"/>
            <w:hideMark/>
          </w:tcPr>
          <w:p w:rsidR="009F0E63" w:rsidRPr="00DC3FB7" w:rsidRDefault="009F0E63" w:rsidP="007A5894">
            <w:pPr>
              <w:pStyle w:val="Tablesmalltext"/>
            </w:pPr>
            <w:r w:rsidRPr="00DC3FB7">
              <w:t>$-</w:t>
            </w:r>
          </w:p>
        </w:tc>
        <w:tc>
          <w:tcPr>
            <w:tcW w:w="1985" w:type="dxa"/>
            <w:hideMark/>
          </w:tcPr>
          <w:p w:rsidR="009F0E63" w:rsidRPr="00DC3FB7" w:rsidRDefault="009F0E63" w:rsidP="007A5894">
            <w:pPr>
              <w:pStyle w:val="Tablesmalltext"/>
            </w:pPr>
            <w:r w:rsidRPr="00DC3FB7">
              <w:t>$4.30</w:t>
            </w:r>
          </w:p>
        </w:tc>
      </w:tr>
      <w:tr w:rsidR="009F0E63" w:rsidRPr="00DC3FB7" w:rsidTr="00744114">
        <w:trPr>
          <w:trHeight w:val="255"/>
        </w:trPr>
        <w:tc>
          <w:tcPr>
            <w:tcW w:w="0" w:type="auto"/>
            <w:hideMark/>
          </w:tcPr>
          <w:p w:rsidR="009F0E63" w:rsidRPr="00EE78D1" w:rsidRDefault="009F0E63" w:rsidP="007A5894">
            <w:pPr>
              <w:pStyle w:val="Tablesmalltext"/>
            </w:pPr>
            <w:r w:rsidRPr="00EE78D1">
              <w:t>Mt Stuart GT</w:t>
            </w:r>
          </w:p>
        </w:tc>
        <w:tc>
          <w:tcPr>
            <w:tcW w:w="1261"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416.9</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94.2%</w:t>
            </w:r>
          </w:p>
        </w:tc>
        <w:tc>
          <w:tcPr>
            <w:tcW w:w="1134" w:type="dxa"/>
            <w:hideMark/>
          </w:tcPr>
          <w:p w:rsidR="009F0E63" w:rsidRPr="00DC3FB7" w:rsidRDefault="009F0E63" w:rsidP="007A5894">
            <w:pPr>
              <w:pStyle w:val="Tablesmalltext"/>
            </w:pPr>
            <w:r w:rsidRPr="00DC3FB7">
              <w:t>11.50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$5.74</w:t>
            </w:r>
          </w:p>
        </w:tc>
        <w:tc>
          <w:tcPr>
            <w:tcW w:w="1134" w:type="dxa"/>
            <w:hideMark/>
          </w:tcPr>
          <w:p w:rsidR="009F0E63" w:rsidRPr="00DC3FB7" w:rsidRDefault="009F0E63" w:rsidP="007A5894">
            <w:pPr>
              <w:pStyle w:val="Tablesmalltext"/>
            </w:pPr>
            <w:r w:rsidRPr="00DC3FB7">
              <w:t>$20.41</w:t>
            </w:r>
          </w:p>
        </w:tc>
        <w:tc>
          <w:tcPr>
            <w:tcW w:w="1985" w:type="dxa"/>
            <w:hideMark/>
          </w:tcPr>
          <w:p w:rsidR="009F0E63" w:rsidRPr="00DC3FB7" w:rsidRDefault="009F0E63" w:rsidP="007A5894">
            <w:pPr>
              <w:pStyle w:val="Tablesmalltext"/>
            </w:pPr>
            <w:r w:rsidRPr="00DC3FB7">
              <w:t>$240.51</w:t>
            </w:r>
          </w:p>
        </w:tc>
      </w:tr>
      <w:tr w:rsidR="009F0E63" w:rsidRPr="00DC3FB7" w:rsidTr="00744114">
        <w:trPr>
          <w:trHeight w:val="255"/>
        </w:trPr>
        <w:tc>
          <w:tcPr>
            <w:tcW w:w="0" w:type="auto"/>
            <w:hideMark/>
          </w:tcPr>
          <w:p w:rsidR="009F0E63" w:rsidRPr="00EE78D1" w:rsidRDefault="009F0E63" w:rsidP="007A5894">
            <w:pPr>
              <w:pStyle w:val="Tablesmalltext"/>
            </w:pPr>
            <w:r w:rsidRPr="00EE78D1">
              <w:t>Oakey GT</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338.3</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94.2%</w:t>
            </w:r>
          </w:p>
        </w:tc>
        <w:tc>
          <w:tcPr>
            <w:tcW w:w="1134" w:type="dxa"/>
            <w:hideMark/>
          </w:tcPr>
          <w:p w:rsidR="009F0E63" w:rsidRPr="00DC3FB7" w:rsidRDefault="009F0E63" w:rsidP="007A5894">
            <w:pPr>
              <w:pStyle w:val="Tablesmalltext"/>
            </w:pPr>
            <w:r w:rsidRPr="00DC3FB7">
              <w:t>11.50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$5.74</w:t>
            </w:r>
          </w:p>
        </w:tc>
        <w:tc>
          <w:tcPr>
            <w:tcW w:w="1134" w:type="dxa"/>
            <w:hideMark/>
          </w:tcPr>
          <w:p w:rsidR="009F0E63" w:rsidRPr="00DC3FB7" w:rsidRDefault="009F0E63" w:rsidP="007A5894">
            <w:pPr>
              <w:pStyle w:val="Tablesmalltext"/>
            </w:pPr>
            <w:r w:rsidRPr="00DC3FB7">
              <w:t>$11.00</w:t>
            </w:r>
          </w:p>
        </w:tc>
        <w:tc>
          <w:tcPr>
            <w:tcW w:w="1985" w:type="dxa"/>
            <w:hideMark/>
          </w:tcPr>
          <w:p w:rsidR="009F0E63" w:rsidRPr="00DC3FB7" w:rsidRDefault="009F0E63" w:rsidP="007A5894">
            <w:pPr>
              <w:pStyle w:val="Tablesmalltext"/>
            </w:pPr>
            <w:r w:rsidRPr="00DC3FB7">
              <w:t>$132.25</w:t>
            </w:r>
          </w:p>
        </w:tc>
      </w:tr>
      <w:tr w:rsidR="009F0E63" w:rsidRPr="00DC3FB7" w:rsidTr="00744114">
        <w:trPr>
          <w:trHeight w:val="255"/>
        </w:trPr>
        <w:tc>
          <w:tcPr>
            <w:tcW w:w="0" w:type="auto"/>
            <w:hideMark/>
          </w:tcPr>
          <w:p w:rsidR="009F0E63" w:rsidRPr="00EE78D1" w:rsidRDefault="009F0E63" w:rsidP="007A5894">
            <w:pPr>
              <w:pStyle w:val="Tablesmalltext"/>
            </w:pPr>
            <w:r w:rsidRPr="00EE78D1">
              <w:t>Roma</w:t>
            </w:r>
          </w:p>
        </w:tc>
        <w:tc>
          <w:tcPr>
            <w:tcW w:w="1261"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67.7</w:t>
            </w:r>
          </w:p>
        </w:tc>
        <w:tc>
          <w:tcPr>
            <w:tcW w:w="1186" w:type="dxa"/>
            <w:hideMark/>
          </w:tcPr>
          <w:p w:rsidR="009F0E63" w:rsidRPr="00DC3FB7" w:rsidRDefault="009F0E63" w:rsidP="007A5894">
            <w:pPr>
              <w:pStyle w:val="Tablesmalltext"/>
            </w:pPr>
            <w:r w:rsidRPr="00DC3FB7">
              <w:t>4.0</w:t>
            </w:r>
          </w:p>
        </w:tc>
        <w:tc>
          <w:tcPr>
            <w:tcW w:w="1224" w:type="dxa"/>
            <w:hideMark/>
          </w:tcPr>
          <w:p w:rsidR="009F0E63" w:rsidRPr="00DC3FB7" w:rsidRDefault="009F0E63" w:rsidP="007A5894">
            <w:pPr>
              <w:pStyle w:val="Tablesmalltext"/>
            </w:pPr>
            <w:r w:rsidRPr="00DC3FB7">
              <w:t>9%</w:t>
            </w:r>
          </w:p>
        </w:tc>
        <w:tc>
          <w:tcPr>
            <w:tcW w:w="992" w:type="dxa"/>
            <w:hideMark/>
          </w:tcPr>
          <w:p w:rsidR="009F0E63" w:rsidRPr="00DC3FB7" w:rsidRDefault="009F0E63" w:rsidP="007A5894">
            <w:pPr>
              <w:pStyle w:val="Tablesmalltext"/>
            </w:pPr>
            <w:r w:rsidRPr="00DC3FB7">
              <w:t>84.0%</w:t>
            </w:r>
          </w:p>
        </w:tc>
        <w:tc>
          <w:tcPr>
            <w:tcW w:w="1134" w:type="dxa"/>
            <w:hideMark/>
          </w:tcPr>
          <w:p w:rsidR="009F0E63" w:rsidRPr="00DC3FB7" w:rsidRDefault="009F0E63" w:rsidP="007A5894">
            <w:pPr>
              <w:pStyle w:val="Tablesmalltext"/>
            </w:pPr>
            <w:r w:rsidRPr="00DC3FB7">
              <w:t>13.50</w:t>
            </w:r>
          </w:p>
        </w:tc>
        <w:tc>
          <w:tcPr>
            <w:tcW w:w="1229" w:type="dxa"/>
          </w:tcPr>
          <w:p w:rsidR="009F0E63" w:rsidRPr="00DC3FB7" w:rsidRDefault="00E32E04" w:rsidP="007A5894">
            <w:pPr>
              <w:pStyle w:val="Tablesmalltext"/>
            </w:pPr>
            <w:r>
              <w:t>14</w:t>
            </w:r>
          </w:p>
        </w:tc>
        <w:tc>
          <w:tcPr>
            <w:tcW w:w="1182" w:type="dxa"/>
            <w:hideMark/>
          </w:tcPr>
          <w:p w:rsidR="009F0E63" w:rsidRPr="00DC3FB7" w:rsidRDefault="009F0E63" w:rsidP="007A5894">
            <w:pPr>
              <w:pStyle w:val="Tablesmalltext"/>
            </w:pPr>
            <w:r w:rsidRPr="00DC3FB7">
              <w:t>$5.74</w:t>
            </w:r>
          </w:p>
        </w:tc>
        <w:tc>
          <w:tcPr>
            <w:tcW w:w="1134" w:type="dxa"/>
            <w:hideMark/>
          </w:tcPr>
          <w:p w:rsidR="009F0E63" w:rsidRPr="00DC3FB7" w:rsidRDefault="009F0E63" w:rsidP="007A5894">
            <w:pPr>
              <w:pStyle w:val="Tablesmalltext"/>
            </w:pPr>
            <w:r w:rsidRPr="00DC3FB7">
              <w:t>$5.21</w:t>
            </w:r>
          </w:p>
        </w:tc>
        <w:tc>
          <w:tcPr>
            <w:tcW w:w="1985" w:type="dxa"/>
            <w:hideMark/>
          </w:tcPr>
          <w:p w:rsidR="009F0E63" w:rsidRPr="00DC3FB7" w:rsidRDefault="009F0E63" w:rsidP="007A5894">
            <w:pPr>
              <w:pStyle w:val="Tablesmalltext"/>
            </w:pPr>
            <w:r w:rsidRPr="00DC3FB7">
              <w:t>$76.08</w:t>
            </w:r>
          </w:p>
        </w:tc>
      </w:tr>
      <w:tr w:rsidR="009F0E63" w:rsidRPr="00DC3FB7" w:rsidTr="00744114">
        <w:trPr>
          <w:trHeight w:val="255"/>
        </w:trPr>
        <w:tc>
          <w:tcPr>
            <w:tcW w:w="0" w:type="auto"/>
            <w:hideMark/>
          </w:tcPr>
          <w:p w:rsidR="009F0E63" w:rsidRPr="00EE78D1" w:rsidRDefault="009F0E63" w:rsidP="007A5894">
            <w:pPr>
              <w:pStyle w:val="Tablesmalltext"/>
            </w:pPr>
            <w:r w:rsidRPr="00EE78D1">
              <w:t>Stanwell</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1372.4</w:t>
            </w:r>
          </w:p>
        </w:tc>
        <w:tc>
          <w:tcPr>
            <w:tcW w:w="1186" w:type="dxa"/>
            <w:hideMark/>
          </w:tcPr>
          <w:p w:rsidR="009F0E63" w:rsidRPr="00DC3FB7" w:rsidRDefault="009F0E63" w:rsidP="007A5894">
            <w:pPr>
              <w:pStyle w:val="Tablesmalltext"/>
            </w:pPr>
            <w:r w:rsidRPr="00DC3FB7">
              <w:t>1.8</w:t>
            </w:r>
          </w:p>
        </w:tc>
        <w:tc>
          <w:tcPr>
            <w:tcW w:w="1224"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r w:rsidRPr="00DC3FB7">
              <w:t>95.6%</w:t>
            </w:r>
          </w:p>
        </w:tc>
        <w:tc>
          <w:tcPr>
            <w:tcW w:w="1134" w:type="dxa"/>
            <w:hideMark/>
          </w:tcPr>
          <w:p w:rsidR="009F0E63" w:rsidRPr="00DC3FB7" w:rsidRDefault="009F0E63" w:rsidP="007A5894">
            <w:pPr>
              <w:pStyle w:val="Tablesmalltext"/>
            </w:pPr>
            <w:r w:rsidRPr="00DC3FB7">
              <w:t>9.99</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$1.15</w:t>
            </w:r>
          </w:p>
        </w:tc>
        <w:tc>
          <w:tcPr>
            <w:tcW w:w="1134" w:type="dxa"/>
            <w:hideMark/>
          </w:tcPr>
          <w:p w:rsidR="009F0E63" w:rsidRPr="00DC3FB7" w:rsidRDefault="009F0E63" w:rsidP="007A5894">
            <w:pPr>
              <w:pStyle w:val="Tablesmalltext"/>
            </w:pPr>
            <w:r w:rsidRPr="00DC3FB7">
              <w:t>$1.75</w:t>
            </w:r>
          </w:p>
        </w:tc>
        <w:tc>
          <w:tcPr>
            <w:tcW w:w="1985" w:type="dxa"/>
            <w:hideMark/>
          </w:tcPr>
          <w:p w:rsidR="009F0E63" w:rsidRPr="00DC3FB7" w:rsidRDefault="009F0E63" w:rsidP="007A5894">
            <w:pPr>
              <w:pStyle w:val="Tablesmalltext"/>
            </w:pPr>
            <w:r w:rsidRPr="00DC3FB7">
              <w:t>$18.61</w:t>
            </w:r>
          </w:p>
        </w:tc>
      </w:tr>
      <w:tr w:rsidR="009F0E63" w:rsidRPr="00DC3FB7" w:rsidTr="00744114">
        <w:trPr>
          <w:trHeight w:val="255"/>
        </w:trPr>
        <w:tc>
          <w:tcPr>
            <w:tcW w:w="0" w:type="auto"/>
            <w:hideMark/>
          </w:tcPr>
          <w:p w:rsidR="009F0E63" w:rsidRPr="00EE78D1" w:rsidRDefault="009F0E63" w:rsidP="007A5894">
            <w:pPr>
              <w:pStyle w:val="Tablesmalltext"/>
            </w:pPr>
            <w:r w:rsidRPr="00EE78D1">
              <w:t>Swanbank E</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358.9</w:t>
            </w:r>
          </w:p>
        </w:tc>
        <w:tc>
          <w:tcPr>
            <w:tcW w:w="1186" w:type="dxa"/>
            <w:hideMark/>
          </w:tcPr>
          <w:p w:rsidR="009F0E63" w:rsidRPr="00DC3FB7" w:rsidRDefault="009F0E63" w:rsidP="007A5894">
            <w:pPr>
              <w:pStyle w:val="Tablesmalltext"/>
            </w:pPr>
            <w:r w:rsidRPr="00DC3FB7">
              <w:t>2.0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94.2%</w:t>
            </w:r>
          </w:p>
        </w:tc>
        <w:tc>
          <w:tcPr>
            <w:tcW w:w="1134" w:type="dxa"/>
            <w:hideMark/>
          </w:tcPr>
          <w:p w:rsidR="009F0E63" w:rsidRPr="00DC3FB7" w:rsidRDefault="009F0E63" w:rsidP="007A5894">
            <w:pPr>
              <w:pStyle w:val="Tablesmalltext"/>
            </w:pPr>
            <w:r w:rsidRPr="00DC3FB7">
              <w:t>8.10</w:t>
            </w:r>
          </w:p>
        </w:tc>
        <w:tc>
          <w:tcPr>
            <w:tcW w:w="1229" w:type="dxa"/>
          </w:tcPr>
          <w:p w:rsidR="009F0E63" w:rsidRPr="00DC3FB7" w:rsidRDefault="00E32E04" w:rsidP="007A5894">
            <w:pPr>
              <w:pStyle w:val="Tablesmalltext"/>
            </w:pPr>
            <w:r>
              <w:t>3</w:t>
            </w:r>
            <w:r w:rsidR="008E2534">
              <w:t>5</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$5.21</w:t>
            </w:r>
          </w:p>
        </w:tc>
        <w:tc>
          <w:tcPr>
            <w:tcW w:w="1985" w:type="dxa"/>
            <w:hideMark/>
          </w:tcPr>
          <w:p w:rsidR="009F0E63" w:rsidRPr="00DC3FB7" w:rsidRDefault="009F0E63" w:rsidP="007A5894">
            <w:pPr>
              <w:pStyle w:val="Tablesmalltext"/>
            </w:pPr>
            <w:r w:rsidRPr="00DC3FB7">
              <w:t>$45.08</w:t>
            </w:r>
          </w:p>
        </w:tc>
      </w:tr>
      <w:tr w:rsidR="009F0E63" w:rsidRPr="00DC3FB7" w:rsidTr="00744114">
        <w:trPr>
          <w:trHeight w:val="255"/>
        </w:trPr>
        <w:tc>
          <w:tcPr>
            <w:tcW w:w="0" w:type="auto"/>
            <w:hideMark/>
          </w:tcPr>
          <w:p w:rsidR="009F0E63" w:rsidRPr="00EE78D1" w:rsidRDefault="009F0E63" w:rsidP="007A5894">
            <w:pPr>
              <w:pStyle w:val="Tablesmalltext"/>
            </w:pPr>
            <w:r w:rsidRPr="00EE78D1">
              <w:t>Tarong</w:t>
            </w:r>
          </w:p>
        </w:tc>
        <w:tc>
          <w:tcPr>
            <w:tcW w:w="1261" w:type="dxa"/>
            <w:hideMark/>
          </w:tcPr>
          <w:p w:rsidR="009F0E63" w:rsidRPr="00DC3FB7" w:rsidRDefault="009F0E63" w:rsidP="007A5894">
            <w:pPr>
              <w:pStyle w:val="Tablesmalltext"/>
            </w:pPr>
            <w:r w:rsidRPr="00DC3FB7">
              <w:t>4</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1316.0</w:t>
            </w:r>
          </w:p>
        </w:tc>
        <w:tc>
          <w:tcPr>
            <w:tcW w:w="1186" w:type="dxa"/>
            <w:hideMark/>
          </w:tcPr>
          <w:p w:rsidR="009F0E63" w:rsidRPr="00DC3FB7" w:rsidRDefault="009F0E63" w:rsidP="007A5894">
            <w:pPr>
              <w:pStyle w:val="Tablesmalltext"/>
            </w:pPr>
            <w:r w:rsidRPr="00DC3FB7">
              <w:t>1.0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96.0%</w:t>
            </w:r>
          </w:p>
        </w:tc>
        <w:tc>
          <w:tcPr>
            <w:tcW w:w="1134" w:type="dxa"/>
            <w:hideMark/>
          </w:tcPr>
          <w:p w:rsidR="009F0E63" w:rsidRPr="00DC3FB7" w:rsidRDefault="009F0E63" w:rsidP="007A5894">
            <w:pPr>
              <w:pStyle w:val="Tablesmalltext"/>
            </w:pPr>
            <w:r w:rsidRPr="00DC3FB7">
              <w:t>10.50</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$1.19</w:t>
            </w:r>
          </w:p>
        </w:tc>
        <w:tc>
          <w:tcPr>
            <w:tcW w:w="1134" w:type="dxa"/>
            <w:hideMark/>
          </w:tcPr>
          <w:p w:rsidR="009F0E63" w:rsidRPr="00DC3FB7" w:rsidRDefault="009F0E63" w:rsidP="007A5894">
            <w:pPr>
              <w:pStyle w:val="Tablesmalltext"/>
            </w:pPr>
            <w:r w:rsidRPr="00DC3FB7">
              <w:t>$1.50</w:t>
            </w:r>
          </w:p>
        </w:tc>
        <w:tc>
          <w:tcPr>
            <w:tcW w:w="1985" w:type="dxa"/>
            <w:hideMark/>
          </w:tcPr>
          <w:p w:rsidR="009F0E63" w:rsidRPr="00DC3FB7" w:rsidRDefault="009F0E63" w:rsidP="007A5894">
            <w:pPr>
              <w:pStyle w:val="Tablesmalltext"/>
            </w:pPr>
            <w:r w:rsidRPr="00DC3FB7">
              <w:t>$16.94</w:t>
            </w:r>
          </w:p>
        </w:tc>
      </w:tr>
      <w:tr w:rsidR="009F0E63" w:rsidRPr="00DC3FB7" w:rsidTr="00744114">
        <w:trPr>
          <w:trHeight w:val="255"/>
        </w:trPr>
        <w:tc>
          <w:tcPr>
            <w:tcW w:w="0" w:type="auto"/>
            <w:hideMark/>
          </w:tcPr>
          <w:p w:rsidR="009F0E63" w:rsidRPr="00EE78D1" w:rsidRDefault="009F0E63" w:rsidP="007A5894">
            <w:pPr>
              <w:pStyle w:val="Tablesmalltext"/>
            </w:pPr>
            <w:r w:rsidRPr="00EE78D1">
              <w:t>Tarong North</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416.4</w:t>
            </w:r>
          </w:p>
        </w:tc>
        <w:tc>
          <w:tcPr>
            <w:tcW w:w="1186" w:type="dxa"/>
            <w:hideMark/>
          </w:tcPr>
          <w:p w:rsidR="009F0E63" w:rsidRPr="00DC3FB7" w:rsidRDefault="009F0E63" w:rsidP="007A5894">
            <w:pPr>
              <w:pStyle w:val="Tablesmalltext"/>
            </w:pPr>
            <w:r w:rsidRPr="00DC3FB7">
              <w:t>1.0</w:t>
            </w:r>
          </w:p>
        </w:tc>
        <w:tc>
          <w:tcPr>
            <w:tcW w:w="1224" w:type="dxa"/>
            <w:hideMark/>
          </w:tcPr>
          <w:p w:rsidR="009F0E63" w:rsidRPr="00DC3FB7" w:rsidRDefault="009F0E63" w:rsidP="007A5894">
            <w:pPr>
              <w:pStyle w:val="Tablesmalltext"/>
            </w:pPr>
            <w:r w:rsidRPr="00DC3FB7">
              <w:t>0%</w:t>
            </w:r>
          </w:p>
        </w:tc>
        <w:tc>
          <w:tcPr>
            <w:tcW w:w="992" w:type="dxa"/>
            <w:hideMark/>
          </w:tcPr>
          <w:p w:rsidR="009F0E63" w:rsidRPr="00DC3FB7" w:rsidRDefault="009F0E63" w:rsidP="007A5894">
            <w:pPr>
              <w:pStyle w:val="Tablesmalltext"/>
            </w:pPr>
            <w:r w:rsidRPr="00DC3FB7">
              <w:t>98.0%</w:t>
            </w:r>
          </w:p>
        </w:tc>
        <w:tc>
          <w:tcPr>
            <w:tcW w:w="1134" w:type="dxa"/>
            <w:hideMark/>
          </w:tcPr>
          <w:p w:rsidR="009F0E63" w:rsidRPr="00DC3FB7" w:rsidRDefault="009F0E63" w:rsidP="007A5894">
            <w:pPr>
              <w:pStyle w:val="Tablesmalltext"/>
            </w:pPr>
            <w:r w:rsidRPr="00DC3FB7">
              <w:t>9.50</w:t>
            </w:r>
          </w:p>
        </w:tc>
        <w:tc>
          <w:tcPr>
            <w:tcW w:w="1229" w:type="dxa"/>
          </w:tcPr>
          <w:p w:rsidR="009F0E63" w:rsidRPr="00DC3FB7" w:rsidRDefault="00E32E04" w:rsidP="007A5894">
            <w:pPr>
              <w:pStyle w:val="Tablesmalltext"/>
            </w:pPr>
            <w:r>
              <w:t>43</w:t>
            </w:r>
          </w:p>
        </w:tc>
        <w:tc>
          <w:tcPr>
            <w:tcW w:w="1182" w:type="dxa"/>
            <w:hideMark/>
          </w:tcPr>
          <w:p w:rsidR="009F0E63" w:rsidRPr="00DC3FB7" w:rsidRDefault="009F0E63" w:rsidP="007A5894">
            <w:pPr>
              <w:pStyle w:val="Tablesmalltext"/>
            </w:pPr>
            <w:r w:rsidRPr="00DC3FB7">
              <w:t>$1.19</w:t>
            </w:r>
          </w:p>
        </w:tc>
        <w:tc>
          <w:tcPr>
            <w:tcW w:w="1134" w:type="dxa"/>
            <w:hideMark/>
          </w:tcPr>
          <w:p w:rsidR="009F0E63" w:rsidRPr="00DC3FB7" w:rsidRDefault="009F0E63" w:rsidP="007A5894">
            <w:pPr>
              <w:pStyle w:val="Tablesmalltext"/>
            </w:pPr>
            <w:r w:rsidRPr="00DC3FB7">
              <w:t>$1.50</w:t>
            </w:r>
          </w:p>
        </w:tc>
        <w:tc>
          <w:tcPr>
            <w:tcW w:w="1985" w:type="dxa"/>
            <w:hideMark/>
          </w:tcPr>
          <w:p w:rsidR="009F0E63" w:rsidRPr="00DC3FB7" w:rsidRDefault="009F0E63" w:rsidP="007A5894">
            <w:pPr>
              <w:pStyle w:val="Tablesmalltext"/>
            </w:pPr>
            <w:r w:rsidRPr="00DC3FB7">
              <w:t>$15.44</w:t>
            </w:r>
          </w:p>
        </w:tc>
      </w:tr>
      <w:tr w:rsidR="009F0E63" w:rsidRPr="00DC3FB7" w:rsidTr="00744114">
        <w:trPr>
          <w:trHeight w:val="255"/>
        </w:trPr>
        <w:tc>
          <w:tcPr>
            <w:tcW w:w="0" w:type="auto"/>
            <w:hideMark/>
          </w:tcPr>
          <w:p w:rsidR="009F0E63" w:rsidRPr="00EE78D1" w:rsidRDefault="009F0E63" w:rsidP="007A5894">
            <w:pPr>
              <w:pStyle w:val="Tablesmalltext"/>
            </w:pPr>
            <w:r w:rsidRPr="00EE78D1">
              <w:t>Yabulu</w:t>
            </w:r>
          </w:p>
        </w:tc>
        <w:tc>
          <w:tcPr>
            <w:tcW w:w="1261" w:type="dxa"/>
            <w:hideMark/>
          </w:tcPr>
          <w:p w:rsidR="009F0E63" w:rsidRPr="00DC3FB7" w:rsidRDefault="009F0E63" w:rsidP="007A5894">
            <w:pPr>
              <w:pStyle w:val="Tablesmalltext"/>
            </w:pPr>
            <w:r w:rsidRPr="00DC3FB7">
              <w:t>1</w:t>
            </w:r>
          </w:p>
        </w:tc>
        <w:tc>
          <w:tcPr>
            <w:tcW w:w="992" w:type="dxa"/>
            <w:hideMark/>
          </w:tcPr>
          <w:p w:rsidR="009F0E63" w:rsidRPr="00DC3FB7" w:rsidRDefault="009F0E63" w:rsidP="007A5894">
            <w:pPr>
              <w:pStyle w:val="Tablesmalltext"/>
            </w:pPr>
          </w:p>
        </w:tc>
        <w:tc>
          <w:tcPr>
            <w:tcW w:w="992" w:type="dxa"/>
            <w:hideMark/>
          </w:tcPr>
          <w:p w:rsidR="009F0E63" w:rsidRPr="00DC3FB7" w:rsidRDefault="009F0E63" w:rsidP="007A5894">
            <w:pPr>
              <w:pStyle w:val="Tablesmalltext"/>
            </w:pPr>
            <w:r w:rsidRPr="00DC3FB7">
              <w:t>235.7</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92.4%</w:t>
            </w:r>
          </w:p>
        </w:tc>
        <w:tc>
          <w:tcPr>
            <w:tcW w:w="1134" w:type="dxa"/>
            <w:hideMark/>
          </w:tcPr>
          <w:p w:rsidR="009F0E63" w:rsidRPr="00DC3FB7" w:rsidRDefault="009F0E63" w:rsidP="007A5894">
            <w:pPr>
              <w:pStyle w:val="Tablesmalltext"/>
            </w:pPr>
            <w:r w:rsidRPr="00DC3FB7">
              <w:t>7.44</w:t>
            </w:r>
          </w:p>
        </w:tc>
        <w:tc>
          <w:tcPr>
            <w:tcW w:w="1229" w:type="dxa"/>
          </w:tcPr>
          <w:p w:rsidR="009F0E63" w:rsidRPr="00DC3FB7" w:rsidRDefault="00E32E04" w:rsidP="007A5894">
            <w:pPr>
              <w:pStyle w:val="Tablesmalltext"/>
            </w:pPr>
            <w:r>
              <w:t>3</w:t>
            </w:r>
            <w:r w:rsidR="008E2534">
              <w:t>8</w:t>
            </w:r>
          </w:p>
        </w:tc>
        <w:tc>
          <w:tcPr>
            <w:tcW w:w="1182" w:type="dxa"/>
            <w:hideMark/>
          </w:tcPr>
          <w:p w:rsidR="009F0E63" w:rsidRPr="00DC3FB7" w:rsidRDefault="009F0E63" w:rsidP="007A5894">
            <w:pPr>
              <w:pStyle w:val="Tablesmalltext"/>
            </w:pPr>
            <w:r w:rsidRPr="00DC3FB7">
              <w:t>$2.87</w:t>
            </w:r>
          </w:p>
        </w:tc>
        <w:tc>
          <w:tcPr>
            <w:tcW w:w="1134" w:type="dxa"/>
            <w:hideMark/>
          </w:tcPr>
          <w:p w:rsidR="009F0E63" w:rsidRPr="00DC3FB7" w:rsidRDefault="009F0E63" w:rsidP="007A5894">
            <w:pPr>
              <w:pStyle w:val="Tablesmalltext"/>
            </w:pPr>
            <w:r w:rsidRPr="00DC3FB7">
              <w:t>$3.16</w:t>
            </w:r>
          </w:p>
        </w:tc>
        <w:tc>
          <w:tcPr>
            <w:tcW w:w="1985" w:type="dxa"/>
            <w:hideMark/>
          </w:tcPr>
          <w:p w:rsidR="009F0E63" w:rsidRPr="00DC3FB7" w:rsidRDefault="009F0E63" w:rsidP="007A5894">
            <w:pPr>
              <w:pStyle w:val="Tablesmalltext"/>
            </w:pPr>
            <w:r w:rsidRPr="00DC3FB7">
              <w:t>$26.39</w:t>
            </w:r>
          </w:p>
        </w:tc>
      </w:tr>
      <w:tr w:rsidR="009F0E63" w:rsidRPr="00DC3FB7" w:rsidTr="00744114">
        <w:trPr>
          <w:trHeight w:val="255"/>
        </w:trPr>
        <w:tc>
          <w:tcPr>
            <w:tcW w:w="0" w:type="auto"/>
            <w:hideMark/>
          </w:tcPr>
          <w:p w:rsidR="009F0E63" w:rsidRPr="00EE78D1" w:rsidRDefault="009F0E63" w:rsidP="007A5894">
            <w:pPr>
              <w:pStyle w:val="Tablesmalltext"/>
            </w:pPr>
            <w:r w:rsidRPr="00EE78D1">
              <w:t>Qld North CCGT 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2533.9</w:t>
            </w:r>
          </w:p>
        </w:tc>
        <w:tc>
          <w:tcPr>
            <w:tcW w:w="992" w:type="dxa"/>
            <w:hideMark/>
          </w:tcPr>
          <w:p w:rsidR="009F0E63" w:rsidRPr="00DC3FB7" w:rsidRDefault="009F0E63" w:rsidP="007A5894">
            <w:pPr>
              <w:pStyle w:val="Tablesmalltext"/>
            </w:pPr>
            <w:r w:rsidRPr="00DC3FB7">
              <w:t>482.5</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7.87</w:t>
            </w:r>
          </w:p>
        </w:tc>
        <w:tc>
          <w:tcPr>
            <w:tcW w:w="1229" w:type="dxa"/>
          </w:tcPr>
          <w:p w:rsidR="009F0E63" w:rsidRPr="00DC3FB7" w:rsidRDefault="008E2534" w:rsidP="007A5894">
            <w:pPr>
              <w:pStyle w:val="Tablesmalltext"/>
            </w:pPr>
            <w:r>
              <w:t>62</w:t>
            </w:r>
          </w:p>
        </w:tc>
        <w:tc>
          <w:tcPr>
            <w:tcW w:w="1182" w:type="dxa"/>
            <w:hideMark/>
          </w:tcPr>
          <w:p w:rsidR="009F0E63" w:rsidRPr="00DC3FB7" w:rsidRDefault="009F0E63" w:rsidP="007A5894">
            <w:pPr>
              <w:pStyle w:val="Tablesmalltext"/>
            </w:pPr>
            <w:r w:rsidRPr="00DC3FB7">
              <w:t>$4.52</w:t>
            </w:r>
          </w:p>
        </w:tc>
        <w:tc>
          <w:tcPr>
            <w:tcW w:w="1134" w:type="dxa"/>
            <w:hideMark/>
          </w:tcPr>
          <w:p w:rsidR="009F0E63" w:rsidRPr="00DC3FB7" w:rsidRDefault="009F0E63" w:rsidP="007A5894">
            <w:pPr>
              <w:pStyle w:val="Tablesmalltext"/>
            </w:pPr>
            <w:r w:rsidRPr="00DC3FB7">
              <w:t>$9.20</w:t>
            </w:r>
          </w:p>
        </w:tc>
        <w:tc>
          <w:tcPr>
            <w:tcW w:w="1985" w:type="dxa"/>
            <w:hideMark/>
          </w:tcPr>
          <w:p w:rsidR="009F0E63" w:rsidRPr="00DC3FB7" w:rsidRDefault="009F0E63" w:rsidP="007A5894">
            <w:pPr>
              <w:pStyle w:val="Tablesmalltext"/>
            </w:pPr>
            <w:r w:rsidRPr="00DC3FB7">
              <w:t>$76.90</w:t>
            </w:r>
          </w:p>
        </w:tc>
      </w:tr>
      <w:tr w:rsidR="009F0E63" w:rsidRPr="00DC3FB7" w:rsidTr="00744114">
        <w:trPr>
          <w:trHeight w:val="255"/>
        </w:trPr>
        <w:tc>
          <w:tcPr>
            <w:tcW w:w="0" w:type="auto"/>
            <w:hideMark/>
          </w:tcPr>
          <w:p w:rsidR="009F0E63" w:rsidRPr="00EE78D1" w:rsidRDefault="009F0E63" w:rsidP="007A5894">
            <w:pPr>
              <w:pStyle w:val="Tablesmalltext"/>
            </w:pPr>
            <w:r w:rsidRPr="00EE78D1">
              <w:t>Qld North 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902.9</w:t>
            </w:r>
          </w:p>
        </w:tc>
        <w:tc>
          <w:tcPr>
            <w:tcW w:w="992" w:type="dxa"/>
            <w:hideMark/>
          </w:tcPr>
          <w:p w:rsidR="009F0E63" w:rsidRPr="00DC3FB7" w:rsidRDefault="009F0E63" w:rsidP="007A5894">
            <w:pPr>
              <w:pStyle w:val="Tablesmalltext"/>
            </w:pPr>
            <w:r w:rsidRPr="00DC3FB7">
              <w:t>164.7</w:t>
            </w:r>
          </w:p>
        </w:tc>
        <w:tc>
          <w:tcPr>
            <w:tcW w:w="1186" w:type="dxa"/>
            <w:hideMark/>
          </w:tcPr>
          <w:p w:rsidR="009F0E63" w:rsidRPr="00DC3FB7" w:rsidRDefault="009F0E63" w:rsidP="007A5894">
            <w:pPr>
              <w:pStyle w:val="Tablesmalltext"/>
            </w:pPr>
            <w:r w:rsidRPr="00DC3FB7">
              <w:t>1.5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95.2%</w:t>
            </w:r>
          </w:p>
        </w:tc>
        <w:tc>
          <w:tcPr>
            <w:tcW w:w="1134" w:type="dxa"/>
            <w:hideMark/>
          </w:tcPr>
          <w:p w:rsidR="009F0E63" w:rsidRPr="00DC3FB7" w:rsidRDefault="009F0E63" w:rsidP="007A5894">
            <w:pPr>
              <w:pStyle w:val="Tablesmalltext"/>
            </w:pPr>
            <w:r w:rsidRPr="00DC3FB7">
              <w:t>11.36</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$7.22</w:t>
            </w:r>
          </w:p>
        </w:tc>
        <w:tc>
          <w:tcPr>
            <w:tcW w:w="1134" w:type="dxa"/>
            <w:hideMark/>
          </w:tcPr>
          <w:p w:rsidR="009F0E63" w:rsidRPr="00DC3FB7" w:rsidRDefault="009F0E63" w:rsidP="007A5894">
            <w:pPr>
              <w:pStyle w:val="Tablesmalltext"/>
            </w:pPr>
            <w:r w:rsidRPr="00DC3FB7">
              <w:t>$19.42</w:t>
            </w:r>
          </w:p>
        </w:tc>
        <w:tc>
          <w:tcPr>
            <w:tcW w:w="1985" w:type="dxa"/>
            <w:hideMark/>
          </w:tcPr>
          <w:p w:rsidR="009F0E63" w:rsidRPr="00DC3FB7" w:rsidRDefault="009F0E63" w:rsidP="007A5894">
            <w:pPr>
              <w:pStyle w:val="Tablesmalltext"/>
            </w:pPr>
            <w:r w:rsidRPr="00DC3FB7">
              <w:t>$227.80</w:t>
            </w:r>
          </w:p>
        </w:tc>
      </w:tr>
      <w:tr w:rsidR="009F0E63" w:rsidRPr="00DC3FB7" w:rsidTr="00744114">
        <w:trPr>
          <w:trHeight w:val="255"/>
        </w:trPr>
        <w:tc>
          <w:tcPr>
            <w:tcW w:w="0" w:type="auto"/>
            <w:hideMark/>
          </w:tcPr>
          <w:p w:rsidR="009F0E63" w:rsidRPr="00EE78D1" w:rsidRDefault="009F0E63" w:rsidP="007A5894">
            <w:pPr>
              <w:pStyle w:val="Tablesmalltext"/>
            </w:pPr>
            <w:r w:rsidRPr="00EE78D1">
              <w:t>Qld North CCGT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1268.1</w:t>
            </w:r>
          </w:p>
        </w:tc>
        <w:tc>
          <w:tcPr>
            <w:tcW w:w="992" w:type="dxa"/>
            <w:hideMark/>
          </w:tcPr>
          <w:p w:rsidR="009F0E63" w:rsidRPr="00DC3FB7" w:rsidRDefault="009F0E63" w:rsidP="007A5894">
            <w:pPr>
              <w:pStyle w:val="Tablesmalltext"/>
            </w:pPr>
            <w:r w:rsidRPr="00DC3FB7">
              <w:t>239.4</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7.83</w:t>
            </w:r>
          </w:p>
        </w:tc>
        <w:tc>
          <w:tcPr>
            <w:tcW w:w="1229" w:type="dxa"/>
          </w:tcPr>
          <w:p w:rsidR="009F0E63" w:rsidRPr="00DC3FB7" w:rsidRDefault="008E2534" w:rsidP="007A5894">
            <w:pPr>
              <w:pStyle w:val="Tablesmalltext"/>
            </w:pPr>
            <w:r>
              <w:t>38</w:t>
            </w:r>
          </w:p>
        </w:tc>
        <w:tc>
          <w:tcPr>
            <w:tcW w:w="1182" w:type="dxa"/>
            <w:hideMark/>
          </w:tcPr>
          <w:p w:rsidR="009F0E63" w:rsidRPr="00DC3FB7" w:rsidRDefault="009F0E63" w:rsidP="007A5894">
            <w:pPr>
              <w:pStyle w:val="Tablesmalltext"/>
            </w:pPr>
            <w:r w:rsidRPr="00DC3FB7">
              <w:t>$3.61</w:t>
            </w:r>
          </w:p>
        </w:tc>
        <w:tc>
          <w:tcPr>
            <w:tcW w:w="1134" w:type="dxa"/>
            <w:hideMark/>
          </w:tcPr>
          <w:p w:rsidR="009F0E63" w:rsidRPr="00DC3FB7" w:rsidRDefault="009F0E63" w:rsidP="007A5894">
            <w:pPr>
              <w:pStyle w:val="Tablesmalltext"/>
            </w:pPr>
            <w:r w:rsidRPr="00DC3FB7">
              <w:t>$9.20</w:t>
            </w:r>
          </w:p>
        </w:tc>
        <w:tc>
          <w:tcPr>
            <w:tcW w:w="1985" w:type="dxa"/>
            <w:hideMark/>
          </w:tcPr>
          <w:p w:rsidR="009F0E63" w:rsidRPr="00DC3FB7" w:rsidRDefault="009F0E63" w:rsidP="007A5894">
            <w:pPr>
              <w:pStyle w:val="Tablesmalltext"/>
            </w:pPr>
            <w:r w:rsidRPr="00DC3FB7">
              <w:t>$75.63</w:t>
            </w:r>
          </w:p>
        </w:tc>
      </w:tr>
      <w:tr w:rsidR="009F0E63" w:rsidRPr="00DC3FB7" w:rsidTr="00744114">
        <w:trPr>
          <w:trHeight w:val="255"/>
        </w:trPr>
        <w:tc>
          <w:tcPr>
            <w:tcW w:w="0" w:type="auto"/>
            <w:hideMark/>
          </w:tcPr>
          <w:p w:rsidR="009F0E63" w:rsidRPr="00EE78D1" w:rsidRDefault="009F0E63" w:rsidP="007A5894">
            <w:pPr>
              <w:pStyle w:val="Tablesmalltext"/>
            </w:pPr>
            <w:r w:rsidRPr="00EE78D1">
              <w:t>Qld South CCGT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1150.0</w:t>
            </w:r>
          </w:p>
        </w:tc>
        <w:tc>
          <w:tcPr>
            <w:tcW w:w="992" w:type="dxa"/>
            <w:hideMark/>
          </w:tcPr>
          <w:p w:rsidR="009F0E63" w:rsidRPr="00DC3FB7" w:rsidRDefault="009F0E63" w:rsidP="007A5894">
            <w:pPr>
              <w:pStyle w:val="Tablesmalltext"/>
            </w:pPr>
            <w:r w:rsidRPr="00DC3FB7">
              <w:t>385.0</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6.93</w:t>
            </w:r>
          </w:p>
        </w:tc>
        <w:tc>
          <w:tcPr>
            <w:tcW w:w="1229" w:type="dxa"/>
          </w:tcPr>
          <w:p w:rsidR="009F0E63" w:rsidRPr="00DC3FB7" w:rsidRDefault="008E2534" w:rsidP="007A5894">
            <w:pPr>
              <w:pStyle w:val="Tablesmalltext"/>
            </w:pPr>
            <w:r>
              <w:t>35</w:t>
            </w:r>
          </w:p>
        </w:tc>
        <w:tc>
          <w:tcPr>
            <w:tcW w:w="1182" w:type="dxa"/>
            <w:hideMark/>
          </w:tcPr>
          <w:p w:rsidR="009F0E63" w:rsidRPr="00DC3FB7" w:rsidRDefault="009F0E63" w:rsidP="007A5894">
            <w:pPr>
              <w:pStyle w:val="Tablesmalltext"/>
            </w:pPr>
            <w:r w:rsidRPr="00DC3FB7">
              <w:t>$3.67</w:t>
            </w:r>
          </w:p>
        </w:tc>
        <w:tc>
          <w:tcPr>
            <w:tcW w:w="1134" w:type="dxa"/>
            <w:hideMark/>
          </w:tcPr>
          <w:p w:rsidR="009F0E63" w:rsidRPr="00DC3FB7" w:rsidRDefault="009F0E63" w:rsidP="007A5894">
            <w:pPr>
              <w:pStyle w:val="Tablesmalltext"/>
            </w:pPr>
            <w:r w:rsidRPr="00DC3FB7">
              <w:t>$9.67</w:t>
            </w:r>
          </w:p>
        </w:tc>
        <w:tc>
          <w:tcPr>
            <w:tcW w:w="1985" w:type="dxa"/>
            <w:hideMark/>
          </w:tcPr>
          <w:p w:rsidR="009F0E63" w:rsidRPr="00DC3FB7" w:rsidRDefault="009F0E63" w:rsidP="007A5894">
            <w:pPr>
              <w:pStyle w:val="Tablesmalltext"/>
            </w:pPr>
            <w:r w:rsidRPr="00DC3FB7">
              <w:t>$70.65</w:t>
            </w:r>
          </w:p>
        </w:tc>
      </w:tr>
      <w:tr w:rsidR="009F0E63" w:rsidRPr="00DC3FB7" w:rsidTr="00744114">
        <w:trPr>
          <w:trHeight w:val="255"/>
        </w:trPr>
        <w:tc>
          <w:tcPr>
            <w:tcW w:w="0" w:type="auto"/>
            <w:hideMark/>
          </w:tcPr>
          <w:p w:rsidR="009F0E63" w:rsidRPr="00EE78D1" w:rsidRDefault="009F0E63" w:rsidP="007A5894">
            <w:pPr>
              <w:pStyle w:val="Tablesmalltext"/>
            </w:pPr>
            <w:r w:rsidRPr="00EE78D1">
              <w:t>Qld South OCGT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902.9</w:t>
            </w:r>
          </w:p>
        </w:tc>
        <w:tc>
          <w:tcPr>
            <w:tcW w:w="992" w:type="dxa"/>
            <w:hideMark/>
          </w:tcPr>
          <w:p w:rsidR="009F0E63" w:rsidRPr="00DC3FB7" w:rsidRDefault="009F0E63" w:rsidP="007A5894">
            <w:pPr>
              <w:pStyle w:val="Tablesmalltext"/>
            </w:pPr>
            <w:r w:rsidRPr="00DC3FB7">
              <w:t>164.7</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2%</w:t>
            </w:r>
          </w:p>
        </w:tc>
        <w:tc>
          <w:tcPr>
            <w:tcW w:w="992" w:type="dxa"/>
            <w:hideMark/>
          </w:tcPr>
          <w:p w:rsidR="009F0E63" w:rsidRPr="00DC3FB7" w:rsidRDefault="009F0E63" w:rsidP="007A5894">
            <w:pPr>
              <w:pStyle w:val="Tablesmalltext"/>
            </w:pPr>
            <w:r w:rsidRPr="00DC3FB7">
              <w:t>93.3%</w:t>
            </w:r>
          </w:p>
        </w:tc>
        <w:tc>
          <w:tcPr>
            <w:tcW w:w="1134" w:type="dxa"/>
            <w:hideMark/>
          </w:tcPr>
          <w:p w:rsidR="009F0E63" w:rsidRPr="00DC3FB7" w:rsidRDefault="009F0E63" w:rsidP="007A5894">
            <w:pPr>
              <w:pStyle w:val="Tablesmalltext"/>
            </w:pPr>
            <w:r w:rsidRPr="00DC3FB7">
              <w:t>11.36</w:t>
            </w:r>
          </w:p>
        </w:tc>
        <w:tc>
          <w:tcPr>
            <w:tcW w:w="1229" w:type="dxa"/>
          </w:tcPr>
          <w:p w:rsidR="009F0E63" w:rsidRPr="00DC3FB7" w:rsidRDefault="008E2534" w:rsidP="007A5894">
            <w:pPr>
              <w:pStyle w:val="Tablesmalltext"/>
            </w:pPr>
            <w:r>
              <w:t>13</w:t>
            </w:r>
          </w:p>
        </w:tc>
        <w:tc>
          <w:tcPr>
            <w:tcW w:w="1182" w:type="dxa"/>
            <w:hideMark/>
          </w:tcPr>
          <w:p w:rsidR="009F0E63" w:rsidRPr="00DC3FB7" w:rsidRDefault="009F0E63" w:rsidP="007A5894">
            <w:pPr>
              <w:pStyle w:val="Tablesmalltext"/>
            </w:pPr>
            <w:r w:rsidRPr="00DC3FB7">
              <w:t>$7.33</w:t>
            </w:r>
          </w:p>
        </w:tc>
        <w:tc>
          <w:tcPr>
            <w:tcW w:w="1134" w:type="dxa"/>
            <w:hideMark/>
          </w:tcPr>
          <w:p w:rsidR="009F0E63" w:rsidRPr="00DC3FB7" w:rsidRDefault="009F0E63" w:rsidP="007A5894">
            <w:pPr>
              <w:pStyle w:val="Tablesmalltext"/>
            </w:pPr>
            <w:r w:rsidRPr="00DC3FB7">
              <w:t>$20.40</w:t>
            </w:r>
          </w:p>
        </w:tc>
        <w:tc>
          <w:tcPr>
            <w:tcW w:w="1985" w:type="dxa"/>
            <w:hideMark/>
          </w:tcPr>
          <w:p w:rsidR="009F0E63" w:rsidRPr="00DC3FB7" w:rsidRDefault="009F0E63" w:rsidP="007A5894">
            <w:pPr>
              <w:pStyle w:val="Tablesmalltext"/>
            </w:pPr>
            <w:r w:rsidRPr="00DC3FB7">
              <w:t>$239.13</w:t>
            </w:r>
          </w:p>
        </w:tc>
      </w:tr>
      <w:tr w:rsidR="009F0E63" w:rsidRPr="00DC3FB7" w:rsidTr="00744114">
        <w:trPr>
          <w:trHeight w:val="255"/>
        </w:trPr>
        <w:tc>
          <w:tcPr>
            <w:tcW w:w="0" w:type="auto"/>
            <w:hideMark/>
          </w:tcPr>
          <w:p w:rsidR="009F0E63" w:rsidRPr="00EE78D1" w:rsidRDefault="009F0E63" w:rsidP="007A5894">
            <w:pPr>
              <w:pStyle w:val="Tablesmalltext"/>
            </w:pPr>
            <w:r w:rsidRPr="00EE78D1">
              <w:t>Qld South CCGT 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2533.9</w:t>
            </w:r>
          </w:p>
        </w:tc>
        <w:tc>
          <w:tcPr>
            <w:tcW w:w="992" w:type="dxa"/>
            <w:hideMark/>
          </w:tcPr>
          <w:p w:rsidR="009F0E63" w:rsidRPr="00DC3FB7" w:rsidRDefault="009F0E63" w:rsidP="007A5894">
            <w:pPr>
              <w:pStyle w:val="Tablesmalltext"/>
            </w:pPr>
            <w:r w:rsidRPr="00DC3FB7">
              <w:t>482.5</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7.87</w:t>
            </w:r>
          </w:p>
        </w:tc>
        <w:tc>
          <w:tcPr>
            <w:tcW w:w="1229" w:type="dxa"/>
          </w:tcPr>
          <w:p w:rsidR="009F0E63" w:rsidRPr="00DC3FB7" w:rsidRDefault="008E2534" w:rsidP="007A5894">
            <w:pPr>
              <w:pStyle w:val="Tablesmalltext"/>
            </w:pPr>
            <w:r>
              <w:t>62</w:t>
            </w:r>
          </w:p>
        </w:tc>
        <w:tc>
          <w:tcPr>
            <w:tcW w:w="1182" w:type="dxa"/>
            <w:hideMark/>
          </w:tcPr>
          <w:p w:rsidR="009F0E63" w:rsidRPr="00DC3FB7" w:rsidRDefault="009F0E63" w:rsidP="007A5894">
            <w:pPr>
              <w:pStyle w:val="Tablesmalltext"/>
            </w:pPr>
            <w:r w:rsidRPr="00DC3FB7">
              <w:t>$4.59</w:t>
            </w:r>
          </w:p>
        </w:tc>
        <w:tc>
          <w:tcPr>
            <w:tcW w:w="1134" w:type="dxa"/>
            <w:hideMark/>
          </w:tcPr>
          <w:p w:rsidR="009F0E63" w:rsidRPr="00DC3FB7" w:rsidRDefault="009F0E63" w:rsidP="007A5894">
            <w:pPr>
              <w:pStyle w:val="Tablesmalltext"/>
            </w:pPr>
            <w:r w:rsidRPr="00DC3FB7">
              <w:t>$9.67</w:t>
            </w:r>
          </w:p>
        </w:tc>
        <w:tc>
          <w:tcPr>
            <w:tcW w:w="1985" w:type="dxa"/>
            <w:hideMark/>
          </w:tcPr>
          <w:p w:rsidR="009F0E63" w:rsidRPr="00DC3FB7" w:rsidRDefault="009F0E63" w:rsidP="007A5894">
            <w:pPr>
              <w:pStyle w:val="Tablesmalltext"/>
            </w:pPr>
            <w:r w:rsidRPr="00DC3FB7">
              <w:t>$80.66</w:t>
            </w:r>
          </w:p>
        </w:tc>
      </w:tr>
      <w:tr w:rsidR="009F0E63" w:rsidRPr="00DC3FB7" w:rsidTr="00744114">
        <w:trPr>
          <w:trHeight w:val="255"/>
        </w:trPr>
        <w:tc>
          <w:tcPr>
            <w:tcW w:w="0" w:type="auto"/>
            <w:hideMark/>
          </w:tcPr>
          <w:p w:rsidR="009F0E63" w:rsidRPr="00EE78D1" w:rsidRDefault="009F0E63" w:rsidP="007A5894">
            <w:pPr>
              <w:pStyle w:val="Tablesmalltext"/>
            </w:pPr>
            <w:r w:rsidRPr="00EE78D1">
              <w:t>Qld West CCGT 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2533.9</w:t>
            </w:r>
          </w:p>
        </w:tc>
        <w:tc>
          <w:tcPr>
            <w:tcW w:w="992" w:type="dxa"/>
            <w:hideMark/>
          </w:tcPr>
          <w:p w:rsidR="009F0E63" w:rsidRPr="00DC3FB7" w:rsidRDefault="009F0E63" w:rsidP="007A5894">
            <w:pPr>
              <w:pStyle w:val="Tablesmalltext"/>
            </w:pPr>
            <w:r w:rsidRPr="00DC3FB7">
              <w:t>482.5</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7.87</w:t>
            </w:r>
          </w:p>
        </w:tc>
        <w:tc>
          <w:tcPr>
            <w:tcW w:w="1229" w:type="dxa"/>
          </w:tcPr>
          <w:p w:rsidR="009F0E63" w:rsidRPr="00DC3FB7" w:rsidRDefault="008E2534" w:rsidP="007A5894">
            <w:pPr>
              <w:pStyle w:val="Tablesmalltext"/>
            </w:pPr>
            <w:r>
              <w:t>62</w:t>
            </w:r>
          </w:p>
        </w:tc>
        <w:tc>
          <w:tcPr>
            <w:tcW w:w="1182" w:type="dxa"/>
            <w:hideMark/>
          </w:tcPr>
          <w:p w:rsidR="009F0E63" w:rsidRPr="00DC3FB7" w:rsidRDefault="009F0E63" w:rsidP="007A5894">
            <w:pPr>
              <w:pStyle w:val="Tablesmalltext"/>
            </w:pPr>
            <w:r w:rsidRPr="00DC3FB7">
              <w:t>$4.40</w:t>
            </w:r>
          </w:p>
        </w:tc>
        <w:tc>
          <w:tcPr>
            <w:tcW w:w="1134" w:type="dxa"/>
            <w:hideMark/>
          </w:tcPr>
          <w:p w:rsidR="009F0E63" w:rsidRPr="00DC3FB7" w:rsidRDefault="009F0E63" w:rsidP="007A5894">
            <w:pPr>
              <w:pStyle w:val="Tablesmalltext"/>
            </w:pPr>
            <w:r w:rsidRPr="00DC3FB7">
              <w:t>$9.23</w:t>
            </w:r>
          </w:p>
        </w:tc>
        <w:tc>
          <w:tcPr>
            <w:tcW w:w="1985" w:type="dxa"/>
            <w:hideMark/>
          </w:tcPr>
          <w:p w:rsidR="009F0E63" w:rsidRPr="00DC3FB7" w:rsidRDefault="009F0E63" w:rsidP="007A5894">
            <w:pPr>
              <w:pStyle w:val="Tablesmalltext"/>
            </w:pPr>
            <w:r w:rsidRPr="00DC3FB7">
              <w:t>$77.02</w:t>
            </w:r>
          </w:p>
        </w:tc>
      </w:tr>
      <w:tr w:rsidR="009F0E63" w:rsidRPr="00DC3FB7" w:rsidTr="00744114">
        <w:trPr>
          <w:trHeight w:val="255"/>
        </w:trPr>
        <w:tc>
          <w:tcPr>
            <w:tcW w:w="0" w:type="auto"/>
            <w:hideMark/>
          </w:tcPr>
          <w:p w:rsidR="009F0E63" w:rsidRPr="00EE78D1" w:rsidRDefault="009F0E63" w:rsidP="00053D75">
            <w:pPr>
              <w:pStyle w:val="Tablesmalltext"/>
            </w:pPr>
            <w:r w:rsidRPr="00EE78D1">
              <w:t>Qld West</w:t>
            </w:r>
            <w:r w:rsidR="00AA2979">
              <w:t xml:space="preserve"> </w:t>
            </w:r>
            <w:r w:rsidR="00053D75">
              <w:t xml:space="preserve">coal </w:t>
            </w:r>
            <w:r w:rsidRPr="00EE78D1">
              <w:t>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5568.5</w:t>
            </w:r>
          </w:p>
        </w:tc>
        <w:tc>
          <w:tcPr>
            <w:tcW w:w="992" w:type="dxa"/>
            <w:hideMark/>
          </w:tcPr>
          <w:p w:rsidR="009F0E63" w:rsidRPr="00DC3FB7" w:rsidRDefault="009F0E63" w:rsidP="007A5894">
            <w:pPr>
              <w:pStyle w:val="Tablesmalltext"/>
            </w:pPr>
            <w:r w:rsidRPr="00DC3FB7">
              <w:t>396.0</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7%</w:t>
            </w:r>
          </w:p>
        </w:tc>
        <w:tc>
          <w:tcPr>
            <w:tcW w:w="992" w:type="dxa"/>
            <w:hideMark/>
          </w:tcPr>
          <w:p w:rsidR="009F0E63" w:rsidRPr="00DC3FB7" w:rsidRDefault="009F0E63" w:rsidP="007A5894">
            <w:pPr>
              <w:pStyle w:val="Tablesmalltext"/>
            </w:pPr>
            <w:r w:rsidRPr="00DC3FB7">
              <w:t>87.6%</w:t>
            </w:r>
          </w:p>
        </w:tc>
        <w:tc>
          <w:tcPr>
            <w:tcW w:w="1134" w:type="dxa"/>
            <w:hideMark/>
          </w:tcPr>
          <w:p w:rsidR="009F0E63" w:rsidRPr="00DC3FB7" w:rsidRDefault="009F0E63" w:rsidP="007A5894">
            <w:pPr>
              <w:pStyle w:val="Tablesmalltext"/>
            </w:pPr>
            <w:r w:rsidRPr="00DC3FB7">
              <w:t>9.87</w:t>
            </w:r>
          </w:p>
        </w:tc>
        <w:tc>
          <w:tcPr>
            <w:tcW w:w="1229" w:type="dxa"/>
          </w:tcPr>
          <w:p w:rsidR="009F0E63" w:rsidRPr="00DC3FB7" w:rsidRDefault="008E2534" w:rsidP="007A5894">
            <w:pPr>
              <w:pStyle w:val="Tablesmalltext"/>
            </w:pPr>
            <w:r>
              <w:t>157</w:t>
            </w:r>
          </w:p>
        </w:tc>
        <w:tc>
          <w:tcPr>
            <w:tcW w:w="1182" w:type="dxa"/>
            <w:hideMark/>
          </w:tcPr>
          <w:p w:rsidR="009F0E63" w:rsidRPr="00DC3FB7" w:rsidRDefault="009F0E63" w:rsidP="007A5894">
            <w:pPr>
              <w:pStyle w:val="Tablesmalltext"/>
            </w:pPr>
            <w:r w:rsidRPr="00DC3FB7">
              <w:t>$4.67</w:t>
            </w:r>
          </w:p>
        </w:tc>
        <w:tc>
          <w:tcPr>
            <w:tcW w:w="1134" w:type="dxa"/>
            <w:hideMark/>
          </w:tcPr>
          <w:p w:rsidR="009F0E63" w:rsidRPr="00DC3FB7" w:rsidRDefault="009F0E63" w:rsidP="007A5894">
            <w:pPr>
              <w:pStyle w:val="Tablesmalltext"/>
            </w:pPr>
            <w:r w:rsidRPr="00DC3FB7">
              <w:t>$1.42</w:t>
            </w:r>
          </w:p>
        </w:tc>
        <w:tc>
          <w:tcPr>
            <w:tcW w:w="1985" w:type="dxa"/>
            <w:hideMark/>
          </w:tcPr>
          <w:p w:rsidR="009F0E63" w:rsidRPr="00DC3FB7" w:rsidRDefault="009F0E63" w:rsidP="007A5894">
            <w:pPr>
              <w:pStyle w:val="Tablesmalltext"/>
            </w:pPr>
            <w:r w:rsidRPr="00DC3FB7">
              <w:t>$18.66</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Qld Central IGCC</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4717.4</w:t>
            </w:r>
          </w:p>
        </w:tc>
        <w:tc>
          <w:tcPr>
            <w:tcW w:w="992" w:type="dxa"/>
            <w:hideMark/>
          </w:tcPr>
          <w:p w:rsidR="009F0E63" w:rsidRPr="00DC3FB7" w:rsidRDefault="009F0E63" w:rsidP="007A5894">
            <w:pPr>
              <w:pStyle w:val="Tablesmalltext"/>
            </w:pPr>
            <w:r w:rsidRPr="00DC3FB7">
              <w:t>457.2</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7%</w:t>
            </w:r>
          </w:p>
        </w:tc>
        <w:tc>
          <w:tcPr>
            <w:tcW w:w="992" w:type="dxa"/>
            <w:hideMark/>
          </w:tcPr>
          <w:p w:rsidR="009F0E63" w:rsidRPr="00DC3FB7" w:rsidRDefault="009F0E63" w:rsidP="007A5894">
            <w:pPr>
              <w:pStyle w:val="Tablesmalltext"/>
            </w:pPr>
            <w:r w:rsidRPr="00DC3FB7">
              <w:t>87.6%</w:t>
            </w:r>
          </w:p>
        </w:tc>
        <w:tc>
          <w:tcPr>
            <w:tcW w:w="1134" w:type="dxa"/>
            <w:hideMark/>
          </w:tcPr>
          <w:p w:rsidR="009F0E63" w:rsidRPr="00DC3FB7" w:rsidRDefault="009F0E63" w:rsidP="007A5894">
            <w:pPr>
              <w:pStyle w:val="Tablesmalltext"/>
            </w:pPr>
            <w:r w:rsidRPr="00DC3FB7">
              <w:t>8.08</w:t>
            </w:r>
          </w:p>
        </w:tc>
        <w:tc>
          <w:tcPr>
            <w:tcW w:w="1229" w:type="dxa"/>
          </w:tcPr>
          <w:p w:rsidR="009F0E63" w:rsidRPr="00DC3FB7" w:rsidRDefault="008E2534" w:rsidP="007A5894">
            <w:pPr>
              <w:pStyle w:val="Tablesmalltext"/>
            </w:pPr>
            <w:r>
              <w:t>134</w:t>
            </w:r>
          </w:p>
        </w:tc>
        <w:tc>
          <w:tcPr>
            <w:tcW w:w="1182" w:type="dxa"/>
            <w:hideMark/>
          </w:tcPr>
          <w:p w:rsidR="009F0E63" w:rsidRPr="00DC3FB7" w:rsidRDefault="009F0E63" w:rsidP="007A5894">
            <w:pPr>
              <w:pStyle w:val="Tablesmalltext"/>
            </w:pPr>
            <w:r w:rsidRPr="00DC3FB7">
              <w:t>$4.41</w:t>
            </w:r>
          </w:p>
        </w:tc>
        <w:tc>
          <w:tcPr>
            <w:tcW w:w="1134" w:type="dxa"/>
            <w:hideMark/>
          </w:tcPr>
          <w:p w:rsidR="009F0E63" w:rsidRPr="00DC3FB7" w:rsidRDefault="009F0E63" w:rsidP="007A5894">
            <w:pPr>
              <w:pStyle w:val="Tablesmalltext"/>
            </w:pPr>
            <w:r w:rsidRPr="00DC3FB7">
              <w:t>$1.69</w:t>
            </w:r>
          </w:p>
        </w:tc>
        <w:tc>
          <w:tcPr>
            <w:tcW w:w="1985" w:type="dxa"/>
            <w:hideMark/>
          </w:tcPr>
          <w:p w:rsidR="009F0E63" w:rsidRPr="00DC3FB7" w:rsidRDefault="009F0E63" w:rsidP="007A5894">
            <w:pPr>
              <w:pStyle w:val="Tablesmalltext"/>
            </w:pPr>
            <w:r w:rsidRPr="00DC3FB7">
              <w:t>$18.03</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Qld Central CCGT</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1150.0</w:t>
            </w:r>
          </w:p>
        </w:tc>
        <w:tc>
          <w:tcPr>
            <w:tcW w:w="992" w:type="dxa"/>
            <w:hideMark/>
          </w:tcPr>
          <w:p w:rsidR="009F0E63" w:rsidRPr="00DC3FB7" w:rsidRDefault="009F0E63" w:rsidP="007A5894">
            <w:pPr>
              <w:pStyle w:val="Tablesmalltext"/>
            </w:pPr>
            <w:r w:rsidRPr="00DC3FB7">
              <w:t>380.0</w:t>
            </w:r>
          </w:p>
        </w:tc>
        <w:tc>
          <w:tcPr>
            <w:tcW w:w="1186" w:type="dxa"/>
            <w:hideMark/>
          </w:tcPr>
          <w:p w:rsidR="009F0E63" w:rsidRPr="00DC3FB7" w:rsidRDefault="009F0E63" w:rsidP="007A5894">
            <w:pPr>
              <w:pStyle w:val="Tablesmalltext"/>
            </w:pPr>
            <w:r w:rsidRPr="00DC3FB7">
              <w:t>2.5</w:t>
            </w:r>
          </w:p>
        </w:tc>
        <w:tc>
          <w:tcPr>
            <w:tcW w:w="1224" w:type="dxa"/>
            <w:hideMark/>
          </w:tcPr>
          <w:p w:rsidR="009F0E63" w:rsidRPr="00DC3FB7" w:rsidRDefault="009F0E63" w:rsidP="007A5894">
            <w:pPr>
              <w:pStyle w:val="Tablesmalltext"/>
            </w:pPr>
            <w:r w:rsidRPr="00DC3FB7">
              <w:t>3%</w:t>
            </w:r>
          </w:p>
        </w:tc>
        <w:tc>
          <w:tcPr>
            <w:tcW w:w="992" w:type="dxa"/>
            <w:hideMark/>
          </w:tcPr>
          <w:p w:rsidR="009F0E63" w:rsidRPr="00DC3FB7" w:rsidRDefault="009F0E63" w:rsidP="007A5894">
            <w:pPr>
              <w:pStyle w:val="Tablesmalltext"/>
            </w:pPr>
            <w:r w:rsidRPr="00DC3FB7">
              <w:t>92.3%</w:t>
            </w:r>
          </w:p>
        </w:tc>
        <w:tc>
          <w:tcPr>
            <w:tcW w:w="1134" w:type="dxa"/>
            <w:hideMark/>
          </w:tcPr>
          <w:p w:rsidR="009F0E63" w:rsidRPr="00DC3FB7" w:rsidRDefault="009F0E63" w:rsidP="007A5894">
            <w:pPr>
              <w:pStyle w:val="Tablesmalltext"/>
            </w:pPr>
            <w:r w:rsidRPr="00DC3FB7">
              <w:t>6.93</w:t>
            </w:r>
          </w:p>
        </w:tc>
        <w:tc>
          <w:tcPr>
            <w:tcW w:w="1229" w:type="dxa"/>
          </w:tcPr>
          <w:p w:rsidR="009F0E63" w:rsidRPr="00DC3FB7" w:rsidRDefault="008E2534" w:rsidP="007A5894">
            <w:pPr>
              <w:pStyle w:val="Tablesmalltext"/>
            </w:pPr>
            <w:r>
              <w:t>35</w:t>
            </w:r>
          </w:p>
        </w:tc>
        <w:tc>
          <w:tcPr>
            <w:tcW w:w="1182" w:type="dxa"/>
            <w:hideMark/>
          </w:tcPr>
          <w:p w:rsidR="009F0E63" w:rsidRPr="00DC3FB7" w:rsidRDefault="009F0E63" w:rsidP="007A5894">
            <w:pPr>
              <w:pStyle w:val="Tablesmalltext"/>
            </w:pPr>
            <w:r w:rsidRPr="00DC3FB7">
              <w:t>$3.56</w:t>
            </w:r>
          </w:p>
        </w:tc>
        <w:tc>
          <w:tcPr>
            <w:tcW w:w="1134" w:type="dxa"/>
            <w:hideMark/>
          </w:tcPr>
          <w:p w:rsidR="009F0E63" w:rsidRPr="00DC3FB7" w:rsidRDefault="009F0E63" w:rsidP="007A5894">
            <w:pPr>
              <w:pStyle w:val="Tablesmalltext"/>
            </w:pPr>
            <w:r w:rsidRPr="00DC3FB7">
              <w:t>$9.68</w:t>
            </w:r>
          </w:p>
        </w:tc>
        <w:tc>
          <w:tcPr>
            <w:tcW w:w="1985" w:type="dxa"/>
            <w:hideMark/>
          </w:tcPr>
          <w:p w:rsidR="009F0E63" w:rsidRPr="00DC3FB7" w:rsidRDefault="009F0E63" w:rsidP="007A5894">
            <w:pPr>
              <w:pStyle w:val="Tablesmalltext"/>
            </w:pPr>
            <w:r w:rsidRPr="00DC3FB7">
              <w:t>$70.65</w:t>
            </w:r>
          </w:p>
        </w:tc>
      </w:tr>
      <w:tr w:rsidR="009F0E63" w:rsidRPr="00DC3FB7" w:rsidTr="00744114">
        <w:trPr>
          <w:trHeight w:val="255"/>
        </w:trPr>
        <w:tc>
          <w:tcPr>
            <w:tcW w:w="0" w:type="auto"/>
            <w:noWrap/>
            <w:hideMark/>
          </w:tcPr>
          <w:p w:rsidR="009F0E63" w:rsidRPr="00EE78D1" w:rsidRDefault="009F0E63" w:rsidP="007A5894">
            <w:pPr>
              <w:pStyle w:val="Tablesmalltext"/>
            </w:pPr>
            <w:r w:rsidRPr="00EE78D1">
              <w:t>Qld Central</w:t>
            </w:r>
            <w:r w:rsidR="00AA2979">
              <w:t xml:space="preserve"> </w:t>
            </w:r>
            <w:r w:rsidR="00053D75">
              <w:t>coal</w:t>
            </w:r>
            <w:r w:rsidRPr="00EE78D1">
              <w:t xml:space="preserve"> CCS</w:t>
            </w:r>
          </w:p>
        </w:tc>
        <w:tc>
          <w:tcPr>
            <w:tcW w:w="1261" w:type="dxa"/>
            <w:hideMark/>
          </w:tcPr>
          <w:p w:rsidR="009F0E63" w:rsidRPr="00DC3FB7" w:rsidRDefault="009F0E63" w:rsidP="007A5894">
            <w:pPr>
              <w:pStyle w:val="Tablesmalltext"/>
              <w:rPr>
                <w:i/>
                <w:iCs/>
              </w:rPr>
            </w:pPr>
            <w:r w:rsidRPr="00DC3FB7">
              <w:rPr>
                <w:i/>
                <w:iCs/>
              </w:rPr>
              <w:t>Prospective</w:t>
            </w:r>
          </w:p>
        </w:tc>
        <w:tc>
          <w:tcPr>
            <w:tcW w:w="992" w:type="dxa"/>
            <w:hideMark/>
          </w:tcPr>
          <w:p w:rsidR="009F0E63" w:rsidRPr="00DC3FB7" w:rsidRDefault="009F0E63" w:rsidP="007A5894">
            <w:pPr>
              <w:pStyle w:val="Tablesmalltext"/>
            </w:pPr>
            <w:r w:rsidRPr="00DC3FB7">
              <w:t>5568.5</w:t>
            </w:r>
          </w:p>
        </w:tc>
        <w:tc>
          <w:tcPr>
            <w:tcW w:w="992" w:type="dxa"/>
            <w:hideMark/>
          </w:tcPr>
          <w:p w:rsidR="009F0E63" w:rsidRPr="00DC3FB7" w:rsidRDefault="009F0E63" w:rsidP="007A5894">
            <w:pPr>
              <w:pStyle w:val="Tablesmalltext"/>
            </w:pPr>
            <w:r w:rsidRPr="00DC3FB7">
              <w:t>396.0</w:t>
            </w:r>
          </w:p>
        </w:tc>
        <w:tc>
          <w:tcPr>
            <w:tcW w:w="1186" w:type="dxa"/>
            <w:hideMark/>
          </w:tcPr>
          <w:p w:rsidR="009F0E63" w:rsidRPr="00DC3FB7" w:rsidRDefault="009F0E63" w:rsidP="007A5894">
            <w:pPr>
              <w:pStyle w:val="Tablesmalltext"/>
            </w:pPr>
            <w:r w:rsidRPr="00DC3FB7">
              <w:t>3.0</w:t>
            </w:r>
          </w:p>
        </w:tc>
        <w:tc>
          <w:tcPr>
            <w:tcW w:w="1224" w:type="dxa"/>
            <w:hideMark/>
          </w:tcPr>
          <w:p w:rsidR="009F0E63" w:rsidRPr="00DC3FB7" w:rsidRDefault="009F0E63" w:rsidP="007A5894">
            <w:pPr>
              <w:pStyle w:val="Tablesmalltext"/>
            </w:pPr>
            <w:r w:rsidRPr="00DC3FB7">
              <w:t>7%</w:t>
            </w:r>
          </w:p>
        </w:tc>
        <w:tc>
          <w:tcPr>
            <w:tcW w:w="992" w:type="dxa"/>
            <w:hideMark/>
          </w:tcPr>
          <w:p w:rsidR="009F0E63" w:rsidRPr="00DC3FB7" w:rsidRDefault="009F0E63" w:rsidP="007A5894">
            <w:pPr>
              <w:pStyle w:val="Tablesmalltext"/>
            </w:pPr>
            <w:r w:rsidRPr="00DC3FB7">
              <w:t>87.6%</w:t>
            </w:r>
          </w:p>
        </w:tc>
        <w:tc>
          <w:tcPr>
            <w:tcW w:w="1134" w:type="dxa"/>
            <w:hideMark/>
          </w:tcPr>
          <w:p w:rsidR="009F0E63" w:rsidRPr="00DC3FB7" w:rsidRDefault="009F0E63" w:rsidP="007A5894">
            <w:pPr>
              <w:pStyle w:val="Tablesmalltext"/>
            </w:pPr>
            <w:r w:rsidRPr="00DC3FB7">
              <w:t>9.87</w:t>
            </w:r>
          </w:p>
        </w:tc>
        <w:tc>
          <w:tcPr>
            <w:tcW w:w="1229" w:type="dxa"/>
          </w:tcPr>
          <w:p w:rsidR="009F0E63" w:rsidRPr="00DC3FB7" w:rsidRDefault="008E2534" w:rsidP="007A5894">
            <w:pPr>
              <w:pStyle w:val="Tablesmalltext"/>
            </w:pPr>
            <w:r>
              <w:t>157</w:t>
            </w:r>
          </w:p>
        </w:tc>
        <w:tc>
          <w:tcPr>
            <w:tcW w:w="1182" w:type="dxa"/>
            <w:hideMark/>
          </w:tcPr>
          <w:p w:rsidR="009F0E63" w:rsidRPr="00DC3FB7" w:rsidRDefault="009F0E63" w:rsidP="007A5894">
            <w:pPr>
              <w:pStyle w:val="Tablesmalltext"/>
            </w:pPr>
            <w:r w:rsidRPr="00DC3FB7">
              <w:t>$4.78</w:t>
            </w:r>
          </w:p>
        </w:tc>
        <w:tc>
          <w:tcPr>
            <w:tcW w:w="1134" w:type="dxa"/>
            <w:hideMark/>
          </w:tcPr>
          <w:p w:rsidR="009F0E63" w:rsidRPr="00DC3FB7" w:rsidRDefault="009F0E63" w:rsidP="007A5894">
            <w:pPr>
              <w:pStyle w:val="Tablesmalltext"/>
            </w:pPr>
            <w:r w:rsidRPr="00DC3FB7">
              <w:t>$1.69</w:t>
            </w:r>
          </w:p>
        </w:tc>
        <w:tc>
          <w:tcPr>
            <w:tcW w:w="1985" w:type="dxa"/>
            <w:hideMark/>
          </w:tcPr>
          <w:p w:rsidR="009F0E63" w:rsidRPr="00DC3FB7" w:rsidRDefault="009F0E63" w:rsidP="007A5894">
            <w:pPr>
              <w:pStyle w:val="Tablesmalltext"/>
            </w:pPr>
            <w:r w:rsidRPr="00DC3FB7">
              <w:t>$21.42</w:t>
            </w:r>
          </w:p>
        </w:tc>
      </w:tr>
    </w:tbl>
    <w:p w:rsidR="00D03179" w:rsidRDefault="00D03179" w:rsidP="009E0DE2">
      <w:pPr>
        <w:pStyle w:val="Para0"/>
      </w:pPr>
      <w:r w:rsidRPr="00F729D7">
        <w:rPr>
          <w:sz w:val="16"/>
          <w:szCs w:val="16"/>
        </w:rPr>
        <w:t xml:space="preserve">Source: </w:t>
      </w:r>
      <w:proofErr w:type="gramStart"/>
      <w:r w:rsidRPr="00F729D7">
        <w:rPr>
          <w:sz w:val="16"/>
          <w:szCs w:val="16"/>
        </w:rPr>
        <w:t>Jacobs</w:t>
      </w:r>
      <w:proofErr w:type="gramEnd"/>
      <w:r w:rsidRPr="00F729D7">
        <w:rPr>
          <w:sz w:val="16"/>
          <w:szCs w:val="16"/>
        </w:rPr>
        <w:t xml:space="preserve"> data base of generation cost</w:t>
      </w:r>
      <w:r>
        <w:rPr>
          <w:sz w:val="16"/>
          <w:szCs w:val="16"/>
        </w:rPr>
        <w:t>s</w:t>
      </w:r>
      <w:r w:rsidRPr="00815E87">
        <w:rPr>
          <w:sz w:val="16"/>
          <w:szCs w:val="16"/>
        </w:rPr>
        <w:t>, which in turn is based on market data published by AEMO</w:t>
      </w:r>
      <w:r w:rsidRPr="00F729D7">
        <w:rPr>
          <w:sz w:val="16"/>
          <w:szCs w:val="16"/>
        </w:rPr>
        <w:t>, annual reports of generators and fuel suppliers, ASX announcements and other media releases</w:t>
      </w:r>
      <w:r>
        <w:t>.</w:t>
      </w:r>
    </w:p>
    <w:p w:rsidR="00744114" w:rsidRDefault="00744114" w:rsidP="009E0DE2">
      <w:pPr>
        <w:pStyle w:val="Para0"/>
        <w:rPr>
          <w:b/>
          <w:u w:val="single"/>
        </w:rPr>
      </w:pPr>
    </w:p>
    <w:p w:rsidR="009E0DE2" w:rsidRPr="00D03179" w:rsidRDefault="00533BC0" w:rsidP="009E0DE2">
      <w:pPr>
        <w:pStyle w:val="Para0"/>
        <w:rPr>
          <w:b/>
          <w:u w:val="single"/>
        </w:rPr>
      </w:pPr>
      <w:r w:rsidRPr="00D03179">
        <w:rPr>
          <w:b/>
          <w:u w:val="single"/>
        </w:rPr>
        <w:t>SWIS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271"/>
        <w:gridCol w:w="1415"/>
        <w:gridCol w:w="1533"/>
        <w:gridCol w:w="1428"/>
        <w:gridCol w:w="1228"/>
        <w:gridCol w:w="1262"/>
        <w:gridCol w:w="1262"/>
        <w:gridCol w:w="1262"/>
        <w:gridCol w:w="1262"/>
        <w:gridCol w:w="1262"/>
        <w:gridCol w:w="1262"/>
      </w:tblGrid>
      <w:tr w:rsidR="005C3320" w:rsidRPr="00533BC0" w:rsidTr="005C3320">
        <w:trPr>
          <w:tblHead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C3320" w:rsidRPr="00D03179" w:rsidRDefault="005C3320">
            <w:pPr>
              <w:pStyle w:val="TableFontH"/>
              <w:rPr>
                <w:color w:val="auto"/>
                <w:sz w:val="16"/>
                <w:szCs w:val="16"/>
              </w:rPr>
            </w:pPr>
            <w:r w:rsidRPr="00D03179">
              <w:rPr>
                <w:color w:val="auto"/>
                <w:sz w:val="16"/>
                <w:szCs w:val="16"/>
              </w:rPr>
              <w:t>Station</w:t>
            </w:r>
          </w:p>
        </w:tc>
        <w:tc>
          <w:tcPr>
            <w:tcW w:w="14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C3320" w:rsidRPr="00D03179" w:rsidRDefault="005C3320">
            <w:pPr>
              <w:pStyle w:val="TableFontH"/>
              <w:rPr>
                <w:color w:val="auto"/>
                <w:sz w:val="16"/>
                <w:szCs w:val="16"/>
              </w:rPr>
            </w:pPr>
            <w:r w:rsidRPr="00D03179">
              <w:rPr>
                <w:color w:val="auto"/>
                <w:sz w:val="16"/>
                <w:szCs w:val="16"/>
              </w:rPr>
              <w:t>Type</w:t>
            </w:r>
          </w:p>
        </w:tc>
        <w:tc>
          <w:tcPr>
            <w:tcW w:w="15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C3320" w:rsidRPr="00D03179" w:rsidRDefault="005C3320">
            <w:pPr>
              <w:pStyle w:val="TableFontH"/>
              <w:rPr>
                <w:color w:val="auto"/>
                <w:sz w:val="16"/>
                <w:szCs w:val="16"/>
              </w:rPr>
            </w:pPr>
            <w:r w:rsidRPr="00D03179">
              <w:rPr>
                <w:color w:val="auto"/>
                <w:sz w:val="16"/>
                <w:szCs w:val="16"/>
              </w:rPr>
              <w:t>Capacity in summer peak, MW sent out</w:t>
            </w:r>
          </w:p>
        </w:tc>
        <w:tc>
          <w:tcPr>
            <w:tcW w:w="1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C3320" w:rsidRPr="00D03179" w:rsidRDefault="005C3320">
            <w:pPr>
              <w:pStyle w:val="TableFontH"/>
              <w:jc w:val="center"/>
              <w:rPr>
                <w:color w:val="auto"/>
                <w:sz w:val="16"/>
                <w:szCs w:val="16"/>
              </w:rPr>
            </w:pPr>
            <w:r w:rsidRPr="00D03179">
              <w:rPr>
                <w:color w:val="auto"/>
                <w:sz w:val="16"/>
                <w:szCs w:val="16"/>
              </w:rPr>
              <w:t>Maintenance (%)</w:t>
            </w:r>
          </w:p>
        </w:tc>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C3320" w:rsidRPr="00D03179" w:rsidRDefault="005C3320">
            <w:pPr>
              <w:pStyle w:val="TableFontH"/>
              <w:jc w:val="center"/>
              <w:rPr>
                <w:color w:val="auto"/>
                <w:sz w:val="16"/>
                <w:szCs w:val="16"/>
              </w:rPr>
            </w:pPr>
            <w:r w:rsidRPr="00D03179">
              <w:rPr>
                <w:color w:val="auto"/>
                <w:sz w:val="16"/>
                <w:szCs w:val="16"/>
              </w:rPr>
              <w:t>Forced outage (%)</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3320" w:rsidRPr="008B2D83" w:rsidRDefault="005C3320" w:rsidP="008B2D83">
            <w:pPr>
              <w:pStyle w:val="TableFontH"/>
              <w:jc w:val="center"/>
              <w:rPr>
                <w:color w:val="auto"/>
                <w:sz w:val="16"/>
                <w:szCs w:val="16"/>
              </w:rPr>
            </w:pPr>
            <w:r w:rsidRPr="00D03179">
              <w:rPr>
                <w:color w:val="auto"/>
                <w:sz w:val="16"/>
                <w:szCs w:val="16"/>
              </w:rPr>
              <w:t>Available capacity factor</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C3320" w:rsidRPr="00D03179" w:rsidRDefault="005C3320">
            <w:pPr>
              <w:pStyle w:val="TableFontH"/>
              <w:jc w:val="center"/>
              <w:rPr>
                <w:color w:val="auto"/>
                <w:sz w:val="16"/>
                <w:szCs w:val="16"/>
              </w:rPr>
            </w:pPr>
            <w:r w:rsidRPr="00D03179">
              <w:rPr>
                <w:color w:val="auto"/>
                <w:sz w:val="16"/>
                <w:szCs w:val="16"/>
              </w:rPr>
              <w:t>Heat rate GJ/MWh</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3320" w:rsidRPr="00D03179" w:rsidRDefault="005C3320">
            <w:pPr>
              <w:pStyle w:val="TableFontH"/>
              <w:jc w:val="center"/>
              <w:rPr>
                <w:color w:val="auto"/>
                <w:sz w:val="16"/>
                <w:szCs w:val="16"/>
              </w:rPr>
            </w:pPr>
            <w:r w:rsidRPr="00D03179">
              <w:rPr>
                <w:color w:val="auto"/>
                <w:sz w:val="16"/>
                <w:szCs w:val="16"/>
              </w:rPr>
              <w:t>Fixed costs ($000s/yr)</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3320" w:rsidRPr="00D03179" w:rsidRDefault="005C3320">
            <w:pPr>
              <w:pStyle w:val="TableFontH"/>
              <w:jc w:val="center"/>
              <w:rPr>
                <w:color w:val="auto"/>
                <w:sz w:val="16"/>
                <w:szCs w:val="16"/>
              </w:rPr>
            </w:pPr>
            <w:r w:rsidRPr="00D03179">
              <w:rPr>
                <w:color w:val="auto"/>
                <w:sz w:val="16"/>
                <w:szCs w:val="16"/>
              </w:rPr>
              <w:t>Variable costs ($/MWh)</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3320" w:rsidRDefault="005C3320">
            <w:pPr>
              <w:pStyle w:val="TableFontH"/>
              <w:jc w:val="center"/>
              <w:rPr>
                <w:color w:val="auto"/>
                <w:sz w:val="16"/>
                <w:szCs w:val="16"/>
              </w:rPr>
            </w:pPr>
            <w:r>
              <w:rPr>
                <w:color w:val="auto"/>
                <w:sz w:val="16"/>
                <w:szCs w:val="16"/>
              </w:rPr>
              <w:t>Variable Fuel cost $/GJ</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3320" w:rsidRPr="008B2D83" w:rsidRDefault="005C3320">
            <w:pPr>
              <w:pStyle w:val="TableFontH"/>
              <w:jc w:val="center"/>
              <w:rPr>
                <w:color w:val="auto"/>
                <w:sz w:val="16"/>
                <w:szCs w:val="16"/>
              </w:rPr>
            </w:pPr>
            <w:r>
              <w:rPr>
                <w:color w:val="auto"/>
                <w:sz w:val="16"/>
                <w:szCs w:val="16"/>
              </w:rPr>
              <w:t>Total variable costs $/MWh</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Albany</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Wind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12 x 1.8</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Mumbida</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Wind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55</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 xml:space="preserve">Greenough </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Solar PV</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10</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97.0%</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Collie A</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Steam</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304</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92.1%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12,000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3.14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36.40</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Muja A/B</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Steam</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4 x 60</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88.4%</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13.0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16,000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9</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3.41</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53.33</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Muja C</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Steam</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 x 185.5</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4</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92.2%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11.0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12,500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3.41</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44.01</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Muja D</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Steam</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 x 200</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4</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93.1%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10.5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12,000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3.41</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41.81</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Kwinana C</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Steam</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 x 180.5</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4</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90.2%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10.8</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17,000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8</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78.2</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Kwinana GT</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16</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2</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95.1%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15.5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9</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109.75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Pinjar A,B</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6 x 29</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91.2%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13.5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92.75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Pinjar C</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 x 91.5</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91.2%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12.5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86.75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Pinjar D</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123</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91.2%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12.5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86.75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Mungarra</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3 x 29</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91.2%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13.5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92.75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Geraldton</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16</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2</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95.1%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15.5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315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Kalgoorlie</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48</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2</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95.1%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14.5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295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Cockburn</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CCGT</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2*120</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4</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7.5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11,000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51.75</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LMS100</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OCGT</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2*100</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10.8</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2,800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75.2</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Worsley</w:t>
            </w:r>
            <w:r>
              <w:rPr>
                <w:sz w:val="16"/>
                <w:szCs w:val="16"/>
                <w:vertAlign w:val="subscript"/>
              </w:rPr>
              <w:t>1</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70</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4</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94.1%</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8.0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57</w:t>
            </w:r>
          </w:p>
        </w:tc>
      </w:tr>
      <w:tr w:rsidR="002E03B9" w:rsidTr="00EC606D">
        <w:tc>
          <w:tcPr>
            <w:tcW w:w="1271"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Tiwest</w:t>
            </w:r>
          </w:p>
        </w:tc>
        <w:tc>
          <w:tcPr>
            <w:tcW w:w="1415" w:type="dxa"/>
            <w:tcBorders>
              <w:top w:val="single" w:sz="4" w:space="0" w:color="auto"/>
              <w:left w:val="single" w:sz="4" w:space="0" w:color="auto"/>
              <w:bottom w:val="single" w:sz="4" w:space="0" w:color="auto"/>
              <w:right w:val="single" w:sz="4" w:space="0" w:color="auto"/>
            </w:tcBorders>
            <w:hideMark/>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rPr>
                <w:rFonts w:cs="Arial"/>
                <w:sz w:val="16"/>
                <w:szCs w:val="16"/>
              </w:rPr>
            </w:pPr>
            <w:r w:rsidRPr="000350FF">
              <w:rPr>
                <w:rFonts w:cs="Arial"/>
                <w:sz w:val="16"/>
                <w:szCs w:val="16"/>
              </w:rPr>
              <w:t>29</w:t>
            </w:r>
          </w:p>
        </w:tc>
        <w:tc>
          <w:tcPr>
            <w:tcW w:w="14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6</w:t>
            </w:r>
          </w:p>
        </w:tc>
        <w:tc>
          <w:tcPr>
            <w:tcW w:w="1228"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3</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91.2%</w:t>
            </w:r>
          </w:p>
        </w:tc>
        <w:tc>
          <w:tcPr>
            <w:tcW w:w="1262" w:type="dxa"/>
            <w:tcBorders>
              <w:top w:val="single" w:sz="4" w:space="0" w:color="auto"/>
              <w:left w:val="single" w:sz="4" w:space="0" w:color="auto"/>
              <w:bottom w:val="single" w:sz="4" w:space="0" w:color="auto"/>
              <w:right w:val="single" w:sz="4" w:space="0" w:color="auto"/>
            </w:tcBorders>
            <w:hideMark/>
          </w:tcPr>
          <w:p w:rsidR="002E03B9" w:rsidRPr="000350FF" w:rsidRDefault="002E03B9">
            <w:pPr>
              <w:pStyle w:val="TableFont"/>
              <w:jc w:val="center"/>
              <w:rPr>
                <w:rFonts w:cs="Arial"/>
                <w:sz w:val="16"/>
                <w:szCs w:val="16"/>
              </w:rPr>
            </w:pPr>
            <w:r w:rsidRPr="000350FF">
              <w:rPr>
                <w:rFonts w:cs="Arial"/>
                <w:sz w:val="16"/>
                <w:szCs w:val="16"/>
              </w:rPr>
              <w:t>9.0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63.5</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Alcoa</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212</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3.8</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94.3%</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12.0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6,000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83</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BP/Mission</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100</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3.8</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94.3%</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8.0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2,800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57</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 xml:space="preserve">Southern Cross </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120</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3.8</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92.4%</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11.7, 12.7</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1,680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80.05</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Goldfields Power</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90</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3.8</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95.2%</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9.5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1,260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65.75</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Worsley</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27</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3.8</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94.3%</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8.0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756</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56</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NewGen</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CCGT</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350</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3.0</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2.0</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95.1%</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7.4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11,900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50.1</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Kemerton</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Gas turbine</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308</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1.0</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1.5</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97.5%</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12.2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4,312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84.3</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Alinta Wagerup</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351</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3.0</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2.0</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95.1%</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11.2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9,828</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74.8</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Alinta Pinjarra</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Cogeneration</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266</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2.0</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2.0</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96.0%</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7,448</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6.5</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44.25</w:t>
            </w:r>
          </w:p>
        </w:tc>
      </w:tr>
      <w:tr w:rsidR="002E03B9" w:rsidTr="00EC606D">
        <w:tc>
          <w:tcPr>
            <w:tcW w:w="1271"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t>Bluewaters</w:t>
            </w:r>
          </w:p>
        </w:tc>
        <w:tc>
          <w:tcPr>
            <w:tcW w:w="1415" w:type="dxa"/>
            <w:tcBorders>
              <w:top w:val="single" w:sz="4" w:space="0" w:color="auto"/>
              <w:left w:val="single" w:sz="4" w:space="0" w:color="auto"/>
              <w:bottom w:val="single" w:sz="4" w:space="0" w:color="auto"/>
              <w:right w:val="single" w:sz="4" w:space="0" w:color="auto"/>
            </w:tcBorders>
          </w:tcPr>
          <w:p w:rsidR="002E03B9" w:rsidRDefault="002E03B9">
            <w:pPr>
              <w:pStyle w:val="TableFont"/>
              <w:rPr>
                <w:sz w:val="16"/>
                <w:szCs w:val="16"/>
              </w:rPr>
            </w:pPr>
            <w:r>
              <w:rPr>
                <w:sz w:val="16"/>
                <w:szCs w:val="16"/>
              </w:rPr>
              <w:t>Steam</w:t>
            </w:r>
          </w:p>
        </w:tc>
        <w:tc>
          <w:tcPr>
            <w:tcW w:w="1533"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rPr>
                <w:rFonts w:cs="Arial"/>
                <w:sz w:val="16"/>
                <w:szCs w:val="16"/>
              </w:rPr>
            </w:pPr>
            <w:r w:rsidRPr="000350FF">
              <w:rPr>
                <w:rFonts w:cs="Arial"/>
                <w:sz w:val="16"/>
                <w:szCs w:val="16"/>
              </w:rPr>
              <w:t>400</w:t>
            </w:r>
          </w:p>
        </w:tc>
        <w:tc>
          <w:tcPr>
            <w:tcW w:w="14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3.0</w:t>
            </w:r>
          </w:p>
        </w:tc>
        <w:tc>
          <w:tcPr>
            <w:tcW w:w="1228"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3.0</w:t>
            </w:r>
          </w:p>
        </w:tc>
        <w:tc>
          <w:tcPr>
            <w:tcW w:w="1262" w:type="dxa"/>
            <w:tcBorders>
              <w:top w:val="single" w:sz="4" w:space="0" w:color="auto"/>
              <w:left w:val="single" w:sz="4" w:space="0" w:color="auto"/>
              <w:bottom w:val="single" w:sz="4" w:space="0" w:color="auto"/>
              <w:right w:val="single" w:sz="4" w:space="0" w:color="auto"/>
            </w:tcBorders>
            <w:vAlign w:val="bottom"/>
          </w:tcPr>
          <w:p w:rsidR="002E03B9" w:rsidRPr="000350FF" w:rsidRDefault="002E03B9">
            <w:pPr>
              <w:pStyle w:val="TableFont"/>
              <w:jc w:val="center"/>
              <w:rPr>
                <w:rFonts w:cs="Arial"/>
                <w:sz w:val="16"/>
                <w:szCs w:val="16"/>
              </w:rPr>
            </w:pPr>
            <w:r w:rsidRPr="000350FF">
              <w:rPr>
                <w:rFonts w:cs="Arial"/>
                <w:sz w:val="16"/>
                <w:szCs w:val="16"/>
              </w:rPr>
              <w:t>94.1%</w:t>
            </w:r>
          </w:p>
        </w:tc>
        <w:tc>
          <w:tcPr>
            <w:tcW w:w="1262" w:type="dxa"/>
            <w:tcBorders>
              <w:top w:val="single" w:sz="4" w:space="0" w:color="auto"/>
              <w:left w:val="single" w:sz="4" w:space="0" w:color="auto"/>
              <w:bottom w:val="single" w:sz="4" w:space="0" w:color="auto"/>
              <w:right w:val="single" w:sz="4" w:space="0" w:color="auto"/>
            </w:tcBorders>
          </w:tcPr>
          <w:p w:rsidR="002E03B9" w:rsidRPr="000350FF" w:rsidRDefault="002E03B9">
            <w:pPr>
              <w:pStyle w:val="TableFont"/>
              <w:jc w:val="center"/>
              <w:rPr>
                <w:rFonts w:cs="Arial"/>
                <w:sz w:val="16"/>
                <w:szCs w:val="16"/>
              </w:rPr>
            </w:pPr>
            <w:r w:rsidRPr="000350FF">
              <w:rPr>
                <w:rFonts w:cs="Arial"/>
                <w:sz w:val="16"/>
                <w:szCs w:val="16"/>
              </w:rPr>
              <w:t>9.7</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17,200</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2</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3.14</w:t>
            </w:r>
          </w:p>
        </w:tc>
        <w:tc>
          <w:tcPr>
            <w:tcW w:w="1262" w:type="dxa"/>
            <w:tcBorders>
              <w:top w:val="single" w:sz="4" w:space="0" w:color="auto"/>
              <w:left w:val="single" w:sz="4" w:space="0" w:color="auto"/>
              <w:bottom w:val="single" w:sz="4" w:space="0" w:color="auto"/>
              <w:right w:val="single" w:sz="4" w:space="0" w:color="auto"/>
            </w:tcBorders>
            <w:vAlign w:val="center"/>
          </w:tcPr>
          <w:p w:rsidR="002E03B9" w:rsidRPr="000350FF" w:rsidRDefault="002E03B9">
            <w:pPr>
              <w:pStyle w:val="TableFont"/>
              <w:jc w:val="center"/>
              <w:rPr>
                <w:rFonts w:cs="Arial"/>
                <w:sz w:val="16"/>
                <w:szCs w:val="16"/>
              </w:rPr>
            </w:pPr>
            <w:r w:rsidRPr="000350FF">
              <w:rPr>
                <w:rFonts w:cs="Arial"/>
                <w:sz w:val="16"/>
                <w:szCs w:val="16"/>
              </w:rPr>
              <w:t>32.4</w:t>
            </w:r>
            <w:r w:rsidR="000350FF">
              <w:rPr>
                <w:rFonts w:cs="Arial"/>
                <w:sz w:val="16"/>
                <w:szCs w:val="16"/>
              </w:rPr>
              <w:t>6</w:t>
            </w:r>
          </w:p>
        </w:tc>
      </w:tr>
    </w:tbl>
    <w:p w:rsidR="00F67BCA" w:rsidRPr="00F67BCA" w:rsidRDefault="00D03179" w:rsidP="000B776F">
      <w:pPr>
        <w:spacing w:after="0" w:line="240" w:lineRule="auto"/>
      </w:pPr>
      <w:r w:rsidRPr="00F729D7">
        <w:rPr>
          <w:sz w:val="16"/>
          <w:szCs w:val="16"/>
        </w:rPr>
        <w:t xml:space="preserve">Source: </w:t>
      </w:r>
      <w:proofErr w:type="gramStart"/>
      <w:r w:rsidRPr="00F729D7">
        <w:rPr>
          <w:sz w:val="16"/>
          <w:szCs w:val="16"/>
        </w:rPr>
        <w:t>Jacobs</w:t>
      </w:r>
      <w:proofErr w:type="gramEnd"/>
      <w:r w:rsidRPr="00F729D7">
        <w:rPr>
          <w:sz w:val="16"/>
          <w:szCs w:val="16"/>
        </w:rPr>
        <w:t xml:space="preserve"> data base of generation cost</w:t>
      </w:r>
      <w:r>
        <w:rPr>
          <w:sz w:val="16"/>
          <w:szCs w:val="16"/>
        </w:rPr>
        <w:t>s</w:t>
      </w:r>
      <w:r w:rsidRPr="00815E87">
        <w:rPr>
          <w:sz w:val="16"/>
          <w:szCs w:val="16"/>
        </w:rPr>
        <w:t xml:space="preserve">, which in turn is based on market data published by </w:t>
      </w:r>
      <w:r>
        <w:rPr>
          <w:sz w:val="16"/>
          <w:szCs w:val="16"/>
        </w:rPr>
        <w:t>IMO</w:t>
      </w:r>
      <w:r w:rsidRPr="00F729D7">
        <w:rPr>
          <w:sz w:val="16"/>
          <w:szCs w:val="16"/>
        </w:rPr>
        <w:t>, annual reports of generators and fuel suppliers, ASX announcements and other media releases</w:t>
      </w:r>
      <w:r>
        <w:t>.</w:t>
      </w:r>
      <w:bookmarkStart w:id="183" w:name="_Toc419133422"/>
      <w:bookmarkEnd w:id="183"/>
    </w:p>
    <w:sectPr w:rsidR="00F67BCA" w:rsidRPr="00F67BCA" w:rsidSect="00BA468B">
      <w:pgSz w:w="16840" w:h="11901" w:orient="landscape" w:code="9"/>
      <w:pgMar w:top="1134" w:right="567" w:bottom="851" w:left="851" w:header="567" w:footer="369" w:gutter="0"/>
      <w:cols w:space="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569" w:rsidRDefault="00733569" w:rsidP="00EA3E55">
      <w:pPr>
        <w:spacing w:after="0" w:line="240" w:lineRule="auto"/>
      </w:pPr>
      <w:r>
        <w:separator/>
      </w:r>
    </w:p>
  </w:endnote>
  <w:endnote w:type="continuationSeparator" w:id="0">
    <w:p w:rsidR="00733569" w:rsidRDefault="00733569"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KM Helv Light">
    <w:altName w:val="Courier New"/>
    <w:charset w:val="00"/>
    <w:family w:val="auto"/>
    <w:pitch w:val="variable"/>
    <w:sig w:usb0="00000001" w:usb1="00000000" w:usb2="00000000" w:usb3="00000000" w:csb0="0000001B" w:csb1="00000000"/>
  </w:font>
  <w:font w:name="Arial 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wis721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MBKL+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Whitney-LightItalic">
    <w:panose1 w:val="00000000000000000000"/>
    <w:charset w:val="00"/>
    <w:family w:val="swiss"/>
    <w:notTrueType/>
    <w:pitch w:val="default"/>
    <w:sig w:usb0="00000003" w:usb1="00000000" w:usb2="00000000" w:usb3="00000000" w:csb0="00000001" w:csb1="00000000"/>
  </w:font>
  <w:font w:name="Whitney-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Default="007335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Pr="00446DC1" w:rsidRDefault="00733569" w:rsidP="0010488E">
    <w:pPr>
      <w:pStyle w:val="Para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Default="00733569" w:rsidP="0010488E">
    <w:pPr>
      <w:pStyle w:val="Para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Pr="001A5FC3" w:rsidRDefault="00733569" w:rsidP="00BA5BE3">
    <w:pPr>
      <w:pStyle w:val="Footer"/>
      <w:rPr>
        <w:b w:val="0"/>
      </w:rPr>
    </w:pPr>
    <w:r w:rsidRPr="00B937BF">
      <w:rPr>
        <w:b w:val="0"/>
      </w:rPr>
      <w:tab/>
    </w:r>
    <w:r w:rsidRPr="00B937BF">
      <w:rPr>
        <w:b w:val="0"/>
      </w:rPr>
      <w:fldChar w:fldCharType="begin"/>
    </w:r>
    <w:r w:rsidRPr="00B937BF">
      <w:rPr>
        <w:b w:val="0"/>
      </w:rPr>
      <w:instrText xml:space="preserve"> PAGE  \* roman  \* MERGEFORMAT </w:instrText>
    </w:r>
    <w:r w:rsidRPr="00B937BF">
      <w:rPr>
        <w:b w:val="0"/>
      </w:rPr>
      <w:fldChar w:fldCharType="separate"/>
    </w:r>
    <w:r w:rsidR="00A11809">
      <w:rPr>
        <w:b w:val="0"/>
        <w:noProof/>
      </w:rPr>
      <w:t>ii</w:t>
    </w:r>
    <w:r w:rsidRPr="00B937BF">
      <w:rPr>
        <w:b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Pr="001A5FC3" w:rsidRDefault="00733569" w:rsidP="0010488E">
    <w:pPr>
      <w:pStyle w:val="Footer"/>
      <w:rPr>
        <w:b w:val="0"/>
      </w:rPr>
    </w:pPr>
    <w:r w:rsidRPr="001A5FC3">
      <w:rPr>
        <w:b w:val="0"/>
      </w:rPr>
      <w:fldChar w:fldCharType="begin"/>
    </w:r>
    <w:r w:rsidRPr="001A5FC3">
      <w:rPr>
        <w:b w:val="0"/>
      </w:rPr>
      <w:instrText xml:space="preserve"> DOCPROPERTY  "Document Number"  \* MERGEFORMAT </w:instrText>
    </w:r>
    <w:r w:rsidRPr="001A5FC3">
      <w:rPr>
        <w:b w:val="0"/>
      </w:rPr>
      <w:fldChar w:fldCharType="separate"/>
    </w:r>
    <w:r w:rsidR="00014844">
      <w:rPr>
        <w:b w:val="0"/>
      </w:rPr>
      <w:t>Draft</w:t>
    </w:r>
    <w:r w:rsidRPr="001A5FC3">
      <w:rPr>
        <w:b w:val="0"/>
      </w:rPr>
      <w:fldChar w:fldCharType="end"/>
    </w:r>
    <w:r w:rsidRPr="001A5FC3">
      <w:rPr>
        <w:b w:val="0"/>
      </w:rPr>
      <w:tab/>
    </w:r>
    <w:r w:rsidRPr="001A5FC3">
      <w:rPr>
        <w:b w:val="0"/>
      </w:rPr>
      <w:fldChar w:fldCharType="begin"/>
    </w:r>
    <w:r w:rsidRPr="001A5FC3">
      <w:rPr>
        <w:b w:val="0"/>
      </w:rPr>
      <w:instrText xml:space="preserve"> PAGE  \* roman  \* MERGEFORMAT </w:instrText>
    </w:r>
    <w:r w:rsidRPr="001A5FC3">
      <w:rPr>
        <w:b w:val="0"/>
      </w:rPr>
      <w:fldChar w:fldCharType="separate"/>
    </w:r>
    <w:r>
      <w:rPr>
        <w:b w:val="0"/>
        <w:noProof/>
      </w:rPr>
      <w:t>i</w:t>
    </w:r>
    <w:r w:rsidRPr="001A5FC3">
      <w:rPr>
        <w:b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Pr="001A5FC3" w:rsidRDefault="00733569" w:rsidP="00324783">
    <w:pPr>
      <w:pStyle w:val="Footer"/>
      <w:rPr>
        <w:b w:val="0"/>
      </w:rPr>
    </w:pPr>
    <w:r w:rsidRPr="001A5FC3">
      <w:rPr>
        <w:b w:val="0"/>
      </w:rPr>
      <w:tab/>
    </w:r>
    <w:r w:rsidRPr="001A5FC3">
      <w:rPr>
        <w:b w:val="0"/>
      </w:rPr>
      <w:fldChar w:fldCharType="begin"/>
    </w:r>
    <w:r w:rsidRPr="001A5FC3">
      <w:rPr>
        <w:b w:val="0"/>
      </w:rPr>
      <w:instrText xml:space="preserve"> PAGE   \* MERGEFORMAT </w:instrText>
    </w:r>
    <w:r w:rsidRPr="001A5FC3">
      <w:rPr>
        <w:b w:val="0"/>
      </w:rPr>
      <w:fldChar w:fldCharType="separate"/>
    </w:r>
    <w:r w:rsidR="00A11809">
      <w:rPr>
        <w:b w:val="0"/>
        <w:noProof/>
      </w:rPr>
      <w:t>41</w:t>
    </w:r>
    <w:r w:rsidRPr="001A5FC3">
      <w:rPr>
        <w:b w:val="0"/>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Pr="001A5FC3" w:rsidRDefault="00733569" w:rsidP="0010488E">
    <w:pPr>
      <w:pStyle w:val="Footer"/>
      <w:rPr>
        <w:b w:val="0"/>
      </w:rPr>
    </w:pPr>
    <w:r w:rsidRPr="001A5FC3">
      <w:rPr>
        <w:b w:val="0"/>
      </w:rPr>
      <w:fldChar w:fldCharType="begin"/>
    </w:r>
    <w:r w:rsidRPr="001A5FC3">
      <w:rPr>
        <w:b w:val="0"/>
      </w:rPr>
      <w:instrText xml:space="preserve"> DOCPROPERTY  "Document Number"  \* MERGEFORMAT </w:instrText>
    </w:r>
    <w:r w:rsidRPr="001A5FC3">
      <w:rPr>
        <w:b w:val="0"/>
      </w:rPr>
      <w:fldChar w:fldCharType="separate"/>
    </w:r>
    <w:r w:rsidR="00014844">
      <w:rPr>
        <w:b w:val="0"/>
      </w:rPr>
      <w:t>Draft</w:t>
    </w:r>
    <w:r w:rsidRPr="001A5FC3">
      <w:rPr>
        <w:b w:val="0"/>
      </w:rPr>
      <w:fldChar w:fldCharType="end"/>
    </w:r>
    <w:r w:rsidRPr="001A5FC3">
      <w:rPr>
        <w:b w:val="0"/>
      </w:rPr>
      <w:tab/>
    </w:r>
    <w:r>
      <w:rPr>
        <w:b w:val="0"/>
      </w:rPr>
      <w:fldChar w:fldCharType="begin"/>
    </w:r>
    <w:r>
      <w:rPr>
        <w:b w:val="0"/>
      </w:rPr>
      <w:instrText xml:space="preserve"> PAGE  \* Arabic  \* MERGEFORMAT </w:instrText>
    </w:r>
    <w:r>
      <w:rPr>
        <w:b w:val="0"/>
      </w:rPr>
      <w:fldChar w:fldCharType="separate"/>
    </w:r>
    <w:r>
      <w:rPr>
        <w:b w:val="0"/>
        <w:noProof/>
      </w:rPr>
      <w:t>1</w:t>
    </w:r>
    <w:r>
      <w:rPr>
        <w:b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Pr="00E76686" w:rsidRDefault="00733569">
    <w:pPr>
      <w:pStyle w:val="Footer"/>
      <w:rPr>
        <w:b w:val="0"/>
      </w:rPr>
    </w:pPr>
    <w:r w:rsidRPr="00E76686">
      <w:rPr>
        <w:b w:val="0"/>
      </w:rPr>
      <w:fldChar w:fldCharType="begin"/>
    </w:r>
    <w:r w:rsidRPr="00E76686">
      <w:rPr>
        <w:b w:val="0"/>
      </w:rPr>
      <w:instrText xml:space="preserve"> DOCPROPERTY  "Document Number"  \* MERGEFORMAT </w:instrText>
    </w:r>
    <w:r w:rsidRPr="00E76686">
      <w:rPr>
        <w:b w:val="0"/>
      </w:rPr>
      <w:fldChar w:fldCharType="separate"/>
    </w:r>
    <w:r w:rsidR="00014844">
      <w:rPr>
        <w:b w:val="0"/>
      </w:rPr>
      <w:t>Draft</w:t>
    </w:r>
    <w:r w:rsidRPr="00E76686">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569" w:rsidRDefault="00733569" w:rsidP="00EA3E55">
      <w:pPr>
        <w:spacing w:after="0" w:line="240" w:lineRule="auto"/>
      </w:pPr>
      <w:r>
        <w:separator/>
      </w:r>
    </w:p>
  </w:footnote>
  <w:footnote w:type="continuationSeparator" w:id="0">
    <w:p w:rsidR="00733569" w:rsidRDefault="00733569" w:rsidP="00EA3E55">
      <w:pPr>
        <w:spacing w:after="0" w:line="240" w:lineRule="auto"/>
      </w:pPr>
      <w:r>
        <w:continuationSeparator/>
      </w:r>
    </w:p>
  </w:footnote>
  <w:footnote w:id="1">
    <w:p w:rsidR="00733569" w:rsidRPr="00FF7042" w:rsidRDefault="00733569" w:rsidP="007D1252">
      <w:pPr>
        <w:pStyle w:val="FootnoteText"/>
        <w:rPr>
          <w:i/>
        </w:rPr>
      </w:pPr>
      <w:r>
        <w:rPr>
          <w:rStyle w:val="FootnoteReference"/>
        </w:rPr>
        <w:footnoteRef/>
      </w:r>
      <w:r>
        <w:t xml:space="preserve"> See for example Climate Change Authority 2014 </w:t>
      </w:r>
      <w:r>
        <w:rPr>
          <w:i/>
        </w:rPr>
        <w:t xml:space="preserve">Renewable Energy Target Review report; </w:t>
      </w:r>
      <w:r>
        <w:t xml:space="preserve">Climate Change Authority 2014 </w:t>
      </w:r>
      <w:r>
        <w:rPr>
          <w:i/>
        </w:rPr>
        <w:t>Reducing Australia’s Greenhouse Gas Emissions—Targets and Progress Review Final Report.</w:t>
      </w:r>
    </w:p>
  </w:footnote>
  <w:footnote w:id="2">
    <w:p w:rsidR="00733569" w:rsidRDefault="00733569" w:rsidP="007D1252">
      <w:pPr>
        <w:pStyle w:val="FootnoteText"/>
      </w:pPr>
      <w:r>
        <w:rPr>
          <w:rStyle w:val="FootnoteReference"/>
        </w:rPr>
        <w:footnoteRef/>
      </w:r>
      <w:r>
        <w:t xml:space="preserve"> The WEM operates dispatch and delivery in South West Interconnected System (SWIS), which is a grid system with major load centres at Perth/Kwinana and </w:t>
      </w:r>
      <w:proofErr w:type="gramStart"/>
      <w:r>
        <w:t>that</w:t>
      </w:r>
      <w:proofErr w:type="gramEnd"/>
      <w:r>
        <w:t xml:space="preserve"> extends north to Geraldton on the mid-west coast to Kalgoorlie in the east and past Albany in the south-east coast.</w:t>
      </w:r>
    </w:p>
  </w:footnote>
  <w:footnote w:id="3">
    <w:p w:rsidR="00733569" w:rsidRDefault="00733569" w:rsidP="007D1252">
      <w:pPr>
        <w:pStyle w:val="FootnoteText"/>
      </w:pPr>
      <w:r>
        <w:rPr>
          <w:rStyle w:val="FootnoteReference"/>
        </w:rPr>
        <w:footnoteRef/>
      </w:r>
      <w:r>
        <w:t xml:space="preserve"> The UK policy incorporates some technology-specific assistance or ‘banding’. For the purposes of comparability, this exercise models an unbanded scheme. </w:t>
      </w:r>
    </w:p>
  </w:footnote>
  <w:footnote w:id="4">
    <w:p w:rsidR="00733569" w:rsidRDefault="00733569" w:rsidP="00A9764E">
      <w:pPr>
        <w:autoSpaceDE w:val="0"/>
        <w:autoSpaceDN w:val="0"/>
        <w:adjustRightInd w:val="0"/>
        <w:spacing w:after="0" w:line="240" w:lineRule="auto"/>
        <w:rPr>
          <w:rFonts w:ascii="Whitney-LightItalic" w:hAnsi="Whitney-LightItalic" w:cs="Whitney-LightItalic"/>
          <w:i/>
          <w:iCs/>
          <w:color w:val="141313"/>
          <w:sz w:val="18"/>
          <w:szCs w:val="18"/>
        </w:rPr>
      </w:pPr>
      <w:r>
        <w:rPr>
          <w:rStyle w:val="FootnoteReference"/>
        </w:rPr>
        <w:footnoteRef/>
      </w:r>
      <w:r>
        <w:t xml:space="preserve"> </w:t>
      </w:r>
      <w:proofErr w:type="gramStart"/>
      <w:r>
        <w:rPr>
          <w:rFonts w:ascii="Whitney-Light" w:hAnsi="Whitney-Light" w:cs="Whitney-Light"/>
          <w:color w:val="141313"/>
          <w:sz w:val="18"/>
          <w:szCs w:val="18"/>
        </w:rPr>
        <w:t>IPCC, 2014.</w:t>
      </w:r>
      <w:proofErr w:type="gramEnd"/>
      <w:r>
        <w:rPr>
          <w:rFonts w:ascii="Whitney-Light" w:hAnsi="Whitney-Light" w:cs="Whitney-Light"/>
          <w:color w:val="141313"/>
          <w:sz w:val="18"/>
          <w:szCs w:val="18"/>
        </w:rPr>
        <w:t xml:space="preserve"> </w:t>
      </w:r>
      <w:r>
        <w:rPr>
          <w:rFonts w:ascii="Whitney-LightItalic" w:hAnsi="Whitney-LightItalic" w:cs="Whitney-LightItalic"/>
          <w:i/>
          <w:iCs/>
          <w:color w:val="141313"/>
          <w:sz w:val="18"/>
          <w:szCs w:val="18"/>
        </w:rPr>
        <w:t>Working Group III Contribution to the Fifth Assessment Report, Climate Change 2014—Mitigation,</w:t>
      </w:r>
    </w:p>
    <w:p w:rsidR="00733569" w:rsidRDefault="00733569" w:rsidP="00A9764E">
      <w:pPr>
        <w:pStyle w:val="FootnoteText"/>
      </w:pPr>
      <w:r>
        <w:rPr>
          <w:rFonts w:ascii="Whitney-Light" w:hAnsi="Whitney-Light" w:cs="Whitney-Light"/>
          <w:color w:val="141313"/>
          <w:sz w:val="18"/>
          <w:szCs w:val="18"/>
        </w:rPr>
        <w:t>Cambridge University Press, Cambridge.</w:t>
      </w:r>
    </w:p>
  </w:footnote>
  <w:footnote w:id="5">
    <w:p w:rsidR="00733569" w:rsidRDefault="00733569">
      <w:pPr>
        <w:pStyle w:val="FootnoteText"/>
      </w:pPr>
      <w:r w:rsidRPr="00544D83">
        <w:rPr>
          <w:rStyle w:val="FootnoteReference"/>
        </w:rPr>
        <w:footnoteRef/>
      </w:r>
      <w:r w:rsidRPr="00544D83">
        <w:t xml:space="preserve"> ‘</w:t>
      </w:r>
      <w:r w:rsidRPr="00F94F64">
        <w:rPr>
          <w:szCs w:val="15"/>
        </w:rPr>
        <w:t>Grid exempt’ demand (for example, methane generation at coal mines) is also removed as this component of demand is not projected in Jacobs’ modelling.</w:t>
      </w:r>
      <w:r>
        <w:rPr>
          <w:sz w:val="16"/>
        </w:rPr>
        <w:t xml:space="preserve"> </w:t>
      </w:r>
    </w:p>
  </w:footnote>
  <w:footnote w:id="6">
    <w:p w:rsidR="00733569" w:rsidRDefault="00733569" w:rsidP="0036415B">
      <w:pPr>
        <w:pStyle w:val="FootnoteText"/>
      </w:pPr>
      <w:r>
        <w:rPr>
          <w:rStyle w:val="FootnoteReference"/>
        </w:rPr>
        <w:footnoteRef/>
      </w:r>
      <w:r>
        <w:t xml:space="preserve"> There are many sources of estimates of the own price elasticity of electricity demand in the NEM, but all estimates are characterised by relatively low price elasticities (see M. O’Gorman and F. Jotzo (2014), “Impact of the carbon price on Australia’s electricity demand, supply and emissions”, </w:t>
      </w:r>
      <w:r w:rsidRPr="004A02EC">
        <w:rPr>
          <w:i/>
        </w:rPr>
        <w:t>Centre for Climate Economics and Policy Working Paper 1411</w:t>
      </w:r>
      <w:r>
        <w:t xml:space="preserve">, Canberra).  A review study has found these elasticities reducing over time (A. Rai, </w:t>
      </w:r>
      <w:r w:rsidRPr="0041411F">
        <w:t xml:space="preserve">L. Reedman and P. Graham (2014), </w:t>
      </w:r>
      <w:r w:rsidRPr="00DB5672">
        <w:rPr>
          <w:i/>
        </w:rPr>
        <w:t>Price and income elasticities of</w:t>
      </w:r>
      <w:r w:rsidRPr="006465F7">
        <w:rPr>
          <w:i/>
        </w:rPr>
        <w:t xml:space="preserve"> residential electricity demand: the Australian evidence</w:t>
      </w:r>
      <w:r w:rsidRPr="00DB5672">
        <w:rPr>
          <w:i/>
        </w:rPr>
        <w:t>)</w:t>
      </w:r>
      <w:r w:rsidRPr="006465F7">
        <w:t>.  Given</w:t>
      </w:r>
      <w:r>
        <w:t xml:space="preserve"> the broad similarities across estimates, the likely changes in demand response from using alternative estimates are likely to be minimal.</w:t>
      </w:r>
    </w:p>
  </w:footnote>
  <w:footnote w:id="7">
    <w:p w:rsidR="00733569" w:rsidRDefault="00733569">
      <w:pPr>
        <w:pStyle w:val="FootnoteText"/>
      </w:pPr>
      <w:r>
        <w:rPr>
          <w:rStyle w:val="FootnoteReference"/>
        </w:rPr>
        <w:footnoteRef/>
      </w:r>
      <w:r>
        <w:t xml:space="preserve"> In the modelling we adopt an unserved energy and loss of load probability criteria as energy reliability requirements that are required to be met.  </w:t>
      </w:r>
    </w:p>
  </w:footnote>
  <w:footnote w:id="8">
    <w:p w:rsidR="00733569" w:rsidRDefault="00733569">
      <w:pPr>
        <w:pStyle w:val="FootnoteText"/>
      </w:pPr>
      <w:r>
        <w:rPr>
          <w:rStyle w:val="FootnoteReference"/>
        </w:rPr>
        <w:footnoteRef/>
      </w:r>
      <w:r>
        <w:t xml:space="preserve"> In some of the scenarios, there may be high levels of intermittent renewable generation which may increase the requirement for reserve plant for when these generation sources are unavailable.  This should be captured in the modelling through the use of loss of load probability logic, which if breached would require more backup plant to preserve reliability of the grids.</w:t>
      </w:r>
    </w:p>
  </w:footnote>
  <w:footnote w:id="9">
    <w:p w:rsidR="00733569" w:rsidRDefault="00733569" w:rsidP="004853C0">
      <w:pPr>
        <w:pStyle w:val="FootnoteText"/>
      </w:pPr>
      <w:r>
        <w:rPr>
          <w:rStyle w:val="FootnoteReference"/>
        </w:rPr>
        <w:footnoteRef/>
      </w:r>
      <w:r>
        <w:t xml:space="preserve"> These are available at </w:t>
      </w:r>
      <w:r w:rsidRPr="005A438A">
        <w:t>http://www.aemo.com.au/Electricity/Planning/Related-Information/Planning-Assumptions</w:t>
      </w:r>
      <w:r>
        <w:t>.</w:t>
      </w:r>
    </w:p>
  </w:footnote>
  <w:footnote w:id="10">
    <w:p w:rsidR="00733569" w:rsidRDefault="00733569">
      <w:pPr>
        <w:pStyle w:val="FootnoteText"/>
      </w:pPr>
      <w:r>
        <w:rPr>
          <w:rStyle w:val="FootnoteReference"/>
        </w:rPr>
        <w:footnoteRef/>
      </w:r>
      <w:r>
        <w:t xml:space="preserve"> This conservative approach may underestimate diversity but based on prospective projects there is not a large wind resource in this State.</w:t>
      </w:r>
    </w:p>
  </w:footnote>
  <w:footnote w:id="11">
    <w:p w:rsidR="00733569" w:rsidRDefault="00733569" w:rsidP="00C235E6">
      <w:pPr>
        <w:pStyle w:val="FootnoteText"/>
      </w:pPr>
      <w:r>
        <w:rPr>
          <w:rStyle w:val="FootnoteReference"/>
        </w:rPr>
        <w:footnoteRef/>
      </w:r>
      <w:r>
        <w:t xml:space="preserve"> This decommissioning is made permanent if the period of decommissioning is greater than 10 years.</w:t>
      </w:r>
    </w:p>
  </w:footnote>
  <w:footnote w:id="12">
    <w:p w:rsidR="00733569" w:rsidRPr="0099618C" w:rsidRDefault="00733569" w:rsidP="00C235E6">
      <w:pPr>
        <w:pStyle w:val="FootnoteText"/>
      </w:pPr>
      <w:r>
        <w:rPr>
          <w:rStyle w:val="FootnoteReference"/>
        </w:rPr>
        <w:footnoteRef/>
      </w:r>
      <w:r>
        <w:t xml:space="preserve"> ACIL Allen 2014, </w:t>
      </w:r>
      <w:r>
        <w:rPr>
          <w:i/>
        </w:rPr>
        <w:t>Fuel and technology cost review</w:t>
      </w:r>
      <w:r>
        <w:t>, report to the Australian Energy Market Operator.</w:t>
      </w:r>
    </w:p>
  </w:footnote>
  <w:footnote w:id="13">
    <w:p w:rsidR="00733569" w:rsidRDefault="00733569" w:rsidP="006B1898">
      <w:pPr>
        <w:pStyle w:val="FootnoteText"/>
      </w:pPr>
      <w:r>
        <w:rPr>
          <w:rStyle w:val="FootnoteReference"/>
        </w:rPr>
        <w:footnoteRef/>
      </w:r>
      <w:r>
        <w:t xml:space="preserve"> </w:t>
      </w:r>
      <w:proofErr w:type="gramStart"/>
      <w:r>
        <w:t>Based on Jacobs data base of renewable energy projects.</w:t>
      </w:r>
      <w:proofErr w:type="gramEnd"/>
      <w:r>
        <w:t xml:space="preserve"> Renewable generators that existed before the Mandatory Renewable Energy Target (the precursor to the current RET) are allocated baselines based on their average historical output and are eligible to receive certificates for output above those baselines. The actual amount of generation below their baselines needs to be added to generation from the RET to calculate the total amount of renewable generation in a given year. </w:t>
      </w:r>
    </w:p>
  </w:footnote>
  <w:footnote w:id="14">
    <w:p w:rsidR="00733569" w:rsidRDefault="00733569">
      <w:pPr>
        <w:pStyle w:val="FootnoteText"/>
      </w:pPr>
      <w:r>
        <w:rPr>
          <w:rStyle w:val="FootnoteReference"/>
        </w:rPr>
        <w:footnoteRef/>
      </w:r>
      <w:r>
        <w:t xml:space="preserve"> Department of Industry and Science, “Resources and Energy Quarterly”, March 2015. </w:t>
      </w:r>
    </w:p>
  </w:footnote>
  <w:footnote w:id="15">
    <w:p w:rsidR="00733569" w:rsidRDefault="00733569">
      <w:pPr>
        <w:pStyle w:val="FootnoteText"/>
      </w:pPr>
      <w:r>
        <w:rPr>
          <w:rStyle w:val="FootnoteReference"/>
        </w:rPr>
        <w:footnoteRef/>
      </w:r>
      <w:r>
        <w:t xml:space="preserve"> The variable cost of gas based peaking plant assumes that the fixed cost of pipelines and processing assets are converted into a variable cost to reflect opportunity cost of using assets at low levels of utilisation and to enable bids for these plants to be set at a rate that will recover their fixed costs for the limited time they are typically dispatched.</w:t>
      </w:r>
    </w:p>
  </w:footnote>
  <w:footnote w:id="16">
    <w:p w:rsidR="000817DB" w:rsidRDefault="000817DB" w:rsidP="000817DB">
      <w:pPr>
        <w:pStyle w:val="FootnoteText"/>
      </w:pPr>
      <w:r>
        <w:rPr>
          <w:rStyle w:val="FootnoteReference"/>
        </w:rPr>
        <w:footnoteRef/>
      </w:r>
      <w:r>
        <w:t xml:space="preserve"> Federal Treasury, “Treasury’s medium-term economic projection methodology”, May 2014.</w:t>
      </w:r>
    </w:p>
  </w:footnote>
  <w:footnote w:id="17">
    <w:p w:rsidR="00733569" w:rsidRDefault="00733569" w:rsidP="00A163D9">
      <w:pPr>
        <w:pStyle w:val="FootnoteText"/>
      </w:pPr>
      <w:r>
        <w:rPr>
          <w:rStyle w:val="FootnoteReference"/>
        </w:rPr>
        <w:footnoteRef/>
      </w:r>
      <w:r>
        <w:t xml:space="preserve"> </w:t>
      </w:r>
      <w:proofErr w:type="gramStart"/>
      <w:r>
        <w:t>Engineer-Procure-Construct turnkey project delivery.</w:t>
      </w:r>
      <w:proofErr w:type="gramEnd"/>
    </w:p>
  </w:footnote>
  <w:footnote w:id="18">
    <w:p w:rsidR="00733569" w:rsidRDefault="00733569" w:rsidP="00A163D9">
      <w:pPr>
        <w:pStyle w:val="FootnoteText"/>
      </w:pPr>
      <w:r>
        <w:rPr>
          <w:rStyle w:val="FootnoteReference"/>
        </w:rPr>
        <w:footnoteRef/>
      </w:r>
      <w:r>
        <w:t xml:space="preserve"> </w:t>
      </w:r>
      <w:proofErr w:type="gramStart"/>
      <w:r>
        <w:t>Bureau of Resources and Energy Economics, “Australian Energy Technology Assessment”, 2012.</w:t>
      </w:r>
      <w:proofErr w:type="gramEnd"/>
    </w:p>
  </w:footnote>
  <w:footnote w:id="19">
    <w:p w:rsidR="00733569" w:rsidRDefault="00733569">
      <w:pPr>
        <w:pStyle w:val="FootnoteText"/>
      </w:pPr>
      <w:r>
        <w:rPr>
          <w:rStyle w:val="FootnoteReference"/>
        </w:rPr>
        <w:footnoteRef/>
      </w:r>
      <w:r>
        <w:t xml:space="preserve"> AETA costs are original quoted in $2012. In this table we have escalated these AETA costs to $2015 for comparison purposes.</w:t>
      </w:r>
    </w:p>
  </w:footnote>
  <w:footnote w:id="20">
    <w:p w:rsidR="00733569" w:rsidRDefault="00733569" w:rsidP="00A163D9">
      <w:pPr>
        <w:pStyle w:val="FootnoteText"/>
      </w:pPr>
      <w:r>
        <w:rPr>
          <w:rStyle w:val="FootnoteReference"/>
        </w:rPr>
        <w:footnoteRef/>
      </w:r>
      <w:r>
        <w:t xml:space="preserve"> “N of a Kind”, that is the cost of the technology after the first few plants have been deployed in a particular country. The costs of the first plants built in a new country would typically be higher due to an initial lack of knowledge in the local context.</w:t>
      </w:r>
    </w:p>
  </w:footnote>
  <w:footnote w:id="21">
    <w:p w:rsidR="00733569" w:rsidRDefault="00733569" w:rsidP="00A163D9">
      <w:pPr>
        <w:pStyle w:val="FootnoteText"/>
      </w:pPr>
      <w:r>
        <w:rPr>
          <w:rStyle w:val="FootnoteReference"/>
        </w:rPr>
        <w:footnoteRef/>
      </w:r>
      <w:r>
        <w:t xml:space="preserve"> EPC basis costs do not include connection costs and owner’s costs, not interest-during-construction costs.</w:t>
      </w:r>
    </w:p>
  </w:footnote>
  <w:footnote w:id="22">
    <w:p w:rsidR="00733569" w:rsidRDefault="00733569">
      <w:pPr>
        <w:pStyle w:val="FootnoteText"/>
      </w:pPr>
      <w:r>
        <w:rPr>
          <w:rStyle w:val="FootnoteReference"/>
        </w:rPr>
        <w:footnoteRef/>
      </w:r>
      <w:r>
        <w:t xml:space="preserve"> SETIS (2012), </w:t>
      </w:r>
      <w:r w:rsidRPr="0086051E">
        <w:rPr>
          <w:i/>
        </w:rPr>
        <w:t>Technology learning curves for energy support policies</w:t>
      </w:r>
      <w:r>
        <w:t>, Joint Research Centre Scientific and Policy Reports; EPRI (2013), Modelling Technology Learning Rates for the Electricity Supply Sector: Phase 1 report, Palo Alto, California</w:t>
      </w:r>
    </w:p>
  </w:footnote>
  <w:footnote w:id="23">
    <w:p w:rsidR="00733569" w:rsidRDefault="00733569">
      <w:pPr>
        <w:pStyle w:val="FootnoteText"/>
      </w:pPr>
      <w:r>
        <w:rPr>
          <w:rStyle w:val="FootnoteReference"/>
        </w:rPr>
        <w:footnoteRef/>
      </w:r>
      <w:r>
        <w:t xml:space="preserve"> IEA (2014), </w:t>
      </w:r>
      <w:r w:rsidRPr="0086051E">
        <w:rPr>
          <w:i/>
        </w:rPr>
        <w:t>World Energy Outlook: 2014</w:t>
      </w:r>
      <w:r>
        <w:t>, Paris</w:t>
      </w:r>
    </w:p>
  </w:footnote>
  <w:footnote w:id="24">
    <w:p w:rsidR="00733569" w:rsidRDefault="00733569" w:rsidP="00A163D9">
      <w:pPr>
        <w:pStyle w:val="FootnoteText"/>
      </w:pPr>
      <w:r>
        <w:rPr>
          <w:rStyle w:val="FootnoteReference"/>
        </w:rPr>
        <w:footnoteRef/>
      </w:r>
      <w:r>
        <w:t xml:space="preserve"> ATA, CSIRO</w:t>
      </w:r>
    </w:p>
  </w:footnote>
  <w:footnote w:id="25">
    <w:p w:rsidR="00733569" w:rsidRDefault="00733569">
      <w:pPr>
        <w:pStyle w:val="FootnoteText"/>
      </w:pPr>
      <w:r>
        <w:rPr>
          <w:rStyle w:val="FootnoteReference"/>
        </w:rPr>
        <w:footnoteRef/>
      </w:r>
      <w:r>
        <w:t xml:space="preserve"> The modelling does not consider the possibility of building a pipeline to link Queensland with the Northern Territory. The impact of this assumption on gas prices in the NEM is considered to be immaterial.</w:t>
      </w:r>
    </w:p>
  </w:footnote>
  <w:footnote w:id="26">
    <w:p w:rsidR="000817DB" w:rsidRDefault="000817DB" w:rsidP="000817DB">
      <w:pPr>
        <w:pStyle w:val="FootnoteText"/>
      </w:pPr>
      <w:r>
        <w:rPr>
          <w:rStyle w:val="FootnoteReference"/>
        </w:rPr>
        <w:footnoteRef/>
      </w:r>
      <w:r>
        <w:t xml:space="preserve"> International Energy Agency, </w:t>
      </w:r>
      <w:r>
        <w:rPr>
          <w:i/>
        </w:rPr>
        <w:t xml:space="preserve">World Energy </w:t>
      </w:r>
      <w:r w:rsidRPr="003C2DA0">
        <w:t>Outlook</w:t>
      </w:r>
      <w:r>
        <w:t xml:space="preserve">, </w:t>
      </w:r>
      <w:r w:rsidRPr="003C2DA0">
        <w:t>2014</w:t>
      </w:r>
      <w:r>
        <w:t>, p.48.</w:t>
      </w:r>
    </w:p>
  </w:footnote>
  <w:footnote w:id="27">
    <w:p w:rsidR="00733569" w:rsidRDefault="00733569" w:rsidP="000545BE">
      <w:pPr>
        <w:pStyle w:val="FootnoteText"/>
      </w:pPr>
      <w:r>
        <w:rPr>
          <w:rStyle w:val="FootnoteReference"/>
        </w:rPr>
        <w:footnoteRef/>
      </w:r>
      <w:r>
        <w:t xml:space="preserve"> Source: Bureau of Resources and Energy Economics, </w:t>
      </w:r>
      <w:r w:rsidRPr="00786BCD">
        <w:rPr>
          <w:i/>
        </w:rPr>
        <w:t>Resource and Energy Quarterly</w:t>
      </w:r>
      <w:r>
        <w:t>, March 2015</w:t>
      </w:r>
    </w:p>
  </w:footnote>
  <w:footnote w:id="28">
    <w:p w:rsidR="00733569" w:rsidRDefault="00733569" w:rsidP="003C2DA0">
      <w:pPr>
        <w:pStyle w:val="FootnoteText"/>
      </w:pPr>
      <w:r>
        <w:rPr>
          <w:rStyle w:val="FootnoteReference"/>
        </w:rPr>
        <w:footnoteRef/>
      </w:r>
      <w:r>
        <w:t xml:space="preserve"> International Energy Agency, </w:t>
      </w:r>
      <w:r>
        <w:rPr>
          <w:i/>
        </w:rPr>
        <w:t xml:space="preserve">World Energy </w:t>
      </w:r>
      <w:r w:rsidRPr="003C2DA0">
        <w:t>Outlook</w:t>
      </w:r>
      <w:r>
        <w:t xml:space="preserve">, </w:t>
      </w:r>
      <w:r w:rsidRPr="003C2DA0">
        <w:t>2014</w:t>
      </w:r>
      <w:r>
        <w:t>, p.48.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Default="007335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Default="00733569" w:rsidP="0010488E">
    <w:pPr>
      <w:pStyle w:val="Empty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Default="00733569" w:rsidP="0010488E">
    <w:pPr>
      <w:pStyle w:val="Empty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733569" w:rsidRPr="00037461" w:rsidTr="0010488E">
      <w:trPr>
        <w:cantSplit/>
        <w:trHeight w:hRule="exact" w:val="1134"/>
      </w:trPr>
      <w:tc>
        <w:tcPr>
          <w:tcW w:w="6804" w:type="dxa"/>
          <w:shd w:val="clear" w:color="auto" w:fill="auto"/>
          <w:vAlign w:val="center"/>
        </w:tcPr>
        <w:p w:rsidR="00733569" w:rsidRPr="00037461" w:rsidRDefault="00733569" w:rsidP="000B776F">
          <w:pPr>
            <w:pStyle w:val="Header"/>
          </w:pPr>
          <w:r w:rsidRPr="00032A0D">
            <w:rPr>
              <w:noProof/>
              <w:color w:val="808080"/>
              <w:lang w:eastAsia="en-AU"/>
            </w:rPr>
            <w:drawing>
              <wp:anchor distT="0" distB="0" distL="114300" distR="114300" simplePos="0" relativeHeight="251658752" behindDoc="0" locked="1" layoutInCell="0" allowOverlap="0" wp14:anchorId="2EEA6AEB" wp14:editId="721483D9">
                <wp:simplePos x="0" y="0"/>
                <wp:positionH relativeFrom="page">
                  <wp:posOffset>5047615</wp:posOffset>
                </wp:positionH>
                <wp:positionV relativeFrom="page">
                  <wp:posOffset>363855</wp:posOffset>
                </wp:positionV>
                <wp:extent cx="1980000" cy="720000"/>
                <wp:effectExtent l="0" t="0" r="1270" b="4445"/>
                <wp:wrapNone/>
                <wp:docPr id="1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80000" cy="720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Pr="00032A0D">
            <w:rPr>
              <w:noProof/>
              <w:lang w:eastAsia="en-AU"/>
            </w:rPr>
            <w:drawing>
              <wp:anchor distT="0" distB="0" distL="114300" distR="114300" simplePos="0" relativeHeight="251656704" behindDoc="1" locked="0" layoutInCell="0" allowOverlap="1" wp14:anchorId="18130ACE" wp14:editId="2D9234C3">
                <wp:simplePos x="0" y="0"/>
                <wp:positionH relativeFrom="page">
                  <wp:posOffset>720090</wp:posOffset>
                </wp:positionH>
                <wp:positionV relativeFrom="page">
                  <wp:posOffset>360045</wp:posOffset>
                </wp:positionV>
                <wp:extent cx="4320000" cy="720000"/>
                <wp:effectExtent l="0" t="0" r="4445" b="444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t>Modelling illustrative electricity sector emissions reduction policies</w:t>
          </w:r>
        </w:p>
      </w:tc>
      <w:tc>
        <w:tcPr>
          <w:tcW w:w="3119" w:type="dxa"/>
          <w:shd w:val="clear" w:color="auto" w:fill="auto"/>
          <w:vAlign w:val="center"/>
        </w:tcPr>
        <w:p w:rsidR="00733569" w:rsidRPr="00037461" w:rsidRDefault="00733569" w:rsidP="0010488E">
          <w:pPr>
            <w:pStyle w:val="Bodynarrow"/>
          </w:pPr>
        </w:p>
      </w:tc>
    </w:tr>
  </w:tbl>
  <w:p w:rsidR="00733569" w:rsidRPr="00A80A11" w:rsidRDefault="00733569" w:rsidP="001048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69" w:rsidRDefault="00733569" w:rsidP="0010488E">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733569" w:rsidRPr="00037461" w:rsidTr="0010488E">
      <w:trPr>
        <w:cantSplit/>
        <w:trHeight w:hRule="exact" w:val="1134"/>
      </w:trPr>
      <w:tc>
        <w:tcPr>
          <w:tcW w:w="6804" w:type="dxa"/>
          <w:shd w:val="clear" w:color="auto" w:fill="auto"/>
          <w:vAlign w:val="center"/>
        </w:tcPr>
        <w:p w:rsidR="00733569" w:rsidRPr="00037461" w:rsidRDefault="00733569" w:rsidP="0010488E">
          <w:pPr>
            <w:pStyle w:val="Header"/>
          </w:pPr>
          <w:r w:rsidRPr="00032A0D">
            <w:rPr>
              <w:noProof/>
              <w:lang w:eastAsia="en-AU"/>
            </w:rPr>
            <w:drawing>
              <wp:anchor distT="0" distB="0" distL="114300" distR="114300" simplePos="0" relativeHeight="251657728" behindDoc="1" locked="0" layoutInCell="0" allowOverlap="1" wp14:anchorId="0CF4F77B" wp14:editId="2CC6F1EA">
                <wp:simplePos x="0" y="0"/>
                <wp:positionH relativeFrom="page">
                  <wp:posOffset>720090</wp:posOffset>
                </wp:positionH>
                <wp:positionV relativeFrom="page">
                  <wp:posOffset>360045</wp:posOffset>
                </wp:positionV>
                <wp:extent cx="4320000" cy="720000"/>
                <wp:effectExtent l="0" t="0" r="4445" b="444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00A11809">
            <w:fldChar w:fldCharType="begin"/>
          </w:r>
          <w:r w:rsidR="00A11809">
            <w:instrText xml:space="preserve"> STYLEREF  "Document Title"  \* MERGEFORMAT </w:instrText>
          </w:r>
          <w:r w:rsidR="00A11809">
            <w:fldChar w:fldCharType="separate"/>
          </w:r>
          <w:r w:rsidR="00014844">
            <w:rPr>
              <w:noProof/>
            </w:rPr>
            <w:t>RO016500</w:t>
          </w:r>
          <w:r w:rsidR="00A11809">
            <w:rPr>
              <w:noProof/>
            </w:rPr>
            <w:fldChar w:fldCharType="end"/>
          </w:r>
        </w:p>
      </w:tc>
      <w:tc>
        <w:tcPr>
          <w:tcW w:w="3119" w:type="dxa"/>
          <w:shd w:val="clear" w:color="auto" w:fill="auto"/>
          <w:vAlign w:val="center"/>
        </w:tcPr>
        <w:p w:rsidR="00733569" w:rsidRPr="00037461" w:rsidRDefault="00733569" w:rsidP="0010488E">
          <w:pPr>
            <w:pStyle w:val="Bodynarrow"/>
          </w:pPr>
        </w:p>
      </w:tc>
    </w:tr>
  </w:tbl>
  <w:p w:rsidR="00733569" w:rsidRDefault="00733569" w:rsidP="0010488E">
    <w:pPr>
      <w:pStyle w:val="EmptyHeader"/>
    </w:pPr>
  </w:p>
  <w:p w:rsidR="00733569" w:rsidRDefault="00733569" w:rsidP="001048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733569" w:rsidRPr="00037461" w:rsidTr="0010488E">
      <w:trPr>
        <w:cantSplit/>
        <w:trHeight w:hRule="exact" w:val="1134"/>
      </w:trPr>
      <w:tc>
        <w:tcPr>
          <w:tcW w:w="6804" w:type="dxa"/>
          <w:shd w:val="clear" w:color="auto" w:fill="auto"/>
          <w:vAlign w:val="center"/>
        </w:tcPr>
        <w:p w:rsidR="00733569" w:rsidRPr="00037461" w:rsidRDefault="00733569" w:rsidP="0010488E">
          <w:pPr>
            <w:pStyle w:val="Header"/>
          </w:pPr>
          <w:r w:rsidRPr="00032A0D">
            <w:rPr>
              <w:noProof/>
              <w:lang w:eastAsia="en-AU"/>
            </w:rPr>
            <w:drawing>
              <wp:anchor distT="0" distB="0" distL="114300" distR="114300" simplePos="0" relativeHeight="251655680" behindDoc="1" locked="0" layoutInCell="0" allowOverlap="1" wp14:anchorId="228C962F" wp14:editId="066A4AB7">
                <wp:simplePos x="0" y="0"/>
                <wp:positionH relativeFrom="page">
                  <wp:posOffset>720090</wp:posOffset>
                </wp:positionH>
                <wp:positionV relativeFrom="page">
                  <wp:posOffset>360045</wp:posOffset>
                </wp:positionV>
                <wp:extent cx="4320000" cy="720000"/>
                <wp:effectExtent l="0" t="0" r="4445" b="444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00A11809">
            <w:fldChar w:fldCharType="begin"/>
          </w:r>
          <w:r w:rsidR="00A11809">
            <w:instrText xml:space="preserve"> STYLEREF  "Document Title"  \* MERGEFORMAT </w:instrText>
          </w:r>
          <w:r w:rsidR="00A11809">
            <w:fldChar w:fldCharType="separate"/>
          </w:r>
          <w:r w:rsidR="00014844" w:rsidRPr="00014844">
            <w:rPr>
              <w:b/>
              <w:bCs/>
              <w:noProof/>
              <w:lang w:val="en-US"/>
            </w:rPr>
            <w:t>Modelling illustrative electricity sector emissions reduction policies</w:t>
          </w:r>
          <w:r w:rsidR="00A11809">
            <w:rPr>
              <w:b/>
              <w:bCs/>
              <w:noProof/>
              <w:lang w:val="en-US"/>
            </w:rPr>
            <w:fldChar w:fldCharType="end"/>
          </w:r>
        </w:p>
      </w:tc>
      <w:tc>
        <w:tcPr>
          <w:tcW w:w="3119" w:type="dxa"/>
          <w:shd w:val="clear" w:color="auto" w:fill="auto"/>
          <w:vAlign w:val="center"/>
        </w:tcPr>
        <w:p w:rsidR="00733569" w:rsidRPr="00037461" w:rsidRDefault="00733569" w:rsidP="004267B2">
          <w:pPr>
            <w:pStyle w:val="Bodynarrow"/>
          </w:pPr>
        </w:p>
      </w:tc>
    </w:tr>
  </w:tbl>
  <w:p w:rsidR="00733569" w:rsidRDefault="00733569" w:rsidP="00BD0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FFFFFF7C"/>
    <w:multiLevelType w:val="singleLevel"/>
    <w:tmpl w:val="93CEEE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81060E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54ED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B024AD4"/>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DABA1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5C2B5D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BBC90B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64A1D9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940414E"/>
    <w:lvl w:ilvl="0">
      <w:start w:val="1"/>
      <w:numFmt w:val="decimal"/>
      <w:pStyle w:val="ListNumber"/>
      <w:lvlText w:val="%1."/>
      <w:lvlJc w:val="left"/>
      <w:pPr>
        <w:tabs>
          <w:tab w:val="num" w:pos="360"/>
        </w:tabs>
        <w:ind w:left="360" w:hanging="360"/>
      </w:pPr>
    </w:lvl>
  </w:abstractNum>
  <w:abstractNum w:abstractNumId="9">
    <w:nsid w:val="00D4019D"/>
    <w:multiLevelType w:val="hybridMultilevel"/>
    <w:tmpl w:val="22C44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00E325FF"/>
    <w:multiLevelType w:val="multilevel"/>
    <w:tmpl w:val="A4DC03E4"/>
    <w:styleLink w:val="Tabletextnumbered"/>
    <w:lvl w:ilvl="0">
      <w:start w:val="1"/>
      <w:numFmt w:val="decimal"/>
      <w:lvlText w:val="%1)"/>
      <w:lvlJc w:val="left"/>
      <w:pPr>
        <w:tabs>
          <w:tab w:val="num" w:pos="397"/>
        </w:tabs>
        <w:ind w:left="397" w:hanging="397"/>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2">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076E4A31"/>
    <w:multiLevelType w:val="hybridMultilevel"/>
    <w:tmpl w:val="FB16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6">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DD4E8D"/>
    <w:multiLevelType w:val="hybridMultilevel"/>
    <w:tmpl w:val="CF06B8A6"/>
    <w:lvl w:ilvl="0" w:tplc="3BD499DC">
      <w:start w:val="1"/>
      <w:numFmt w:val="bullet"/>
      <w:pStyle w:val="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0DA1059F"/>
    <w:multiLevelType w:val="hybridMultilevel"/>
    <w:tmpl w:val="C32C1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0">
    <w:nsid w:val="126A2074"/>
    <w:multiLevelType w:val="hybridMultilevel"/>
    <w:tmpl w:val="720483D4"/>
    <w:lvl w:ilvl="0" w:tplc="0C090005">
      <w:start w:val="1"/>
      <w:numFmt w:val="bullet"/>
      <w:pStyle w:val="TableBullet"/>
      <w:lvlText w:val=""/>
      <w:lvlPicBulletId w:val="0"/>
      <w:lvlJc w:val="left"/>
      <w:pPr>
        <w:ind w:left="360" w:hanging="360"/>
      </w:pPr>
      <w:rPr>
        <w:rFonts w:ascii="Symbol" w:hAnsi="Symbol" w:hint="default"/>
        <w:color w:val="auto"/>
        <w:sz w:val="12"/>
      </w:rPr>
    </w:lvl>
    <w:lvl w:ilvl="1" w:tplc="0C090003">
      <w:start w:val="1"/>
      <w:numFmt w:val="bullet"/>
      <w:lvlText w:val="o"/>
      <w:lvlJc w:val="left"/>
      <w:pPr>
        <w:ind w:left="108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1">
    <w:nsid w:val="13D220C7"/>
    <w:multiLevelType w:val="multilevel"/>
    <w:tmpl w:val="3BA44F1A"/>
    <w:numStyleLink w:val="SKMTableList1"/>
  </w:abstractNum>
  <w:abstractNum w:abstractNumId="22">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3">
    <w:nsid w:val="17C10C25"/>
    <w:multiLevelType w:val="multilevel"/>
    <w:tmpl w:val="2D8CB4F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4">
    <w:nsid w:val="1B734245"/>
    <w:multiLevelType w:val="multilevel"/>
    <w:tmpl w:val="2D8CB4FA"/>
    <w:numStyleLink w:val="SKMBulletList1"/>
  </w:abstractNum>
  <w:abstractNum w:abstractNumId="25">
    <w:nsid w:val="208F3C23"/>
    <w:multiLevelType w:val="multilevel"/>
    <w:tmpl w:val="6098423A"/>
    <w:numStyleLink w:val="SKMTablesmallitem"/>
  </w:abstractNum>
  <w:abstractNum w:abstractNumId="26">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7">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9">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8F5320"/>
    <w:multiLevelType w:val="singleLevel"/>
    <w:tmpl w:val="C9346CCC"/>
    <w:lvl w:ilvl="0">
      <w:start w:val="1"/>
      <w:numFmt w:val="lowerLetter"/>
      <w:pStyle w:val="SideQuote"/>
      <w:lvlText w:val="%1."/>
      <w:lvlJc w:val="left"/>
      <w:pPr>
        <w:tabs>
          <w:tab w:val="num" w:pos="360"/>
        </w:tabs>
        <w:ind w:left="360" w:hanging="360"/>
      </w:pPr>
      <w:rPr>
        <w:rFonts w:cs="Times New Roman"/>
      </w:rPr>
    </w:lvl>
  </w:abstractNum>
  <w:abstractNum w:abstractNumId="31">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2">
    <w:nsid w:val="30E923D8"/>
    <w:multiLevelType w:val="multilevel"/>
    <w:tmpl w:val="28665CE4"/>
    <w:lvl w:ilvl="0">
      <w:start w:val="1"/>
      <w:numFmt w:val="upperLetter"/>
      <w:pStyle w:val="AttachmentTitle"/>
      <w:lvlText w:val="Attachment %1: "/>
      <w:lvlJc w:val="left"/>
      <w:pPr>
        <w:ind w:left="360" w:hanging="360"/>
      </w:pPr>
      <w:rPr>
        <w:rFonts w:hint="default"/>
      </w:rPr>
    </w:lvl>
    <w:lvl w:ilvl="1">
      <w:start w:val="1"/>
      <w:numFmt w:val="decimal"/>
      <w:pStyle w:val="AttachmentHeading1"/>
      <w:lvlText w:val="%1.%2"/>
      <w:lvlJc w:val="left"/>
      <w:pPr>
        <w:tabs>
          <w:tab w:val="num" w:pos="-144"/>
        </w:tabs>
        <w:ind w:left="-144" w:hanging="576"/>
      </w:pPr>
      <w:rPr>
        <w:rFonts w:hint="default"/>
      </w:rPr>
    </w:lvl>
    <w:lvl w:ilvl="2">
      <w:start w:val="1"/>
      <w:numFmt w:val="decimal"/>
      <w:pStyle w:val="AttachmentHeading2"/>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33">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34">
    <w:nsid w:val="32D54839"/>
    <w:multiLevelType w:val="multilevel"/>
    <w:tmpl w:val="4AEE2348"/>
    <w:numStyleLink w:val="SKMSmallTableList1"/>
  </w:abstractNum>
  <w:abstractNum w:abstractNumId="35">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D47411"/>
    <w:multiLevelType w:val="hybridMultilevel"/>
    <w:tmpl w:val="E5B4C6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pStyle w:val="StyleHeading3ArialNarrow10ptNotBold"/>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9CA4CAF"/>
    <w:multiLevelType w:val="hybridMultilevel"/>
    <w:tmpl w:val="136C7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40">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41">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2">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446A46FF"/>
    <w:multiLevelType w:val="multilevel"/>
    <w:tmpl w:val="3BA44F1A"/>
    <w:styleLink w:val="SKMTableList1"/>
    <w:lvl w:ilvl="0">
      <w:start w:val="1"/>
      <w:numFmt w:val="bullet"/>
      <w:pStyle w:val="Tablebullet0"/>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4">
    <w:nsid w:val="46270CC2"/>
    <w:multiLevelType w:val="hybridMultilevel"/>
    <w:tmpl w:val="2B6067B0"/>
    <w:lvl w:ilvl="0" w:tplc="A8A2FD02">
      <w:start w:val="1"/>
      <w:numFmt w:val="lowerRoman"/>
      <w:pStyle w:val="Para2Roman0"/>
      <w:lvlText w:val="%1."/>
      <w:lvlJc w:val="left"/>
      <w:pPr>
        <w:tabs>
          <w:tab w:val="num" w:pos="1191"/>
        </w:tabs>
        <w:ind w:left="1191" w:hanging="397"/>
      </w:pPr>
      <w:rPr>
        <w:rFonts w:hint="default"/>
      </w:rPr>
    </w:lvl>
    <w:lvl w:ilvl="1" w:tplc="F5A42256" w:tentative="1">
      <w:start w:val="1"/>
      <w:numFmt w:val="lowerLetter"/>
      <w:lvlText w:val="%2."/>
      <w:lvlJc w:val="left"/>
      <w:pPr>
        <w:tabs>
          <w:tab w:val="num" w:pos="1440"/>
        </w:tabs>
        <w:ind w:left="1440" w:hanging="360"/>
      </w:pPr>
    </w:lvl>
    <w:lvl w:ilvl="2" w:tplc="A9B2B8C2" w:tentative="1">
      <w:start w:val="1"/>
      <w:numFmt w:val="lowerRoman"/>
      <w:lvlText w:val="%3."/>
      <w:lvlJc w:val="right"/>
      <w:pPr>
        <w:tabs>
          <w:tab w:val="num" w:pos="2160"/>
        </w:tabs>
        <w:ind w:left="2160" w:hanging="180"/>
      </w:pPr>
    </w:lvl>
    <w:lvl w:ilvl="3" w:tplc="9924664C" w:tentative="1">
      <w:start w:val="1"/>
      <w:numFmt w:val="decimal"/>
      <w:lvlText w:val="%4."/>
      <w:lvlJc w:val="left"/>
      <w:pPr>
        <w:tabs>
          <w:tab w:val="num" w:pos="2880"/>
        </w:tabs>
        <w:ind w:left="2880" w:hanging="360"/>
      </w:pPr>
    </w:lvl>
    <w:lvl w:ilvl="4" w:tplc="E7D0D8C2" w:tentative="1">
      <w:start w:val="1"/>
      <w:numFmt w:val="lowerLetter"/>
      <w:lvlText w:val="%5."/>
      <w:lvlJc w:val="left"/>
      <w:pPr>
        <w:tabs>
          <w:tab w:val="num" w:pos="3600"/>
        </w:tabs>
        <w:ind w:left="3600" w:hanging="360"/>
      </w:pPr>
    </w:lvl>
    <w:lvl w:ilvl="5" w:tplc="2D7EBCCC" w:tentative="1">
      <w:start w:val="1"/>
      <w:numFmt w:val="lowerRoman"/>
      <w:lvlText w:val="%6."/>
      <w:lvlJc w:val="right"/>
      <w:pPr>
        <w:tabs>
          <w:tab w:val="num" w:pos="4320"/>
        </w:tabs>
        <w:ind w:left="4320" w:hanging="180"/>
      </w:pPr>
    </w:lvl>
    <w:lvl w:ilvl="6" w:tplc="7848EFA6" w:tentative="1">
      <w:start w:val="1"/>
      <w:numFmt w:val="decimal"/>
      <w:lvlText w:val="%7."/>
      <w:lvlJc w:val="left"/>
      <w:pPr>
        <w:tabs>
          <w:tab w:val="num" w:pos="5040"/>
        </w:tabs>
        <w:ind w:left="5040" w:hanging="360"/>
      </w:pPr>
    </w:lvl>
    <w:lvl w:ilvl="7" w:tplc="35F686E0" w:tentative="1">
      <w:start w:val="1"/>
      <w:numFmt w:val="lowerLetter"/>
      <w:lvlText w:val="%8."/>
      <w:lvlJc w:val="left"/>
      <w:pPr>
        <w:tabs>
          <w:tab w:val="num" w:pos="5760"/>
        </w:tabs>
        <w:ind w:left="5760" w:hanging="360"/>
      </w:pPr>
    </w:lvl>
    <w:lvl w:ilvl="8" w:tplc="B4D28A88" w:tentative="1">
      <w:start w:val="1"/>
      <w:numFmt w:val="lowerRoman"/>
      <w:lvlText w:val="%9."/>
      <w:lvlJc w:val="right"/>
      <w:pPr>
        <w:tabs>
          <w:tab w:val="num" w:pos="6480"/>
        </w:tabs>
        <w:ind w:left="6480" w:hanging="180"/>
      </w:pPr>
    </w:lvl>
  </w:abstractNum>
  <w:abstractNum w:abstractNumId="45">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6">
    <w:nsid w:val="491604CC"/>
    <w:multiLevelType w:val="hybridMultilevel"/>
    <w:tmpl w:val="D52454DA"/>
    <w:lvl w:ilvl="0" w:tplc="820A219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49980CC6"/>
    <w:multiLevelType w:val="hybridMultilevel"/>
    <w:tmpl w:val="56A2045A"/>
    <w:lvl w:ilvl="0" w:tplc="11822368">
      <w:start w:val="1"/>
      <w:numFmt w:val="lowerRoman"/>
      <w:pStyle w:val="Para3Roman"/>
      <w:lvlText w:val="%1."/>
      <w:lvlJc w:val="left"/>
      <w:pPr>
        <w:tabs>
          <w:tab w:val="num" w:pos="1588"/>
        </w:tabs>
        <w:ind w:left="1588" w:hanging="397"/>
      </w:pPr>
      <w:rPr>
        <w:rFonts w:hint="default"/>
      </w:rPr>
    </w:lvl>
    <w:lvl w:ilvl="1" w:tplc="D81A1F2E" w:tentative="1">
      <w:start w:val="1"/>
      <w:numFmt w:val="lowerLetter"/>
      <w:lvlText w:val="%2."/>
      <w:lvlJc w:val="left"/>
      <w:pPr>
        <w:tabs>
          <w:tab w:val="num" w:pos="1440"/>
        </w:tabs>
        <w:ind w:left="1440" w:hanging="360"/>
      </w:pPr>
    </w:lvl>
    <w:lvl w:ilvl="2" w:tplc="9C525B40" w:tentative="1">
      <w:start w:val="1"/>
      <w:numFmt w:val="lowerRoman"/>
      <w:lvlText w:val="%3."/>
      <w:lvlJc w:val="right"/>
      <w:pPr>
        <w:tabs>
          <w:tab w:val="num" w:pos="2160"/>
        </w:tabs>
        <w:ind w:left="2160" w:hanging="180"/>
      </w:pPr>
    </w:lvl>
    <w:lvl w:ilvl="3" w:tplc="316C5FA2" w:tentative="1">
      <w:start w:val="1"/>
      <w:numFmt w:val="decimal"/>
      <w:lvlText w:val="%4."/>
      <w:lvlJc w:val="left"/>
      <w:pPr>
        <w:tabs>
          <w:tab w:val="num" w:pos="2880"/>
        </w:tabs>
        <w:ind w:left="2880" w:hanging="360"/>
      </w:pPr>
    </w:lvl>
    <w:lvl w:ilvl="4" w:tplc="5E60FBCC" w:tentative="1">
      <w:start w:val="1"/>
      <w:numFmt w:val="lowerLetter"/>
      <w:lvlText w:val="%5."/>
      <w:lvlJc w:val="left"/>
      <w:pPr>
        <w:tabs>
          <w:tab w:val="num" w:pos="3600"/>
        </w:tabs>
        <w:ind w:left="3600" w:hanging="360"/>
      </w:pPr>
    </w:lvl>
    <w:lvl w:ilvl="5" w:tplc="731EE1CA" w:tentative="1">
      <w:start w:val="1"/>
      <w:numFmt w:val="lowerRoman"/>
      <w:lvlText w:val="%6."/>
      <w:lvlJc w:val="right"/>
      <w:pPr>
        <w:tabs>
          <w:tab w:val="num" w:pos="4320"/>
        </w:tabs>
        <w:ind w:left="4320" w:hanging="180"/>
      </w:pPr>
    </w:lvl>
    <w:lvl w:ilvl="6" w:tplc="AE707EEC" w:tentative="1">
      <w:start w:val="1"/>
      <w:numFmt w:val="decimal"/>
      <w:lvlText w:val="%7."/>
      <w:lvlJc w:val="left"/>
      <w:pPr>
        <w:tabs>
          <w:tab w:val="num" w:pos="5040"/>
        </w:tabs>
        <w:ind w:left="5040" w:hanging="360"/>
      </w:pPr>
    </w:lvl>
    <w:lvl w:ilvl="7" w:tplc="CC5C5A32" w:tentative="1">
      <w:start w:val="1"/>
      <w:numFmt w:val="lowerLetter"/>
      <w:lvlText w:val="%8."/>
      <w:lvlJc w:val="left"/>
      <w:pPr>
        <w:tabs>
          <w:tab w:val="num" w:pos="5760"/>
        </w:tabs>
        <w:ind w:left="5760" w:hanging="360"/>
      </w:pPr>
    </w:lvl>
    <w:lvl w:ilvl="8" w:tplc="C34A7746" w:tentative="1">
      <w:start w:val="1"/>
      <w:numFmt w:val="lowerRoman"/>
      <w:lvlText w:val="%9."/>
      <w:lvlJc w:val="right"/>
      <w:pPr>
        <w:tabs>
          <w:tab w:val="num" w:pos="6480"/>
        </w:tabs>
        <w:ind w:left="6480" w:hanging="180"/>
      </w:pPr>
    </w:lvl>
  </w:abstractNum>
  <w:abstractNum w:abstractNumId="48">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9">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50">
    <w:nsid w:val="5C7C4E77"/>
    <w:multiLevelType w:val="multilevel"/>
    <w:tmpl w:val="78AAB3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4537"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51">
    <w:nsid w:val="60E33B39"/>
    <w:multiLevelType w:val="hybridMultilevel"/>
    <w:tmpl w:val="5ECA0010"/>
    <w:lvl w:ilvl="0" w:tplc="B3ECF2D0">
      <w:start w:val="1"/>
      <w:numFmt w:val="bullet"/>
      <w:pStyle w:val="TabletextBullet"/>
      <w:lvlText w:val=""/>
      <w:lvlJc w:val="left"/>
      <w:pPr>
        <w:ind w:left="720" w:hanging="360"/>
      </w:pPr>
      <w:rPr>
        <w:rFonts w:ascii="Symbol" w:hAnsi="Symbol" w:hint="default"/>
      </w:rPr>
    </w:lvl>
    <w:lvl w:ilvl="1" w:tplc="C936D774">
      <w:start w:val="1"/>
      <w:numFmt w:val="decimal"/>
      <w:lvlText w:val="%2."/>
      <w:lvlJc w:val="left"/>
      <w:pPr>
        <w:tabs>
          <w:tab w:val="num" w:pos="1440"/>
        </w:tabs>
        <w:ind w:left="1440" w:hanging="360"/>
      </w:pPr>
      <w:rPr>
        <w:rFonts w:cs="Times New Roman"/>
      </w:rPr>
    </w:lvl>
    <w:lvl w:ilvl="2" w:tplc="1D4C4E2E">
      <w:start w:val="1"/>
      <w:numFmt w:val="decimal"/>
      <w:lvlText w:val="%3."/>
      <w:lvlJc w:val="left"/>
      <w:pPr>
        <w:tabs>
          <w:tab w:val="num" w:pos="2160"/>
        </w:tabs>
        <w:ind w:left="2160" w:hanging="360"/>
      </w:pPr>
      <w:rPr>
        <w:rFonts w:cs="Times New Roman"/>
      </w:rPr>
    </w:lvl>
    <w:lvl w:ilvl="3" w:tplc="B3DEDB3A">
      <w:start w:val="1"/>
      <w:numFmt w:val="decimal"/>
      <w:lvlText w:val="%4."/>
      <w:lvlJc w:val="left"/>
      <w:pPr>
        <w:tabs>
          <w:tab w:val="num" w:pos="2880"/>
        </w:tabs>
        <w:ind w:left="2880" w:hanging="360"/>
      </w:pPr>
      <w:rPr>
        <w:rFonts w:cs="Times New Roman"/>
      </w:rPr>
    </w:lvl>
    <w:lvl w:ilvl="4" w:tplc="E9CA8EC4">
      <w:start w:val="1"/>
      <w:numFmt w:val="decimal"/>
      <w:lvlText w:val="%5."/>
      <w:lvlJc w:val="left"/>
      <w:pPr>
        <w:tabs>
          <w:tab w:val="num" w:pos="3600"/>
        </w:tabs>
        <w:ind w:left="3600" w:hanging="360"/>
      </w:pPr>
      <w:rPr>
        <w:rFonts w:cs="Times New Roman"/>
      </w:rPr>
    </w:lvl>
    <w:lvl w:ilvl="5" w:tplc="7832848A">
      <w:start w:val="1"/>
      <w:numFmt w:val="decimal"/>
      <w:lvlText w:val="%6."/>
      <w:lvlJc w:val="left"/>
      <w:pPr>
        <w:tabs>
          <w:tab w:val="num" w:pos="4320"/>
        </w:tabs>
        <w:ind w:left="4320" w:hanging="360"/>
      </w:pPr>
      <w:rPr>
        <w:rFonts w:cs="Times New Roman"/>
      </w:rPr>
    </w:lvl>
    <w:lvl w:ilvl="6" w:tplc="0658AF66">
      <w:start w:val="1"/>
      <w:numFmt w:val="decimal"/>
      <w:lvlText w:val="%7."/>
      <w:lvlJc w:val="left"/>
      <w:pPr>
        <w:tabs>
          <w:tab w:val="num" w:pos="5040"/>
        </w:tabs>
        <w:ind w:left="5040" w:hanging="360"/>
      </w:pPr>
      <w:rPr>
        <w:rFonts w:cs="Times New Roman"/>
      </w:rPr>
    </w:lvl>
    <w:lvl w:ilvl="7" w:tplc="7F60E246">
      <w:start w:val="1"/>
      <w:numFmt w:val="decimal"/>
      <w:lvlText w:val="%8."/>
      <w:lvlJc w:val="left"/>
      <w:pPr>
        <w:tabs>
          <w:tab w:val="num" w:pos="5760"/>
        </w:tabs>
        <w:ind w:left="5760" w:hanging="360"/>
      </w:pPr>
      <w:rPr>
        <w:rFonts w:cs="Times New Roman"/>
      </w:rPr>
    </w:lvl>
    <w:lvl w:ilvl="8" w:tplc="3AFAEAC8">
      <w:start w:val="1"/>
      <w:numFmt w:val="decimal"/>
      <w:lvlText w:val="%9."/>
      <w:lvlJc w:val="left"/>
      <w:pPr>
        <w:tabs>
          <w:tab w:val="num" w:pos="6480"/>
        </w:tabs>
        <w:ind w:left="6480" w:hanging="360"/>
      </w:pPr>
      <w:rPr>
        <w:rFonts w:cs="Times New Roman"/>
      </w:rPr>
    </w:lvl>
  </w:abstractNum>
  <w:abstractNum w:abstractNumId="52">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53">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4">
    <w:nsid w:val="633D6386"/>
    <w:multiLevelType w:val="multilevel"/>
    <w:tmpl w:val="E67A8972"/>
    <w:lvl w:ilvl="0">
      <w:start w:val="1"/>
      <w:numFmt w:val="upperLetter"/>
      <w:pStyle w:val="Heading9"/>
      <w:suff w:val="space"/>
      <w:lvlText w:val="Appendix %1."/>
      <w:lvlJc w:val="left"/>
      <w:pPr>
        <w:ind w:left="7307"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55">
    <w:nsid w:val="67BB4ECA"/>
    <w:multiLevelType w:val="multilevel"/>
    <w:tmpl w:val="0B9E0696"/>
    <w:lvl w:ilvl="0">
      <w:start w:val="1"/>
      <w:numFmt w:val="upperLetter"/>
      <w:pStyle w:val="AppHeading"/>
      <w:lvlText w:val="Appendix %1 - "/>
      <w:lvlJc w:val="left"/>
      <w:pPr>
        <w:tabs>
          <w:tab w:val="num" w:pos="1800"/>
        </w:tabs>
        <w:ind w:hanging="360"/>
      </w:pPr>
      <w:rPr>
        <w:rFonts w:cs="Times New Roman" w:hint="default"/>
      </w:rPr>
    </w:lvl>
    <w:lvl w:ilvl="1">
      <w:start w:val="1"/>
      <w:numFmt w:val="decimal"/>
      <w:pStyle w:val="AppHeading2"/>
      <w:lvlText w:val="%1.1"/>
      <w:lvlJc w:val="left"/>
      <w:pPr>
        <w:tabs>
          <w:tab w:val="num" w:pos="720"/>
        </w:tabs>
        <w:ind w:left="360" w:hanging="360"/>
      </w:pPr>
      <w:rPr>
        <w:rFonts w:cs="Times New Roman" w:hint="default"/>
      </w:rPr>
    </w:lvl>
    <w:lvl w:ilvl="2">
      <w:start w:val="1"/>
      <w:numFmt w:val="decimal"/>
      <w:lvlText w:val="%1.%2.%3"/>
      <w:lvlJc w:val="left"/>
      <w:pPr>
        <w:tabs>
          <w:tab w:val="num" w:pos="720"/>
        </w:tabs>
        <w:ind w:left="720" w:hanging="360"/>
      </w:pPr>
      <w:rPr>
        <w:rFonts w:cs="Times New Roman"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56">
    <w:nsid w:val="6D0D493B"/>
    <w:multiLevelType w:val="multilevel"/>
    <w:tmpl w:val="4E046DD0"/>
    <w:lvl w:ilvl="0">
      <w:start w:val="1"/>
      <w:numFmt w:val="decimal"/>
      <w:pStyle w:val="StyleSCHEDULECentre"/>
      <w:lvlText w:val="SCHEDULE %1"/>
      <w:lvlJc w:val="left"/>
      <w:pPr>
        <w:tabs>
          <w:tab w:val="num" w:pos="0"/>
        </w:tabs>
      </w:pPr>
      <w:rPr>
        <w:rFonts w:ascii="Tahoma" w:hAnsi="Tahoma" w:cs="Times New Roman" w:hint="default"/>
        <w:b/>
        <w:i w:val="0"/>
        <w:sz w:val="20"/>
      </w:rPr>
    </w:lvl>
    <w:lvl w:ilvl="1">
      <w:start w:val="1"/>
      <w:numFmt w:val="decimal"/>
      <w:pStyle w:val="Schedule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4.%1.%2.%3.%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57">
    <w:nsid w:val="6D5B1328"/>
    <w:multiLevelType w:val="singleLevel"/>
    <w:tmpl w:val="10F4D800"/>
    <w:lvl w:ilvl="0">
      <w:start w:val="1"/>
      <w:numFmt w:val="bullet"/>
      <w:pStyle w:val="StyleHeading3h3subheadingHeading3SubHeadingh3H3Heading"/>
      <w:lvlText w:val=""/>
      <w:lvlJc w:val="left"/>
      <w:pPr>
        <w:tabs>
          <w:tab w:val="num" w:pos="794"/>
        </w:tabs>
        <w:ind w:left="794" w:hanging="397"/>
      </w:pPr>
      <w:rPr>
        <w:rFonts w:ascii="Wingdings" w:hAnsi="Wingdings" w:hint="default"/>
        <w:sz w:val="12"/>
      </w:rPr>
    </w:lvl>
  </w:abstractNum>
  <w:abstractNum w:abstractNumId="58">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83306D"/>
    <w:multiLevelType w:val="hybridMultilevel"/>
    <w:tmpl w:val="8A6274EE"/>
    <w:lvl w:ilvl="0" w:tplc="2B525E8E">
      <w:start w:val="1"/>
      <w:numFmt w:val="lowerRoman"/>
      <w:pStyle w:val="Para0Roman0"/>
      <w:lvlText w:val="%1."/>
      <w:lvlJc w:val="left"/>
      <w:pPr>
        <w:tabs>
          <w:tab w:val="num" w:pos="397"/>
        </w:tabs>
        <w:ind w:left="397" w:hanging="39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0">
    <w:nsid w:val="77E67FE1"/>
    <w:multiLevelType w:val="hybridMultilevel"/>
    <w:tmpl w:val="B5A2BC88"/>
    <w:lvl w:ilvl="0" w:tplc="55EA5CF0">
      <w:start w:val="1"/>
      <w:numFmt w:val="bullet"/>
      <w:pStyle w:val="ProjectExperienceBullet"/>
      <w:lvlText w:val="»"/>
      <w:lvlJc w:val="left"/>
      <w:pPr>
        <w:tabs>
          <w:tab w:val="num" w:pos="720"/>
        </w:tabs>
        <w:ind w:left="720" w:hanging="360"/>
      </w:pPr>
      <w:rPr>
        <w:rFonts w:ascii="Courier New" w:hAnsi="Courier New" w:hint="default"/>
        <w:b/>
        <w:color w:val="4B0066"/>
        <w:sz w:val="24"/>
      </w:rPr>
    </w:lvl>
    <w:lvl w:ilvl="1" w:tplc="E4042054" w:tentative="1">
      <w:start w:val="1"/>
      <w:numFmt w:val="bullet"/>
      <w:lvlText w:val="o"/>
      <w:lvlJc w:val="left"/>
      <w:pPr>
        <w:tabs>
          <w:tab w:val="num" w:pos="1440"/>
        </w:tabs>
        <w:ind w:left="1440" w:hanging="360"/>
      </w:pPr>
      <w:rPr>
        <w:rFonts w:ascii="Courier New" w:hAnsi="Courier New" w:hint="default"/>
      </w:rPr>
    </w:lvl>
    <w:lvl w:ilvl="2" w:tplc="9F4E0790" w:tentative="1">
      <w:start w:val="1"/>
      <w:numFmt w:val="bullet"/>
      <w:lvlText w:val=""/>
      <w:lvlJc w:val="left"/>
      <w:pPr>
        <w:tabs>
          <w:tab w:val="num" w:pos="2160"/>
        </w:tabs>
        <w:ind w:left="2160" w:hanging="360"/>
      </w:pPr>
      <w:rPr>
        <w:rFonts w:ascii="Wingdings" w:hAnsi="Wingdings" w:hint="default"/>
      </w:rPr>
    </w:lvl>
    <w:lvl w:ilvl="3" w:tplc="8E04992E" w:tentative="1">
      <w:start w:val="1"/>
      <w:numFmt w:val="bullet"/>
      <w:lvlText w:val=""/>
      <w:lvlJc w:val="left"/>
      <w:pPr>
        <w:tabs>
          <w:tab w:val="num" w:pos="2880"/>
        </w:tabs>
        <w:ind w:left="2880" w:hanging="360"/>
      </w:pPr>
      <w:rPr>
        <w:rFonts w:ascii="Symbol" w:hAnsi="Symbol" w:hint="default"/>
      </w:rPr>
    </w:lvl>
    <w:lvl w:ilvl="4" w:tplc="F2321A58" w:tentative="1">
      <w:start w:val="1"/>
      <w:numFmt w:val="bullet"/>
      <w:lvlText w:val="o"/>
      <w:lvlJc w:val="left"/>
      <w:pPr>
        <w:tabs>
          <w:tab w:val="num" w:pos="3600"/>
        </w:tabs>
        <w:ind w:left="3600" w:hanging="360"/>
      </w:pPr>
      <w:rPr>
        <w:rFonts w:ascii="Courier New" w:hAnsi="Courier New" w:hint="default"/>
      </w:rPr>
    </w:lvl>
    <w:lvl w:ilvl="5" w:tplc="27D09B00" w:tentative="1">
      <w:start w:val="1"/>
      <w:numFmt w:val="bullet"/>
      <w:lvlText w:val=""/>
      <w:lvlJc w:val="left"/>
      <w:pPr>
        <w:tabs>
          <w:tab w:val="num" w:pos="4320"/>
        </w:tabs>
        <w:ind w:left="4320" w:hanging="360"/>
      </w:pPr>
      <w:rPr>
        <w:rFonts w:ascii="Wingdings" w:hAnsi="Wingdings" w:hint="default"/>
      </w:rPr>
    </w:lvl>
    <w:lvl w:ilvl="6" w:tplc="FC784BB4" w:tentative="1">
      <w:start w:val="1"/>
      <w:numFmt w:val="bullet"/>
      <w:lvlText w:val=""/>
      <w:lvlJc w:val="left"/>
      <w:pPr>
        <w:tabs>
          <w:tab w:val="num" w:pos="5040"/>
        </w:tabs>
        <w:ind w:left="5040" w:hanging="360"/>
      </w:pPr>
      <w:rPr>
        <w:rFonts w:ascii="Symbol" w:hAnsi="Symbol" w:hint="default"/>
      </w:rPr>
    </w:lvl>
    <w:lvl w:ilvl="7" w:tplc="C9763892" w:tentative="1">
      <w:start w:val="1"/>
      <w:numFmt w:val="bullet"/>
      <w:lvlText w:val="o"/>
      <w:lvlJc w:val="left"/>
      <w:pPr>
        <w:tabs>
          <w:tab w:val="num" w:pos="5760"/>
        </w:tabs>
        <w:ind w:left="5760" w:hanging="360"/>
      </w:pPr>
      <w:rPr>
        <w:rFonts w:ascii="Courier New" w:hAnsi="Courier New" w:hint="default"/>
      </w:rPr>
    </w:lvl>
    <w:lvl w:ilvl="8" w:tplc="8A627208" w:tentative="1">
      <w:start w:val="1"/>
      <w:numFmt w:val="bullet"/>
      <w:lvlText w:val=""/>
      <w:lvlJc w:val="left"/>
      <w:pPr>
        <w:tabs>
          <w:tab w:val="num" w:pos="6480"/>
        </w:tabs>
        <w:ind w:left="6480" w:hanging="360"/>
      </w:pPr>
      <w:rPr>
        <w:rFonts w:ascii="Wingdings" w:hAnsi="Wingdings" w:hint="default"/>
      </w:rPr>
    </w:lvl>
  </w:abstractNum>
  <w:abstractNum w:abstractNumId="61">
    <w:nsid w:val="784A74F1"/>
    <w:multiLevelType w:val="multilevel"/>
    <w:tmpl w:val="07F22186"/>
    <w:numStyleLink w:val="SKMTableItem"/>
  </w:abstractNum>
  <w:abstractNum w:abstractNumId="62">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15"/>
  </w:num>
  <w:num w:numId="2">
    <w:abstractNumId w:val="16"/>
  </w:num>
  <w:num w:numId="3">
    <w:abstractNumId w:val="29"/>
  </w:num>
  <w:num w:numId="4">
    <w:abstractNumId w:val="38"/>
  </w:num>
  <w:num w:numId="5">
    <w:abstractNumId w:val="35"/>
  </w:num>
  <w:num w:numId="6">
    <w:abstractNumId w:val="58"/>
  </w:num>
  <w:num w:numId="7">
    <w:abstractNumId w:val="50"/>
  </w:num>
  <w:num w:numId="8">
    <w:abstractNumId w:val="40"/>
  </w:num>
  <w:num w:numId="9">
    <w:abstractNumId w:val="23"/>
  </w:num>
  <w:num w:numId="10">
    <w:abstractNumId w:val="39"/>
  </w:num>
  <w:num w:numId="11">
    <w:abstractNumId w:val="28"/>
  </w:num>
  <w:num w:numId="12">
    <w:abstractNumId w:val="53"/>
  </w:num>
  <w:num w:numId="13">
    <w:abstractNumId w:val="26"/>
  </w:num>
  <w:num w:numId="14">
    <w:abstractNumId w:val="12"/>
  </w:num>
  <w:num w:numId="15">
    <w:abstractNumId w:val="22"/>
  </w:num>
  <w:num w:numId="16">
    <w:abstractNumId w:val="45"/>
  </w:num>
  <w:num w:numId="17">
    <w:abstractNumId w:val="27"/>
  </w:num>
  <w:num w:numId="18">
    <w:abstractNumId w:val="19"/>
  </w:num>
  <w:num w:numId="19">
    <w:abstractNumId w:val="31"/>
  </w:num>
  <w:num w:numId="20">
    <w:abstractNumId w:val="48"/>
  </w:num>
  <w:num w:numId="21">
    <w:abstractNumId w:val="43"/>
  </w:num>
  <w:num w:numId="22">
    <w:abstractNumId w:val="52"/>
  </w:num>
  <w:num w:numId="23">
    <w:abstractNumId w:val="41"/>
  </w:num>
  <w:num w:numId="24">
    <w:abstractNumId w:val="11"/>
  </w:num>
  <w:num w:numId="25">
    <w:abstractNumId w:val="21"/>
  </w:num>
  <w:num w:numId="26">
    <w:abstractNumId w:val="61"/>
  </w:num>
  <w:num w:numId="27">
    <w:abstractNumId w:val="41"/>
  </w:num>
  <w:num w:numId="28">
    <w:abstractNumId w:val="52"/>
  </w:num>
  <w:num w:numId="29">
    <w:abstractNumId w:val="34"/>
  </w:num>
  <w:num w:numId="30">
    <w:abstractNumId w:val="25"/>
  </w:num>
  <w:num w:numId="31">
    <w:abstractNumId w:val="31"/>
  </w:num>
  <w:num w:numId="32">
    <w:abstractNumId w:val="19"/>
  </w:num>
  <w:num w:numId="33">
    <w:abstractNumId w:val="54"/>
  </w:num>
  <w:num w:numId="34">
    <w:abstractNumId w:val="28"/>
  </w:num>
  <w:num w:numId="35">
    <w:abstractNumId w:val="62"/>
  </w:num>
  <w:num w:numId="36">
    <w:abstractNumId w:val="22"/>
  </w:num>
  <w:num w:numId="37">
    <w:abstractNumId w:val="23"/>
  </w:num>
  <w:num w:numId="38">
    <w:abstractNumId w:val="39"/>
  </w:num>
  <w:num w:numId="39">
    <w:abstractNumId w:val="12"/>
  </w:num>
  <w:num w:numId="40">
    <w:abstractNumId w:val="26"/>
  </w:num>
  <w:num w:numId="41">
    <w:abstractNumId w:val="57"/>
  </w:num>
  <w:num w:numId="42">
    <w:abstractNumId w:val="42"/>
  </w:num>
  <w:num w:numId="43">
    <w:abstractNumId w:val="49"/>
  </w:num>
  <w:num w:numId="44">
    <w:abstractNumId w:val="33"/>
  </w:num>
  <w:num w:numId="45">
    <w:abstractNumId w:val="59"/>
  </w:num>
  <w:num w:numId="46">
    <w:abstractNumId w:val="13"/>
  </w:num>
  <w:num w:numId="47">
    <w:abstractNumId w:val="44"/>
  </w:num>
  <w:num w:numId="48">
    <w:abstractNumId w:val="47"/>
  </w:num>
  <w:num w:numId="49">
    <w:abstractNumId w:val="17"/>
  </w:num>
  <w:num w:numId="50">
    <w:abstractNumId w:val="7"/>
  </w:num>
  <w:num w:numId="51">
    <w:abstractNumId w:val="6"/>
  </w:num>
  <w:num w:numId="52">
    <w:abstractNumId w:val="5"/>
  </w:num>
  <w:num w:numId="53">
    <w:abstractNumId w:val="4"/>
  </w:num>
  <w:num w:numId="54">
    <w:abstractNumId w:val="8"/>
  </w:num>
  <w:num w:numId="55">
    <w:abstractNumId w:val="3"/>
  </w:num>
  <w:num w:numId="56">
    <w:abstractNumId w:val="2"/>
  </w:num>
  <w:num w:numId="57">
    <w:abstractNumId w:val="1"/>
  </w:num>
  <w:num w:numId="58">
    <w:abstractNumId w:val="0"/>
  </w:num>
  <w:num w:numId="59">
    <w:abstractNumId w:val="56"/>
  </w:num>
  <w:num w:numId="60">
    <w:abstractNumId w:val="20"/>
  </w:num>
  <w:num w:numId="61">
    <w:abstractNumId w:val="55"/>
  </w:num>
  <w:num w:numId="62">
    <w:abstractNumId w:val="30"/>
  </w:num>
  <w:num w:numId="63">
    <w:abstractNumId w:val="36"/>
  </w:num>
  <w:num w:numId="64">
    <w:abstractNumId w:val="60"/>
  </w:num>
  <w:num w:numId="6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num>
  <w:num w:numId="67">
    <w:abstractNumId w:val="24"/>
  </w:num>
  <w:num w:numId="68">
    <w:abstractNumId w:val="14"/>
  </w:num>
  <w:num w:numId="69">
    <w:abstractNumId w:val="37"/>
  </w:num>
  <w:num w:numId="70">
    <w:abstractNumId w:val="32"/>
  </w:num>
  <w:num w:numId="71">
    <w:abstractNumId w:val="18"/>
  </w:num>
  <w:num w:numId="72">
    <w:abstractNumId w:val="9"/>
  </w:num>
  <w:num w:numId="73">
    <w:abstractNumId w:val="39"/>
  </w:num>
  <w:num w:numId="74">
    <w:abstractNumId w:val="46"/>
  </w:num>
  <w:num w:numId="75">
    <w:abstractNumId w:val="54"/>
  </w:num>
  <w:num w:numId="76">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1" w:val="Jacobs Group (Australia) Pty Limited"/>
    <w:docVar w:name="Add2" w:val="Floor 11, 452 Flinders Street"/>
    <w:docVar w:name="Add3" w:val="Melbourne VIC 3000"/>
    <w:docVar w:name="Add4" w:val="PO Box 312, Flinders Lane"/>
    <w:docVar w:name="Add5" w:val="Melbourne VIC 8009 Australia"/>
    <w:docVar w:name="Add6" w:val=" "/>
    <w:docVar w:name="AuthorEmail" w:val="walter.gerardi@jacobs.com"/>
    <w:docVar w:name="AuthorName" w:val="Walter Gerardi"/>
    <w:docVar w:name="AuthorPhone" w:val="+61 3 86683081"/>
    <w:docVar w:name="AuthorTitle" w:val="Modelling of Energy Market Impacts of the VEET"/>
    <w:docVar w:name="Branding" w:val="JACOBS"/>
    <w:docVar w:name="CoverBusinessRegoNo" w:val="ABN 37 001 024 095"/>
    <w:docVar w:name="CoverCopyright" w:val="Jacobs Group (Australia) Pty Limited"/>
    <w:docVar w:name="CoverLimitation" w:val="Jacobs"/>
    <w:docVar w:name="DirectorsFile" w:val=" "/>
    <w:docVar w:name="EntityName" w:val="JACOBS AUSTRALIA"/>
    <w:docVar w:name="Fax" w:val="F +61 3 8668 3001"/>
    <w:docVar w:name="FaxFooter" w:val="Jacobs Group (Australia) Pty Limited ABN 37 001 024 095"/>
    <w:docVar w:name="FaxFooterFollowOn" w:val=" "/>
    <w:docVar w:name="Footer" w:val="Jacobs Group (Australia) Pty Limited ABN 37 001 024 095"/>
    <w:docVar w:name="FooterFollowOn" w:val=" "/>
    <w:docVar w:name="LetterFooter1" w:val="Jacobs Group (Australia) Pty Limited ABN 37 001 024 095"/>
    <w:docVar w:name="LetterFooter2" w:val="Jacobs® is a trademark of Jacobs Engineering Group Inc."/>
    <w:docVar w:name="LetterFooter3" w:val=" "/>
    <w:docVar w:name="LetterFooterFollowOn" w:val=" "/>
    <w:docVar w:name="Logo" w:val="Jacobs cover logo A4"/>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StationeryCoverImageA4" w:val=" "/>
    <w:docVar w:name="LogoStationeryCoverImageA4Landscape" w:val=" "/>
    <w:docVar w:name="LogoStationeryCoverImageUSLLandscape" w:val=" "/>
    <w:docVar w:name="LogoStationeryCoverImageUSLPortrait" w:val=" "/>
    <w:docVar w:name="LogoStationeryGeneral" w:val="Jacobs stationery logo A4"/>
    <w:docVar w:name="LogoStationeryGeneralUSL" w:val="Jacobs stationery logo USL"/>
    <w:docVar w:name="LogoStationeryLetterFax" w:val="Jacobs letfax logo A4"/>
    <w:docVar w:name="LogoStationeryLetterFaxUSL" w:val="Jacobs letfax logo USL"/>
    <w:docVar w:name="LogoStationeryReportFly" w:val=" "/>
    <w:docVar w:name="LogoStationeryReportFlyL" w:val=" "/>
    <w:docVar w:name="LogoStationeryReportFlyLUSL" w:val=" "/>
    <w:docVar w:name="LogoStationeryReportFlyUSL" w:val=" "/>
    <w:docVar w:name="LogoStationeryReportPages" w:val=" "/>
    <w:docVar w:name="LogoStationeryReportPagesUSL" w:val=" "/>
    <w:docVar w:name="LogoUSL" w:val="Jacobs cover logo USL"/>
    <w:docVar w:name="OfficeName" w:val="Jacobs Melbourne"/>
    <w:docVar w:name="Paper Size" w:val="A4"/>
    <w:docVar w:name="Phone" w:val="T +61 3 8668 3000"/>
    <w:docVar w:name="RegisteredTradeMark" w:val="Jacobs® is a trademark of Jacobs Engineering Group Inc."/>
    <w:docVar w:name="ShortAddress1" w:val="452 Flinders Street"/>
    <w:docVar w:name="ShortAddress2" w:val="Melbourne VIC 3000"/>
    <w:docVar w:name="Web" w:val="www.jacobs.com"/>
  </w:docVars>
  <w:rsids>
    <w:rsidRoot w:val="00B937BF"/>
    <w:rsid w:val="000014B3"/>
    <w:rsid w:val="00003143"/>
    <w:rsid w:val="000036FC"/>
    <w:rsid w:val="00004644"/>
    <w:rsid w:val="00006B5A"/>
    <w:rsid w:val="00007410"/>
    <w:rsid w:val="00007B43"/>
    <w:rsid w:val="00011476"/>
    <w:rsid w:val="00012480"/>
    <w:rsid w:val="00012F85"/>
    <w:rsid w:val="00014844"/>
    <w:rsid w:val="00015523"/>
    <w:rsid w:val="000157E5"/>
    <w:rsid w:val="00016CF3"/>
    <w:rsid w:val="0001705B"/>
    <w:rsid w:val="00020F53"/>
    <w:rsid w:val="000217C0"/>
    <w:rsid w:val="00022FBA"/>
    <w:rsid w:val="00024B85"/>
    <w:rsid w:val="00025193"/>
    <w:rsid w:val="000252CA"/>
    <w:rsid w:val="00025944"/>
    <w:rsid w:val="00025BCA"/>
    <w:rsid w:val="00026231"/>
    <w:rsid w:val="000350FF"/>
    <w:rsid w:val="000352B5"/>
    <w:rsid w:val="000373F0"/>
    <w:rsid w:val="00037461"/>
    <w:rsid w:val="000379A0"/>
    <w:rsid w:val="00040A20"/>
    <w:rsid w:val="0004220A"/>
    <w:rsid w:val="0004302B"/>
    <w:rsid w:val="00043C9F"/>
    <w:rsid w:val="00044F1C"/>
    <w:rsid w:val="000524AE"/>
    <w:rsid w:val="00052629"/>
    <w:rsid w:val="0005266C"/>
    <w:rsid w:val="0005390A"/>
    <w:rsid w:val="00053D75"/>
    <w:rsid w:val="00054594"/>
    <w:rsid w:val="000545BE"/>
    <w:rsid w:val="0005491F"/>
    <w:rsid w:val="00056DF5"/>
    <w:rsid w:val="00062407"/>
    <w:rsid w:val="0006464F"/>
    <w:rsid w:val="00064759"/>
    <w:rsid w:val="00064D0C"/>
    <w:rsid w:val="000670B2"/>
    <w:rsid w:val="00067BEB"/>
    <w:rsid w:val="000702C8"/>
    <w:rsid w:val="00070E1D"/>
    <w:rsid w:val="00070FB4"/>
    <w:rsid w:val="00071226"/>
    <w:rsid w:val="00074833"/>
    <w:rsid w:val="00074B80"/>
    <w:rsid w:val="00075D0D"/>
    <w:rsid w:val="00076119"/>
    <w:rsid w:val="00076BB8"/>
    <w:rsid w:val="000817DB"/>
    <w:rsid w:val="00081C6F"/>
    <w:rsid w:val="00082F46"/>
    <w:rsid w:val="000847A8"/>
    <w:rsid w:val="000860D4"/>
    <w:rsid w:val="00086790"/>
    <w:rsid w:val="000867FF"/>
    <w:rsid w:val="00086E78"/>
    <w:rsid w:val="00091D03"/>
    <w:rsid w:val="00093693"/>
    <w:rsid w:val="00093AB5"/>
    <w:rsid w:val="00094190"/>
    <w:rsid w:val="00096085"/>
    <w:rsid w:val="0009656C"/>
    <w:rsid w:val="00097841"/>
    <w:rsid w:val="000A1207"/>
    <w:rsid w:val="000A1438"/>
    <w:rsid w:val="000A1B47"/>
    <w:rsid w:val="000A20EF"/>
    <w:rsid w:val="000A37C9"/>
    <w:rsid w:val="000A3931"/>
    <w:rsid w:val="000A44CA"/>
    <w:rsid w:val="000A52B7"/>
    <w:rsid w:val="000A71CC"/>
    <w:rsid w:val="000A782F"/>
    <w:rsid w:val="000B07EA"/>
    <w:rsid w:val="000B1D37"/>
    <w:rsid w:val="000B2B1E"/>
    <w:rsid w:val="000B3B3A"/>
    <w:rsid w:val="000B5DC3"/>
    <w:rsid w:val="000B7020"/>
    <w:rsid w:val="000B7078"/>
    <w:rsid w:val="000B776F"/>
    <w:rsid w:val="000D0985"/>
    <w:rsid w:val="000D2EDA"/>
    <w:rsid w:val="000D3176"/>
    <w:rsid w:val="000D48EC"/>
    <w:rsid w:val="000D5BFF"/>
    <w:rsid w:val="000D6173"/>
    <w:rsid w:val="000E1485"/>
    <w:rsid w:val="000E1EA7"/>
    <w:rsid w:val="000E2676"/>
    <w:rsid w:val="000E2BCD"/>
    <w:rsid w:val="000E3302"/>
    <w:rsid w:val="000E337F"/>
    <w:rsid w:val="000F04FD"/>
    <w:rsid w:val="000F0EE5"/>
    <w:rsid w:val="000F1818"/>
    <w:rsid w:val="000F2DCD"/>
    <w:rsid w:val="000F3100"/>
    <w:rsid w:val="000F370A"/>
    <w:rsid w:val="000F38BE"/>
    <w:rsid w:val="000F494A"/>
    <w:rsid w:val="000F49F4"/>
    <w:rsid w:val="000F53A1"/>
    <w:rsid w:val="000F6F05"/>
    <w:rsid w:val="00100026"/>
    <w:rsid w:val="00100084"/>
    <w:rsid w:val="00101052"/>
    <w:rsid w:val="00101A29"/>
    <w:rsid w:val="00101FEF"/>
    <w:rsid w:val="001022F8"/>
    <w:rsid w:val="0010488E"/>
    <w:rsid w:val="00106744"/>
    <w:rsid w:val="00106F33"/>
    <w:rsid w:val="00107C37"/>
    <w:rsid w:val="0011226D"/>
    <w:rsid w:val="00112282"/>
    <w:rsid w:val="00112F88"/>
    <w:rsid w:val="001143B7"/>
    <w:rsid w:val="00114EF6"/>
    <w:rsid w:val="00115E60"/>
    <w:rsid w:val="001174F3"/>
    <w:rsid w:val="001175AB"/>
    <w:rsid w:val="00117715"/>
    <w:rsid w:val="00117869"/>
    <w:rsid w:val="00121F3E"/>
    <w:rsid w:val="00122DF8"/>
    <w:rsid w:val="00123BED"/>
    <w:rsid w:val="00123F30"/>
    <w:rsid w:val="00123F71"/>
    <w:rsid w:val="001249A3"/>
    <w:rsid w:val="00127C0E"/>
    <w:rsid w:val="00127C46"/>
    <w:rsid w:val="0013088D"/>
    <w:rsid w:val="00130CF9"/>
    <w:rsid w:val="00132619"/>
    <w:rsid w:val="001329A5"/>
    <w:rsid w:val="00134D7D"/>
    <w:rsid w:val="0014018E"/>
    <w:rsid w:val="0014021B"/>
    <w:rsid w:val="0014107C"/>
    <w:rsid w:val="001412C2"/>
    <w:rsid w:val="00141CBD"/>
    <w:rsid w:val="0014204D"/>
    <w:rsid w:val="00142DCF"/>
    <w:rsid w:val="00146F8C"/>
    <w:rsid w:val="0014724D"/>
    <w:rsid w:val="00150CC8"/>
    <w:rsid w:val="00152CDD"/>
    <w:rsid w:val="00153090"/>
    <w:rsid w:val="001551A8"/>
    <w:rsid w:val="00157170"/>
    <w:rsid w:val="00160681"/>
    <w:rsid w:val="00161569"/>
    <w:rsid w:val="00161E9D"/>
    <w:rsid w:val="00162083"/>
    <w:rsid w:val="0016335F"/>
    <w:rsid w:val="00163A01"/>
    <w:rsid w:val="001661E9"/>
    <w:rsid w:val="001669BF"/>
    <w:rsid w:val="00166DA4"/>
    <w:rsid w:val="00170106"/>
    <w:rsid w:val="00170125"/>
    <w:rsid w:val="00170FDB"/>
    <w:rsid w:val="0017126C"/>
    <w:rsid w:val="00171500"/>
    <w:rsid w:val="0017295D"/>
    <w:rsid w:val="00173577"/>
    <w:rsid w:val="00174C71"/>
    <w:rsid w:val="001755CB"/>
    <w:rsid w:val="001755FB"/>
    <w:rsid w:val="0017789D"/>
    <w:rsid w:val="00177FDA"/>
    <w:rsid w:val="0018042B"/>
    <w:rsid w:val="00181038"/>
    <w:rsid w:val="00181066"/>
    <w:rsid w:val="001812BE"/>
    <w:rsid w:val="00182BFE"/>
    <w:rsid w:val="00182D55"/>
    <w:rsid w:val="0018373C"/>
    <w:rsid w:val="00183EB7"/>
    <w:rsid w:val="001860B5"/>
    <w:rsid w:val="00186109"/>
    <w:rsid w:val="00191889"/>
    <w:rsid w:val="00192A2F"/>
    <w:rsid w:val="001943E5"/>
    <w:rsid w:val="001963C7"/>
    <w:rsid w:val="00196D13"/>
    <w:rsid w:val="0019755B"/>
    <w:rsid w:val="001A175E"/>
    <w:rsid w:val="001A2641"/>
    <w:rsid w:val="001A3F34"/>
    <w:rsid w:val="001A42CC"/>
    <w:rsid w:val="001A7354"/>
    <w:rsid w:val="001A7E28"/>
    <w:rsid w:val="001B005A"/>
    <w:rsid w:val="001B0BF2"/>
    <w:rsid w:val="001B2790"/>
    <w:rsid w:val="001B3186"/>
    <w:rsid w:val="001B39C9"/>
    <w:rsid w:val="001B40BE"/>
    <w:rsid w:val="001B5766"/>
    <w:rsid w:val="001B69B0"/>
    <w:rsid w:val="001B6D0B"/>
    <w:rsid w:val="001B71DB"/>
    <w:rsid w:val="001C0E03"/>
    <w:rsid w:val="001C1EA8"/>
    <w:rsid w:val="001C2961"/>
    <w:rsid w:val="001C33DA"/>
    <w:rsid w:val="001C45CF"/>
    <w:rsid w:val="001C4EDA"/>
    <w:rsid w:val="001C5D77"/>
    <w:rsid w:val="001C5E47"/>
    <w:rsid w:val="001C60AC"/>
    <w:rsid w:val="001C725F"/>
    <w:rsid w:val="001C784E"/>
    <w:rsid w:val="001D19FA"/>
    <w:rsid w:val="001D3998"/>
    <w:rsid w:val="001D5E3F"/>
    <w:rsid w:val="001D64B7"/>
    <w:rsid w:val="001D74FA"/>
    <w:rsid w:val="001D7DE2"/>
    <w:rsid w:val="001E1256"/>
    <w:rsid w:val="001E18DA"/>
    <w:rsid w:val="001E3658"/>
    <w:rsid w:val="001E3B8C"/>
    <w:rsid w:val="001E3E71"/>
    <w:rsid w:val="001E461E"/>
    <w:rsid w:val="001E4D1D"/>
    <w:rsid w:val="001E4D1E"/>
    <w:rsid w:val="001E4EDA"/>
    <w:rsid w:val="001E67A5"/>
    <w:rsid w:val="001E6AC1"/>
    <w:rsid w:val="001F0697"/>
    <w:rsid w:val="001F150C"/>
    <w:rsid w:val="001F3D0A"/>
    <w:rsid w:val="001F5420"/>
    <w:rsid w:val="001F619C"/>
    <w:rsid w:val="001F74B3"/>
    <w:rsid w:val="0020155D"/>
    <w:rsid w:val="00202AF0"/>
    <w:rsid w:val="0020454A"/>
    <w:rsid w:val="00204B30"/>
    <w:rsid w:val="00204BAD"/>
    <w:rsid w:val="00206F76"/>
    <w:rsid w:val="00213631"/>
    <w:rsid w:val="00213E89"/>
    <w:rsid w:val="00215131"/>
    <w:rsid w:val="00217B41"/>
    <w:rsid w:val="00222FCB"/>
    <w:rsid w:val="002233F0"/>
    <w:rsid w:val="00223951"/>
    <w:rsid w:val="00223DEF"/>
    <w:rsid w:val="00224068"/>
    <w:rsid w:val="00224FA7"/>
    <w:rsid w:val="00225F88"/>
    <w:rsid w:val="002264C0"/>
    <w:rsid w:val="00230452"/>
    <w:rsid w:val="00232259"/>
    <w:rsid w:val="002344A6"/>
    <w:rsid w:val="00236A21"/>
    <w:rsid w:val="00237E2B"/>
    <w:rsid w:val="0024108E"/>
    <w:rsid w:val="0024167D"/>
    <w:rsid w:val="00241814"/>
    <w:rsid w:val="00241F39"/>
    <w:rsid w:val="0024455A"/>
    <w:rsid w:val="00244D00"/>
    <w:rsid w:val="00244F7C"/>
    <w:rsid w:val="002474CD"/>
    <w:rsid w:val="002474F0"/>
    <w:rsid w:val="00247B7C"/>
    <w:rsid w:val="00251A70"/>
    <w:rsid w:val="00251CEA"/>
    <w:rsid w:val="002520D0"/>
    <w:rsid w:val="00252AD9"/>
    <w:rsid w:val="00252FCB"/>
    <w:rsid w:val="002535DC"/>
    <w:rsid w:val="00254CF7"/>
    <w:rsid w:val="00255E56"/>
    <w:rsid w:val="002566FD"/>
    <w:rsid w:val="0025702F"/>
    <w:rsid w:val="00257A09"/>
    <w:rsid w:val="0026179A"/>
    <w:rsid w:val="00262E79"/>
    <w:rsid w:val="00263F0D"/>
    <w:rsid w:val="00264230"/>
    <w:rsid w:val="0026476A"/>
    <w:rsid w:val="002655D5"/>
    <w:rsid w:val="002663E4"/>
    <w:rsid w:val="00270ED9"/>
    <w:rsid w:val="00272230"/>
    <w:rsid w:val="00273E1F"/>
    <w:rsid w:val="002752B2"/>
    <w:rsid w:val="00275890"/>
    <w:rsid w:val="00275DB5"/>
    <w:rsid w:val="0027714D"/>
    <w:rsid w:val="0027759C"/>
    <w:rsid w:val="002776CE"/>
    <w:rsid w:val="0028203F"/>
    <w:rsid w:val="00283089"/>
    <w:rsid w:val="0028596B"/>
    <w:rsid w:val="00287F6A"/>
    <w:rsid w:val="00290A79"/>
    <w:rsid w:val="002911B2"/>
    <w:rsid w:val="00292170"/>
    <w:rsid w:val="00292753"/>
    <w:rsid w:val="00292B49"/>
    <w:rsid w:val="002959C4"/>
    <w:rsid w:val="00296FD8"/>
    <w:rsid w:val="002A00CE"/>
    <w:rsid w:val="002A0CEE"/>
    <w:rsid w:val="002A36AC"/>
    <w:rsid w:val="002A3E36"/>
    <w:rsid w:val="002A629B"/>
    <w:rsid w:val="002A6B32"/>
    <w:rsid w:val="002A71D6"/>
    <w:rsid w:val="002A7CAB"/>
    <w:rsid w:val="002B3695"/>
    <w:rsid w:val="002B3827"/>
    <w:rsid w:val="002B3C2E"/>
    <w:rsid w:val="002B4ABA"/>
    <w:rsid w:val="002B6318"/>
    <w:rsid w:val="002B6F8B"/>
    <w:rsid w:val="002C02FB"/>
    <w:rsid w:val="002C11A2"/>
    <w:rsid w:val="002C2F94"/>
    <w:rsid w:val="002C38C3"/>
    <w:rsid w:val="002C6A76"/>
    <w:rsid w:val="002C70C7"/>
    <w:rsid w:val="002D0844"/>
    <w:rsid w:val="002D1A9F"/>
    <w:rsid w:val="002D1BCA"/>
    <w:rsid w:val="002D246A"/>
    <w:rsid w:val="002D27B9"/>
    <w:rsid w:val="002D444F"/>
    <w:rsid w:val="002D549F"/>
    <w:rsid w:val="002D59CD"/>
    <w:rsid w:val="002D7B56"/>
    <w:rsid w:val="002E03B9"/>
    <w:rsid w:val="002E0AFC"/>
    <w:rsid w:val="002E16D5"/>
    <w:rsid w:val="002E1794"/>
    <w:rsid w:val="002E1D85"/>
    <w:rsid w:val="002E2EDE"/>
    <w:rsid w:val="002E3592"/>
    <w:rsid w:val="002E464E"/>
    <w:rsid w:val="002E5D59"/>
    <w:rsid w:val="002E61CB"/>
    <w:rsid w:val="002E69A2"/>
    <w:rsid w:val="002E7970"/>
    <w:rsid w:val="002E7DC6"/>
    <w:rsid w:val="002F1064"/>
    <w:rsid w:val="002F19B2"/>
    <w:rsid w:val="002F2727"/>
    <w:rsid w:val="002F4511"/>
    <w:rsid w:val="00302656"/>
    <w:rsid w:val="00303BFB"/>
    <w:rsid w:val="00304077"/>
    <w:rsid w:val="003047A4"/>
    <w:rsid w:val="00305295"/>
    <w:rsid w:val="0030764E"/>
    <w:rsid w:val="00307BF0"/>
    <w:rsid w:val="00311964"/>
    <w:rsid w:val="00312B0C"/>
    <w:rsid w:val="00314807"/>
    <w:rsid w:val="00316296"/>
    <w:rsid w:val="003202A7"/>
    <w:rsid w:val="00320383"/>
    <w:rsid w:val="003204CD"/>
    <w:rsid w:val="003212CE"/>
    <w:rsid w:val="003220C5"/>
    <w:rsid w:val="00322EFA"/>
    <w:rsid w:val="00324783"/>
    <w:rsid w:val="0032486C"/>
    <w:rsid w:val="003252EA"/>
    <w:rsid w:val="00330D3A"/>
    <w:rsid w:val="00330FB8"/>
    <w:rsid w:val="003326ED"/>
    <w:rsid w:val="003330E6"/>
    <w:rsid w:val="00334626"/>
    <w:rsid w:val="00336565"/>
    <w:rsid w:val="003366B0"/>
    <w:rsid w:val="00336E1A"/>
    <w:rsid w:val="00340828"/>
    <w:rsid w:val="00343DBB"/>
    <w:rsid w:val="003443DD"/>
    <w:rsid w:val="00344967"/>
    <w:rsid w:val="0034782A"/>
    <w:rsid w:val="00347D96"/>
    <w:rsid w:val="003506DF"/>
    <w:rsid w:val="00351097"/>
    <w:rsid w:val="00351507"/>
    <w:rsid w:val="00353F07"/>
    <w:rsid w:val="0035480C"/>
    <w:rsid w:val="003552CE"/>
    <w:rsid w:val="00356452"/>
    <w:rsid w:val="00357C6D"/>
    <w:rsid w:val="003611D2"/>
    <w:rsid w:val="003629D1"/>
    <w:rsid w:val="00362D25"/>
    <w:rsid w:val="0036415B"/>
    <w:rsid w:val="003641D4"/>
    <w:rsid w:val="00364CFC"/>
    <w:rsid w:val="00366CAC"/>
    <w:rsid w:val="003672A2"/>
    <w:rsid w:val="00367E95"/>
    <w:rsid w:val="00370182"/>
    <w:rsid w:val="00371B79"/>
    <w:rsid w:val="00372103"/>
    <w:rsid w:val="003730BF"/>
    <w:rsid w:val="00373110"/>
    <w:rsid w:val="00376AEF"/>
    <w:rsid w:val="003772ED"/>
    <w:rsid w:val="003777F0"/>
    <w:rsid w:val="00380188"/>
    <w:rsid w:val="0038029B"/>
    <w:rsid w:val="00380BBE"/>
    <w:rsid w:val="00383416"/>
    <w:rsid w:val="0038422B"/>
    <w:rsid w:val="00384844"/>
    <w:rsid w:val="00385342"/>
    <w:rsid w:val="003901A8"/>
    <w:rsid w:val="003909F3"/>
    <w:rsid w:val="00390D65"/>
    <w:rsid w:val="00391D94"/>
    <w:rsid w:val="00392E3A"/>
    <w:rsid w:val="00395BA0"/>
    <w:rsid w:val="00396074"/>
    <w:rsid w:val="00396D30"/>
    <w:rsid w:val="003975FA"/>
    <w:rsid w:val="003A00A6"/>
    <w:rsid w:val="003A0D3E"/>
    <w:rsid w:val="003A175A"/>
    <w:rsid w:val="003A2B0F"/>
    <w:rsid w:val="003A3034"/>
    <w:rsid w:val="003A35AB"/>
    <w:rsid w:val="003A455B"/>
    <w:rsid w:val="003A5F6A"/>
    <w:rsid w:val="003B0305"/>
    <w:rsid w:val="003B03DD"/>
    <w:rsid w:val="003B043C"/>
    <w:rsid w:val="003B1407"/>
    <w:rsid w:val="003B178B"/>
    <w:rsid w:val="003B2811"/>
    <w:rsid w:val="003B3DD5"/>
    <w:rsid w:val="003B4CC6"/>
    <w:rsid w:val="003B5A3C"/>
    <w:rsid w:val="003B666D"/>
    <w:rsid w:val="003C021D"/>
    <w:rsid w:val="003C057C"/>
    <w:rsid w:val="003C2DA0"/>
    <w:rsid w:val="003C4955"/>
    <w:rsid w:val="003C5633"/>
    <w:rsid w:val="003C757B"/>
    <w:rsid w:val="003D0698"/>
    <w:rsid w:val="003D099B"/>
    <w:rsid w:val="003D22F5"/>
    <w:rsid w:val="003D2E6F"/>
    <w:rsid w:val="003D4495"/>
    <w:rsid w:val="003D5636"/>
    <w:rsid w:val="003D798D"/>
    <w:rsid w:val="003E21E8"/>
    <w:rsid w:val="003E5197"/>
    <w:rsid w:val="003E59A6"/>
    <w:rsid w:val="003E66AF"/>
    <w:rsid w:val="003E6E41"/>
    <w:rsid w:val="003E6F51"/>
    <w:rsid w:val="003E72BF"/>
    <w:rsid w:val="003F106A"/>
    <w:rsid w:val="003F1490"/>
    <w:rsid w:val="003F155A"/>
    <w:rsid w:val="003F2663"/>
    <w:rsid w:val="003F2B10"/>
    <w:rsid w:val="003F37F0"/>
    <w:rsid w:val="003F410A"/>
    <w:rsid w:val="003F41F9"/>
    <w:rsid w:val="003F5870"/>
    <w:rsid w:val="003F69DC"/>
    <w:rsid w:val="00400421"/>
    <w:rsid w:val="00400B48"/>
    <w:rsid w:val="00400F37"/>
    <w:rsid w:val="00401FFD"/>
    <w:rsid w:val="00402231"/>
    <w:rsid w:val="00402619"/>
    <w:rsid w:val="00403866"/>
    <w:rsid w:val="004045D9"/>
    <w:rsid w:val="004120C2"/>
    <w:rsid w:val="00412FA7"/>
    <w:rsid w:val="0041411F"/>
    <w:rsid w:val="00414BBA"/>
    <w:rsid w:val="00414DF0"/>
    <w:rsid w:val="0041555E"/>
    <w:rsid w:val="00415F07"/>
    <w:rsid w:val="00416786"/>
    <w:rsid w:val="004200A9"/>
    <w:rsid w:val="00420660"/>
    <w:rsid w:val="00422D6C"/>
    <w:rsid w:val="00423D9F"/>
    <w:rsid w:val="00425EA4"/>
    <w:rsid w:val="004267B2"/>
    <w:rsid w:val="0043089D"/>
    <w:rsid w:val="00430F16"/>
    <w:rsid w:val="0043233A"/>
    <w:rsid w:val="00432CB7"/>
    <w:rsid w:val="00432E76"/>
    <w:rsid w:val="0043300A"/>
    <w:rsid w:val="0043317F"/>
    <w:rsid w:val="00434A63"/>
    <w:rsid w:val="00435EE3"/>
    <w:rsid w:val="0043608A"/>
    <w:rsid w:val="004361D9"/>
    <w:rsid w:val="00436221"/>
    <w:rsid w:val="0044077F"/>
    <w:rsid w:val="00441743"/>
    <w:rsid w:val="00442E25"/>
    <w:rsid w:val="00443B88"/>
    <w:rsid w:val="0044473B"/>
    <w:rsid w:val="00444AFC"/>
    <w:rsid w:val="0044537D"/>
    <w:rsid w:val="004513C8"/>
    <w:rsid w:val="00452EC2"/>
    <w:rsid w:val="00453B3F"/>
    <w:rsid w:val="00453C8E"/>
    <w:rsid w:val="00453F50"/>
    <w:rsid w:val="0045552D"/>
    <w:rsid w:val="00455559"/>
    <w:rsid w:val="00455936"/>
    <w:rsid w:val="00455AFD"/>
    <w:rsid w:val="00456CCE"/>
    <w:rsid w:val="00460241"/>
    <w:rsid w:val="00460741"/>
    <w:rsid w:val="00462CB3"/>
    <w:rsid w:val="00462D0D"/>
    <w:rsid w:val="00463857"/>
    <w:rsid w:val="004646DE"/>
    <w:rsid w:val="00464DA8"/>
    <w:rsid w:val="00464E96"/>
    <w:rsid w:val="004659D9"/>
    <w:rsid w:val="00465A60"/>
    <w:rsid w:val="00466175"/>
    <w:rsid w:val="00467CCE"/>
    <w:rsid w:val="00472625"/>
    <w:rsid w:val="0047354D"/>
    <w:rsid w:val="00477583"/>
    <w:rsid w:val="00477A91"/>
    <w:rsid w:val="00482053"/>
    <w:rsid w:val="004820FB"/>
    <w:rsid w:val="00482EE8"/>
    <w:rsid w:val="004837BE"/>
    <w:rsid w:val="00485014"/>
    <w:rsid w:val="004853C0"/>
    <w:rsid w:val="00485E48"/>
    <w:rsid w:val="00487542"/>
    <w:rsid w:val="00487CAE"/>
    <w:rsid w:val="0049020A"/>
    <w:rsid w:val="0049114A"/>
    <w:rsid w:val="00491431"/>
    <w:rsid w:val="00491B38"/>
    <w:rsid w:val="00496130"/>
    <w:rsid w:val="004A0239"/>
    <w:rsid w:val="004A02EC"/>
    <w:rsid w:val="004A201A"/>
    <w:rsid w:val="004A237E"/>
    <w:rsid w:val="004A2D30"/>
    <w:rsid w:val="004A3A35"/>
    <w:rsid w:val="004A523E"/>
    <w:rsid w:val="004A6DBE"/>
    <w:rsid w:val="004B1323"/>
    <w:rsid w:val="004B24FD"/>
    <w:rsid w:val="004B27A2"/>
    <w:rsid w:val="004B306E"/>
    <w:rsid w:val="004B4631"/>
    <w:rsid w:val="004B4C09"/>
    <w:rsid w:val="004C1BE0"/>
    <w:rsid w:val="004C3699"/>
    <w:rsid w:val="004C3852"/>
    <w:rsid w:val="004C3946"/>
    <w:rsid w:val="004C4558"/>
    <w:rsid w:val="004C4CE4"/>
    <w:rsid w:val="004C55F9"/>
    <w:rsid w:val="004C7720"/>
    <w:rsid w:val="004D0B05"/>
    <w:rsid w:val="004D29DE"/>
    <w:rsid w:val="004D5488"/>
    <w:rsid w:val="004D6125"/>
    <w:rsid w:val="004D6833"/>
    <w:rsid w:val="004D7A3B"/>
    <w:rsid w:val="004D7EE1"/>
    <w:rsid w:val="004E185A"/>
    <w:rsid w:val="004E369D"/>
    <w:rsid w:val="004E570F"/>
    <w:rsid w:val="004E57C8"/>
    <w:rsid w:val="004E6541"/>
    <w:rsid w:val="004E65E7"/>
    <w:rsid w:val="004F1B22"/>
    <w:rsid w:val="004F2501"/>
    <w:rsid w:val="004F25EC"/>
    <w:rsid w:val="004F36A6"/>
    <w:rsid w:val="004F401D"/>
    <w:rsid w:val="004F4E9F"/>
    <w:rsid w:val="004F66B1"/>
    <w:rsid w:val="00503B4B"/>
    <w:rsid w:val="00503FBD"/>
    <w:rsid w:val="00505C26"/>
    <w:rsid w:val="00507192"/>
    <w:rsid w:val="0050747E"/>
    <w:rsid w:val="0050777F"/>
    <w:rsid w:val="00511FD3"/>
    <w:rsid w:val="00512430"/>
    <w:rsid w:val="00512C59"/>
    <w:rsid w:val="00513531"/>
    <w:rsid w:val="00513D2A"/>
    <w:rsid w:val="0051485F"/>
    <w:rsid w:val="00515948"/>
    <w:rsid w:val="005163C9"/>
    <w:rsid w:val="005167D0"/>
    <w:rsid w:val="00516D09"/>
    <w:rsid w:val="00520146"/>
    <w:rsid w:val="00520778"/>
    <w:rsid w:val="00523360"/>
    <w:rsid w:val="00523D25"/>
    <w:rsid w:val="00525995"/>
    <w:rsid w:val="005267B8"/>
    <w:rsid w:val="005271BE"/>
    <w:rsid w:val="00527B84"/>
    <w:rsid w:val="00530480"/>
    <w:rsid w:val="00530B47"/>
    <w:rsid w:val="00531F2B"/>
    <w:rsid w:val="00533BC0"/>
    <w:rsid w:val="00534198"/>
    <w:rsid w:val="0053431A"/>
    <w:rsid w:val="0053463E"/>
    <w:rsid w:val="00535794"/>
    <w:rsid w:val="005359B5"/>
    <w:rsid w:val="00536452"/>
    <w:rsid w:val="00536A4B"/>
    <w:rsid w:val="00536E59"/>
    <w:rsid w:val="00536E6B"/>
    <w:rsid w:val="005379B9"/>
    <w:rsid w:val="0054018E"/>
    <w:rsid w:val="00541515"/>
    <w:rsid w:val="00541823"/>
    <w:rsid w:val="005422BA"/>
    <w:rsid w:val="0054412F"/>
    <w:rsid w:val="00544D83"/>
    <w:rsid w:val="00544DE9"/>
    <w:rsid w:val="00545228"/>
    <w:rsid w:val="005456C8"/>
    <w:rsid w:val="00546BE4"/>
    <w:rsid w:val="00546F86"/>
    <w:rsid w:val="005503F8"/>
    <w:rsid w:val="00550400"/>
    <w:rsid w:val="00553284"/>
    <w:rsid w:val="00554DFE"/>
    <w:rsid w:val="00554E58"/>
    <w:rsid w:val="00556362"/>
    <w:rsid w:val="00561AD5"/>
    <w:rsid w:val="0056239D"/>
    <w:rsid w:val="005628F7"/>
    <w:rsid w:val="00564CBE"/>
    <w:rsid w:val="00565598"/>
    <w:rsid w:val="0056599F"/>
    <w:rsid w:val="00566419"/>
    <w:rsid w:val="005669CD"/>
    <w:rsid w:val="00566A84"/>
    <w:rsid w:val="00567173"/>
    <w:rsid w:val="005674DF"/>
    <w:rsid w:val="0056765F"/>
    <w:rsid w:val="0056780F"/>
    <w:rsid w:val="00567977"/>
    <w:rsid w:val="005679AA"/>
    <w:rsid w:val="005679B1"/>
    <w:rsid w:val="00567F73"/>
    <w:rsid w:val="00570FA8"/>
    <w:rsid w:val="00573B81"/>
    <w:rsid w:val="0057426A"/>
    <w:rsid w:val="0057447D"/>
    <w:rsid w:val="005749F6"/>
    <w:rsid w:val="005767FD"/>
    <w:rsid w:val="00576F2C"/>
    <w:rsid w:val="00577541"/>
    <w:rsid w:val="00577615"/>
    <w:rsid w:val="00583643"/>
    <w:rsid w:val="005870AD"/>
    <w:rsid w:val="005879AE"/>
    <w:rsid w:val="00591079"/>
    <w:rsid w:val="00594A32"/>
    <w:rsid w:val="00595666"/>
    <w:rsid w:val="005A0153"/>
    <w:rsid w:val="005A0559"/>
    <w:rsid w:val="005A1B54"/>
    <w:rsid w:val="005A1B99"/>
    <w:rsid w:val="005A1C0F"/>
    <w:rsid w:val="005A2419"/>
    <w:rsid w:val="005A3B5B"/>
    <w:rsid w:val="005A438A"/>
    <w:rsid w:val="005A5441"/>
    <w:rsid w:val="005A5A79"/>
    <w:rsid w:val="005A7CCC"/>
    <w:rsid w:val="005B1425"/>
    <w:rsid w:val="005B1D19"/>
    <w:rsid w:val="005B2680"/>
    <w:rsid w:val="005B2D29"/>
    <w:rsid w:val="005B5009"/>
    <w:rsid w:val="005C0FA6"/>
    <w:rsid w:val="005C2825"/>
    <w:rsid w:val="005C3320"/>
    <w:rsid w:val="005C3798"/>
    <w:rsid w:val="005C6C1D"/>
    <w:rsid w:val="005D04CE"/>
    <w:rsid w:val="005D14F4"/>
    <w:rsid w:val="005D17D6"/>
    <w:rsid w:val="005D1D81"/>
    <w:rsid w:val="005D41D4"/>
    <w:rsid w:val="005D4E92"/>
    <w:rsid w:val="005D7144"/>
    <w:rsid w:val="005E23EA"/>
    <w:rsid w:val="005E2E77"/>
    <w:rsid w:val="005E3F0E"/>
    <w:rsid w:val="005E4FA9"/>
    <w:rsid w:val="005E561E"/>
    <w:rsid w:val="005F0114"/>
    <w:rsid w:val="005F0279"/>
    <w:rsid w:val="005F0316"/>
    <w:rsid w:val="005F0B13"/>
    <w:rsid w:val="005F27BF"/>
    <w:rsid w:val="005F2AFE"/>
    <w:rsid w:val="005F3DA4"/>
    <w:rsid w:val="005F4B53"/>
    <w:rsid w:val="005F545D"/>
    <w:rsid w:val="005F5B33"/>
    <w:rsid w:val="005F6D00"/>
    <w:rsid w:val="006006DD"/>
    <w:rsid w:val="0060235F"/>
    <w:rsid w:val="00602428"/>
    <w:rsid w:val="00603856"/>
    <w:rsid w:val="00603E07"/>
    <w:rsid w:val="006066D3"/>
    <w:rsid w:val="00607A9E"/>
    <w:rsid w:val="0061091B"/>
    <w:rsid w:val="00611A0B"/>
    <w:rsid w:val="0061227F"/>
    <w:rsid w:val="00612CCF"/>
    <w:rsid w:val="0061420F"/>
    <w:rsid w:val="006151EE"/>
    <w:rsid w:val="00615863"/>
    <w:rsid w:val="00615D71"/>
    <w:rsid w:val="0061721B"/>
    <w:rsid w:val="006178D0"/>
    <w:rsid w:val="00620452"/>
    <w:rsid w:val="006218E7"/>
    <w:rsid w:val="00621A59"/>
    <w:rsid w:val="0062204E"/>
    <w:rsid w:val="006223FA"/>
    <w:rsid w:val="006239C2"/>
    <w:rsid w:val="00624661"/>
    <w:rsid w:val="0062510D"/>
    <w:rsid w:val="006256E9"/>
    <w:rsid w:val="0062579D"/>
    <w:rsid w:val="006272CA"/>
    <w:rsid w:val="0063018B"/>
    <w:rsid w:val="00630738"/>
    <w:rsid w:val="006336DE"/>
    <w:rsid w:val="006340AE"/>
    <w:rsid w:val="006341D0"/>
    <w:rsid w:val="00634564"/>
    <w:rsid w:val="00634FA7"/>
    <w:rsid w:val="00635EA7"/>
    <w:rsid w:val="00637BA7"/>
    <w:rsid w:val="00641496"/>
    <w:rsid w:val="0064173F"/>
    <w:rsid w:val="006419D0"/>
    <w:rsid w:val="00642689"/>
    <w:rsid w:val="00642879"/>
    <w:rsid w:val="00644359"/>
    <w:rsid w:val="0064472E"/>
    <w:rsid w:val="00645A7C"/>
    <w:rsid w:val="006465F7"/>
    <w:rsid w:val="00646865"/>
    <w:rsid w:val="006509B6"/>
    <w:rsid w:val="0065189A"/>
    <w:rsid w:val="00652006"/>
    <w:rsid w:val="00654687"/>
    <w:rsid w:val="00654CDF"/>
    <w:rsid w:val="00655FC7"/>
    <w:rsid w:val="00657C60"/>
    <w:rsid w:val="00662B8C"/>
    <w:rsid w:val="00664283"/>
    <w:rsid w:val="00664925"/>
    <w:rsid w:val="00664B0A"/>
    <w:rsid w:val="0067108D"/>
    <w:rsid w:val="006733B0"/>
    <w:rsid w:val="006736B9"/>
    <w:rsid w:val="00673896"/>
    <w:rsid w:val="006756D5"/>
    <w:rsid w:val="00675E4A"/>
    <w:rsid w:val="00676219"/>
    <w:rsid w:val="00676D91"/>
    <w:rsid w:val="0068078C"/>
    <w:rsid w:val="00680A9B"/>
    <w:rsid w:val="00680ECA"/>
    <w:rsid w:val="006817CA"/>
    <w:rsid w:val="0068427A"/>
    <w:rsid w:val="00684B26"/>
    <w:rsid w:val="00685186"/>
    <w:rsid w:val="00686096"/>
    <w:rsid w:val="00686C3F"/>
    <w:rsid w:val="006873CF"/>
    <w:rsid w:val="00692C86"/>
    <w:rsid w:val="00693434"/>
    <w:rsid w:val="00694603"/>
    <w:rsid w:val="00696861"/>
    <w:rsid w:val="006A054B"/>
    <w:rsid w:val="006A0AB4"/>
    <w:rsid w:val="006A1A19"/>
    <w:rsid w:val="006A25C6"/>
    <w:rsid w:val="006A366B"/>
    <w:rsid w:val="006A7869"/>
    <w:rsid w:val="006A7BDC"/>
    <w:rsid w:val="006A7DC0"/>
    <w:rsid w:val="006B1511"/>
    <w:rsid w:val="006B1898"/>
    <w:rsid w:val="006B2F2B"/>
    <w:rsid w:val="006B6197"/>
    <w:rsid w:val="006B6464"/>
    <w:rsid w:val="006B78B9"/>
    <w:rsid w:val="006C09D1"/>
    <w:rsid w:val="006C0D68"/>
    <w:rsid w:val="006C293D"/>
    <w:rsid w:val="006C350D"/>
    <w:rsid w:val="006C3ED8"/>
    <w:rsid w:val="006C5106"/>
    <w:rsid w:val="006C5943"/>
    <w:rsid w:val="006C672A"/>
    <w:rsid w:val="006D16A1"/>
    <w:rsid w:val="006D23F0"/>
    <w:rsid w:val="006D6F98"/>
    <w:rsid w:val="006D7159"/>
    <w:rsid w:val="006E1045"/>
    <w:rsid w:val="006E45FE"/>
    <w:rsid w:val="006E496B"/>
    <w:rsid w:val="006E5C2B"/>
    <w:rsid w:val="006E5FDC"/>
    <w:rsid w:val="006E7F8D"/>
    <w:rsid w:val="006F094A"/>
    <w:rsid w:val="006F3567"/>
    <w:rsid w:val="006F59B2"/>
    <w:rsid w:val="006F6C68"/>
    <w:rsid w:val="006F72D3"/>
    <w:rsid w:val="006F751A"/>
    <w:rsid w:val="00701BDF"/>
    <w:rsid w:val="007027D1"/>
    <w:rsid w:val="00702E57"/>
    <w:rsid w:val="00704CB4"/>
    <w:rsid w:val="0070647C"/>
    <w:rsid w:val="00706F25"/>
    <w:rsid w:val="007102F2"/>
    <w:rsid w:val="00710473"/>
    <w:rsid w:val="007117E6"/>
    <w:rsid w:val="00715B08"/>
    <w:rsid w:val="00716A53"/>
    <w:rsid w:val="00717A2B"/>
    <w:rsid w:val="00717C3B"/>
    <w:rsid w:val="007203A1"/>
    <w:rsid w:val="00720B35"/>
    <w:rsid w:val="00720EA0"/>
    <w:rsid w:val="007227DE"/>
    <w:rsid w:val="00723C5E"/>
    <w:rsid w:val="00724DBC"/>
    <w:rsid w:val="007253F7"/>
    <w:rsid w:val="00725CF2"/>
    <w:rsid w:val="007278F1"/>
    <w:rsid w:val="00727DF3"/>
    <w:rsid w:val="007301B1"/>
    <w:rsid w:val="007325BA"/>
    <w:rsid w:val="00733569"/>
    <w:rsid w:val="00733591"/>
    <w:rsid w:val="00734071"/>
    <w:rsid w:val="0073426D"/>
    <w:rsid w:val="00734EEF"/>
    <w:rsid w:val="00737473"/>
    <w:rsid w:val="00741D0E"/>
    <w:rsid w:val="007420E7"/>
    <w:rsid w:val="007421F2"/>
    <w:rsid w:val="007436FA"/>
    <w:rsid w:val="00744114"/>
    <w:rsid w:val="007451BF"/>
    <w:rsid w:val="00745CB8"/>
    <w:rsid w:val="00746722"/>
    <w:rsid w:val="007479DA"/>
    <w:rsid w:val="0075122C"/>
    <w:rsid w:val="0075286F"/>
    <w:rsid w:val="00753322"/>
    <w:rsid w:val="0075516A"/>
    <w:rsid w:val="0075594C"/>
    <w:rsid w:val="007569E2"/>
    <w:rsid w:val="00757067"/>
    <w:rsid w:val="00761320"/>
    <w:rsid w:val="00762507"/>
    <w:rsid w:val="00762DF9"/>
    <w:rsid w:val="00767A1C"/>
    <w:rsid w:val="0077039B"/>
    <w:rsid w:val="007728FC"/>
    <w:rsid w:val="00773456"/>
    <w:rsid w:val="007736BB"/>
    <w:rsid w:val="00774466"/>
    <w:rsid w:val="00774D3C"/>
    <w:rsid w:val="00775634"/>
    <w:rsid w:val="00775913"/>
    <w:rsid w:val="007772D1"/>
    <w:rsid w:val="00782076"/>
    <w:rsid w:val="007826AD"/>
    <w:rsid w:val="00783360"/>
    <w:rsid w:val="007837F7"/>
    <w:rsid w:val="007848B1"/>
    <w:rsid w:val="00785CD3"/>
    <w:rsid w:val="007873E1"/>
    <w:rsid w:val="00791E1F"/>
    <w:rsid w:val="007930CD"/>
    <w:rsid w:val="007931EB"/>
    <w:rsid w:val="0079499D"/>
    <w:rsid w:val="00794ED0"/>
    <w:rsid w:val="0079524C"/>
    <w:rsid w:val="007956CA"/>
    <w:rsid w:val="00795F00"/>
    <w:rsid w:val="007967B8"/>
    <w:rsid w:val="007A09BE"/>
    <w:rsid w:val="007A0A35"/>
    <w:rsid w:val="007A2040"/>
    <w:rsid w:val="007A539D"/>
    <w:rsid w:val="007A5894"/>
    <w:rsid w:val="007A7EA5"/>
    <w:rsid w:val="007B0CFF"/>
    <w:rsid w:val="007B1C28"/>
    <w:rsid w:val="007B4FE2"/>
    <w:rsid w:val="007B5330"/>
    <w:rsid w:val="007B61D6"/>
    <w:rsid w:val="007B739C"/>
    <w:rsid w:val="007B781B"/>
    <w:rsid w:val="007C1375"/>
    <w:rsid w:val="007C1583"/>
    <w:rsid w:val="007C3A9D"/>
    <w:rsid w:val="007C619C"/>
    <w:rsid w:val="007C6744"/>
    <w:rsid w:val="007D1252"/>
    <w:rsid w:val="007D13B5"/>
    <w:rsid w:val="007D2364"/>
    <w:rsid w:val="007D473C"/>
    <w:rsid w:val="007D7C84"/>
    <w:rsid w:val="007E15A4"/>
    <w:rsid w:val="007E2206"/>
    <w:rsid w:val="007E30D9"/>
    <w:rsid w:val="007E3138"/>
    <w:rsid w:val="007E388B"/>
    <w:rsid w:val="007E5920"/>
    <w:rsid w:val="007E701B"/>
    <w:rsid w:val="007E7542"/>
    <w:rsid w:val="007E7C15"/>
    <w:rsid w:val="007E7FD0"/>
    <w:rsid w:val="007F1358"/>
    <w:rsid w:val="007F13E7"/>
    <w:rsid w:val="007F1649"/>
    <w:rsid w:val="007F1E99"/>
    <w:rsid w:val="007F2A07"/>
    <w:rsid w:val="007F3389"/>
    <w:rsid w:val="00800FCF"/>
    <w:rsid w:val="00801662"/>
    <w:rsid w:val="00803195"/>
    <w:rsid w:val="00803742"/>
    <w:rsid w:val="00804C37"/>
    <w:rsid w:val="00806593"/>
    <w:rsid w:val="0080768B"/>
    <w:rsid w:val="00807840"/>
    <w:rsid w:val="00810A4C"/>
    <w:rsid w:val="008111C3"/>
    <w:rsid w:val="00812431"/>
    <w:rsid w:val="00812844"/>
    <w:rsid w:val="008166C1"/>
    <w:rsid w:val="00817286"/>
    <w:rsid w:val="00822322"/>
    <w:rsid w:val="008229E6"/>
    <w:rsid w:val="008238E6"/>
    <w:rsid w:val="00824343"/>
    <w:rsid w:val="008259E3"/>
    <w:rsid w:val="00825A80"/>
    <w:rsid w:val="00826673"/>
    <w:rsid w:val="00826CDB"/>
    <w:rsid w:val="00830344"/>
    <w:rsid w:val="0083054D"/>
    <w:rsid w:val="008307CD"/>
    <w:rsid w:val="00831B4A"/>
    <w:rsid w:val="00833B24"/>
    <w:rsid w:val="00834619"/>
    <w:rsid w:val="00840CD7"/>
    <w:rsid w:val="00840ECD"/>
    <w:rsid w:val="008411A8"/>
    <w:rsid w:val="008411FB"/>
    <w:rsid w:val="00843166"/>
    <w:rsid w:val="008435D9"/>
    <w:rsid w:val="008435E1"/>
    <w:rsid w:val="008438F0"/>
    <w:rsid w:val="00844851"/>
    <w:rsid w:val="00846784"/>
    <w:rsid w:val="00846F91"/>
    <w:rsid w:val="008472D6"/>
    <w:rsid w:val="0084740A"/>
    <w:rsid w:val="008475CD"/>
    <w:rsid w:val="00850B1B"/>
    <w:rsid w:val="0085100F"/>
    <w:rsid w:val="00851AF1"/>
    <w:rsid w:val="0085252A"/>
    <w:rsid w:val="00852588"/>
    <w:rsid w:val="00853B35"/>
    <w:rsid w:val="008562D2"/>
    <w:rsid w:val="008567D4"/>
    <w:rsid w:val="00856B30"/>
    <w:rsid w:val="00856F91"/>
    <w:rsid w:val="0086051E"/>
    <w:rsid w:val="008611F3"/>
    <w:rsid w:val="00861426"/>
    <w:rsid w:val="008617BA"/>
    <w:rsid w:val="00861A25"/>
    <w:rsid w:val="00862D5C"/>
    <w:rsid w:val="00863EEC"/>
    <w:rsid w:val="00863F75"/>
    <w:rsid w:val="008653B6"/>
    <w:rsid w:val="00865691"/>
    <w:rsid w:val="00866974"/>
    <w:rsid w:val="00866A60"/>
    <w:rsid w:val="0086757E"/>
    <w:rsid w:val="00870969"/>
    <w:rsid w:val="0087129E"/>
    <w:rsid w:val="00872221"/>
    <w:rsid w:val="00874852"/>
    <w:rsid w:val="0088145A"/>
    <w:rsid w:val="00882172"/>
    <w:rsid w:val="00884A8A"/>
    <w:rsid w:val="008862D7"/>
    <w:rsid w:val="00893317"/>
    <w:rsid w:val="00893E8D"/>
    <w:rsid w:val="008945A8"/>
    <w:rsid w:val="008964B9"/>
    <w:rsid w:val="00896DAB"/>
    <w:rsid w:val="00897BC7"/>
    <w:rsid w:val="008A0F3B"/>
    <w:rsid w:val="008A29F7"/>
    <w:rsid w:val="008A3125"/>
    <w:rsid w:val="008A325D"/>
    <w:rsid w:val="008A329D"/>
    <w:rsid w:val="008A5723"/>
    <w:rsid w:val="008A69B9"/>
    <w:rsid w:val="008B03B9"/>
    <w:rsid w:val="008B0C35"/>
    <w:rsid w:val="008B200A"/>
    <w:rsid w:val="008B2182"/>
    <w:rsid w:val="008B2D83"/>
    <w:rsid w:val="008B6061"/>
    <w:rsid w:val="008B60A4"/>
    <w:rsid w:val="008B64D2"/>
    <w:rsid w:val="008C0023"/>
    <w:rsid w:val="008C3B90"/>
    <w:rsid w:val="008C7CD3"/>
    <w:rsid w:val="008D0785"/>
    <w:rsid w:val="008D1414"/>
    <w:rsid w:val="008D308B"/>
    <w:rsid w:val="008D32C5"/>
    <w:rsid w:val="008D68CC"/>
    <w:rsid w:val="008D7924"/>
    <w:rsid w:val="008E0363"/>
    <w:rsid w:val="008E1784"/>
    <w:rsid w:val="008E189F"/>
    <w:rsid w:val="008E1B62"/>
    <w:rsid w:val="008E1CB5"/>
    <w:rsid w:val="008E2534"/>
    <w:rsid w:val="008E33CF"/>
    <w:rsid w:val="008E3784"/>
    <w:rsid w:val="008E3A29"/>
    <w:rsid w:val="008E4AE7"/>
    <w:rsid w:val="008E504F"/>
    <w:rsid w:val="008E5B39"/>
    <w:rsid w:val="008F074A"/>
    <w:rsid w:val="008F0E21"/>
    <w:rsid w:val="008F1334"/>
    <w:rsid w:val="008F1EA6"/>
    <w:rsid w:val="008F1F60"/>
    <w:rsid w:val="008F338B"/>
    <w:rsid w:val="008F3BA3"/>
    <w:rsid w:val="008F4B3E"/>
    <w:rsid w:val="008F6648"/>
    <w:rsid w:val="008F66D3"/>
    <w:rsid w:val="008F690F"/>
    <w:rsid w:val="00901140"/>
    <w:rsid w:val="009038E7"/>
    <w:rsid w:val="00903D9F"/>
    <w:rsid w:val="009061EF"/>
    <w:rsid w:val="00907477"/>
    <w:rsid w:val="00907ED5"/>
    <w:rsid w:val="0091015E"/>
    <w:rsid w:val="00911FD2"/>
    <w:rsid w:val="00912E9D"/>
    <w:rsid w:val="00913434"/>
    <w:rsid w:val="0091350E"/>
    <w:rsid w:val="00914D17"/>
    <w:rsid w:val="00915A0C"/>
    <w:rsid w:val="00916D89"/>
    <w:rsid w:val="00916E57"/>
    <w:rsid w:val="0091726B"/>
    <w:rsid w:val="0091735E"/>
    <w:rsid w:val="009205C2"/>
    <w:rsid w:val="0092097F"/>
    <w:rsid w:val="00920AD4"/>
    <w:rsid w:val="0092157D"/>
    <w:rsid w:val="00921606"/>
    <w:rsid w:val="0092176E"/>
    <w:rsid w:val="00930823"/>
    <w:rsid w:val="00934C07"/>
    <w:rsid w:val="00935EEF"/>
    <w:rsid w:val="009414F7"/>
    <w:rsid w:val="00941D78"/>
    <w:rsid w:val="00942D12"/>
    <w:rsid w:val="009439FF"/>
    <w:rsid w:val="00944463"/>
    <w:rsid w:val="00945261"/>
    <w:rsid w:val="00945783"/>
    <w:rsid w:val="00947A56"/>
    <w:rsid w:val="00947F5F"/>
    <w:rsid w:val="00950516"/>
    <w:rsid w:val="0095291F"/>
    <w:rsid w:val="009539F1"/>
    <w:rsid w:val="00953A30"/>
    <w:rsid w:val="0095500D"/>
    <w:rsid w:val="00955138"/>
    <w:rsid w:val="0095542C"/>
    <w:rsid w:val="00956C76"/>
    <w:rsid w:val="00957BA9"/>
    <w:rsid w:val="009602A1"/>
    <w:rsid w:val="00960958"/>
    <w:rsid w:val="00963935"/>
    <w:rsid w:val="0096553A"/>
    <w:rsid w:val="00966DBD"/>
    <w:rsid w:val="009723AE"/>
    <w:rsid w:val="00972821"/>
    <w:rsid w:val="00972CF2"/>
    <w:rsid w:val="00973F52"/>
    <w:rsid w:val="0097486E"/>
    <w:rsid w:val="00974EDD"/>
    <w:rsid w:val="00975178"/>
    <w:rsid w:val="00976D75"/>
    <w:rsid w:val="00977116"/>
    <w:rsid w:val="00980605"/>
    <w:rsid w:val="00980C0B"/>
    <w:rsid w:val="00981814"/>
    <w:rsid w:val="0098182B"/>
    <w:rsid w:val="00982C0D"/>
    <w:rsid w:val="00982DC4"/>
    <w:rsid w:val="00983642"/>
    <w:rsid w:val="0098580E"/>
    <w:rsid w:val="00987B81"/>
    <w:rsid w:val="00990D27"/>
    <w:rsid w:val="00991588"/>
    <w:rsid w:val="009915C7"/>
    <w:rsid w:val="00991B15"/>
    <w:rsid w:val="00992010"/>
    <w:rsid w:val="00992D60"/>
    <w:rsid w:val="00993F96"/>
    <w:rsid w:val="00994070"/>
    <w:rsid w:val="009958E8"/>
    <w:rsid w:val="00995A1B"/>
    <w:rsid w:val="00995C79"/>
    <w:rsid w:val="00996BC7"/>
    <w:rsid w:val="009A044C"/>
    <w:rsid w:val="009A1DD0"/>
    <w:rsid w:val="009A21E4"/>
    <w:rsid w:val="009A2781"/>
    <w:rsid w:val="009A7620"/>
    <w:rsid w:val="009B0F0B"/>
    <w:rsid w:val="009B1A36"/>
    <w:rsid w:val="009B1A3D"/>
    <w:rsid w:val="009B1C5B"/>
    <w:rsid w:val="009B23DE"/>
    <w:rsid w:val="009B2512"/>
    <w:rsid w:val="009B4366"/>
    <w:rsid w:val="009B4B00"/>
    <w:rsid w:val="009B6692"/>
    <w:rsid w:val="009C04F2"/>
    <w:rsid w:val="009C25DB"/>
    <w:rsid w:val="009C53E8"/>
    <w:rsid w:val="009C6635"/>
    <w:rsid w:val="009C73DC"/>
    <w:rsid w:val="009D1F38"/>
    <w:rsid w:val="009D1F41"/>
    <w:rsid w:val="009D2317"/>
    <w:rsid w:val="009D26B4"/>
    <w:rsid w:val="009D6E1A"/>
    <w:rsid w:val="009E0DE2"/>
    <w:rsid w:val="009E1740"/>
    <w:rsid w:val="009E237B"/>
    <w:rsid w:val="009E5B22"/>
    <w:rsid w:val="009E5E51"/>
    <w:rsid w:val="009E5E7A"/>
    <w:rsid w:val="009E678E"/>
    <w:rsid w:val="009E7880"/>
    <w:rsid w:val="009E7AF5"/>
    <w:rsid w:val="009F0AEC"/>
    <w:rsid w:val="009F0C73"/>
    <w:rsid w:val="009F0E63"/>
    <w:rsid w:val="009F1A9A"/>
    <w:rsid w:val="009F1F8D"/>
    <w:rsid w:val="009F3B0A"/>
    <w:rsid w:val="009F3B9E"/>
    <w:rsid w:val="009F41E2"/>
    <w:rsid w:val="009F4B75"/>
    <w:rsid w:val="009F4CF8"/>
    <w:rsid w:val="009F6DB3"/>
    <w:rsid w:val="009F7235"/>
    <w:rsid w:val="009F77AF"/>
    <w:rsid w:val="00A01C26"/>
    <w:rsid w:val="00A04058"/>
    <w:rsid w:val="00A04A2F"/>
    <w:rsid w:val="00A04A8C"/>
    <w:rsid w:val="00A04DDE"/>
    <w:rsid w:val="00A05784"/>
    <w:rsid w:val="00A05C82"/>
    <w:rsid w:val="00A06C32"/>
    <w:rsid w:val="00A070B2"/>
    <w:rsid w:val="00A076C0"/>
    <w:rsid w:val="00A10527"/>
    <w:rsid w:val="00A1138B"/>
    <w:rsid w:val="00A11809"/>
    <w:rsid w:val="00A11B72"/>
    <w:rsid w:val="00A13AE2"/>
    <w:rsid w:val="00A15057"/>
    <w:rsid w:val="00A15375"/>
    <w:rsid w:val="00A153F5"/>
    <w:rsid w:val="00A15C91"/>
    <w:rsid w:val="00A163D9"/>
    <w:rsid w:val="00A16D1D"/>
    <w:rsid w:val="00A1792F"/>
    <w:rsid w:val="00A2037B"/>
    <w:rsid w:val="00A230CB"/>
    <w:rsid w:val="00A24239"/>
    <w:rsid w:val="00A25FFD"/>
    <w:rsid w:val="00A26BE6"/>
    <w:rsid w:val="00A278C9"/>
    <w:rsid w:val="00A31234"/>
    <w:rsid w:val="00A31441"/>
    <w:rsid w:val="00A31A20"/>
    <w:rsid w:val="00A31D06"/>
    <w:rsid w:val="00A332BD"/>
    <w:rsid w:val="00A333FC"/>
    <w:rsid w:val="00A3445B"/>
    <w:rsid w:val="00A356CD"/>
    <w:rsid w:val="00A35964"/>
    <w:rsid w:val="00A36D0D"/>
    <w:rsid w:val="00A36E8B"/>
    <w:rsid w:val="00A36ECD"/>
    <w:rsid w:val="00A3712A"/>
    <w:rsid w:val="00A41160"/>
    <w:rsid w:val="00A42C1A"/>
    <w:rsid w:val="00A44BBB"/>
    <w:rsid w:val="00A45E8E"/>
    <w:rsid w:val="00A504D1"/>
    <w:rsid w:val="00A527BD"/>
    <w:rsid w:val="00A5440E"/>
    <w:rsid w:val="00A54487"/>
    <w:rsid w:val="00A55E9F"/>
    <w:rsid w:val="00A566AB"/>
    <w:rsid w:val="00A61484"/>
    <w:rsid w:val="00A62805"/>
    <w:rsid w:val="00A6296F"/>
    <w:rsid w:val="00A63F7C"/>
    <w:rsid w:val="00A64D9B"/>
    <w:rsid w:val="00A65DD5"/>
    <w:rsid w:val="00A66B5C"/>
    <w:rsid w:val="00A66ED7"/>
    <w:rsid w:val="00A67272"/>
    <w:rsid w:val="00A709E0"/>
    <w:rsid w:val="00A710CD"/>
    <w:rsid w:val="00A71EE4"/>
    <w:rsid w:val="00A7236E"/>
    <w:rsid w:val="00A73FB8"/>
    <w:rsid w:val="00A80A11"/>
    <w:rsid w:val="00A80DD5"/>
    <w:rsid w:val="00A812F5"/>
    <w:rsid w:val="00A81533"/>
    <w:rsid w:val="00A8168B"/>
    <w:rsid w:val="00A83330"/>
    <w:rsid w:val="00A83E01"/>
    <w:rsid w:val="00A8431E"/>
    <w:rsid w:val="00A84F46"/>
    <w:rsid w:val="00A87B25"/>
    <w:rsid w:val="00A91A75"/>
    <w:rsid w:val="00A93F49"/>
    <w:rsid w:val="00A946FF"/>
    <w:rsid w:val="00A95216"/>
    <w:rsid w:val="00A95A95"/>
    <w:rsid w:val="00A9764E"/>
    <w:rsid w:val="00A97A50"/>
    <w:rsid w:val="00A97F8A"/>
    <w:rsid w:val="00AA092A"/>
    <w:rsid w:val="00AA0988"/>
    <w:rsid w:val="00AA219C"/>
    <w:rsid w:val="00AA2979"/>
    <w:rsid w:val="00AA2B5B"/>
    <w:rsid w:val="00AA2DF7"/>
    <w:rsid w:val="00AA3AF7"/>
    <w:rsid w:val="00AA3B84"/>
    <w:rsid w:val="00AA41CB"/>
    <w:rsid w:val="00AA4B0C"/>
    <w:rsid w:val="00AA5688"/>
    <w:rsid w:val="00AA5E9D"/>
    <w:rsid w:val="00AA6B42"/>
    <w:rsid w:val="00AB032B"/>
    <w:rsid w:val="00AB10D6"/>
    <w:rsid w:val="00AB1ACD"/>
    <w:rsid w:val="00AB1F4B"/>
    <w:rsid w:val="00AB34D1"/>
    <w:rsid w:val="00AB43ED"/>
    <w:rsid w:val="00AB4788"/>
    <w:rsid w:val="00AB72E8"/>
    <w:rsid w:val="00AB7326"/>
    <w:rsid w:val="00AC155C"/>
    <w:rsid w:val="00AC2184"/>
    <w:rsid w:val="00AC374B"/>
    <w:rsid w:val="00AC7A16"/>
    <w:rsid w:val="00AD0F67"/>
    <w:rsid w:val="00AD14C4"/>
    <w:rsid w:val="00AD1503"/>
    <w:rsid w:val="00AD2286"/>
    <w:rsid w:val="00AD254B"/>
    <w:rsid w:val="00AD2CDC"/>
    <w:rsid w:val="00AD2F32"/>
    <w:rsid w:val="00AD32E9"/>
    <w:rsid w:val="00AD347D"/>
    <w:rsid w:val="00AD503D"/>
    <w:rsid w:val="00AD522C"/>
    <w:rsid w:val="00AD5349"/>
    <w:rsid w:val="00AD692B"/>
    <w:rsid w:val="00AD6952"/>
    <w:rsid w:val="00AD6B51"/>
    <w:rsid w:val="00AD7CFC"/>
    <w:rsid w:val="00AE43AD"/>
    <w:rsid w:val="00AE4649"/>
    <w:rsid w:val="00AE49E1"/>
    <w:rsid w:val="00AE56A6"/>
    <w:rsid w:val="00AE574E"/>
    <w:rsid w:val="00AE607D"/>
    <w:rsid w:val="00AE6C85"/>
    <w:rsid w:val="00AE73CA"/>
    <w:rsid w:val="00AE76A2"/>
    <w:rsid w:val="00AE7954"/>
    <w:rsid w:val="00AE7B19"/>
    <w:rsid w:val="00AF0198"/>
    <w:rsid w:val="00AF0F65"/>
    <w:rsid w:val="00AF1BF4"/>
    <w:rsid w:val="00AF2360"/>
    <w:rsid w:val="00AF47BB"/>
    <w:rsid w:val="00AF5F2F"/>
    <w:rsid w:val="00AF69BF"/>
    <w:rsid w:val="00AF7793"/>
    <w:rsid w:val="00AF7C4E"/>
    <w:rsid w:val="00AF7D80"/>
    <w:rsid w:val="00B01288"/>
    <w:rsid w:val="00B01602"/>
    <w:rsid w:val="00B01736"/>
    <w:rsid w:val="00B02506"/>
    <w:rsid w:val="00B026C7"/>
    <w:rsid w:val="00B02F07"/>
    <w:rsid w:val="00B05ADC"/>
    <w:rsid w:val="00B06BE5"/>
    <w:rsid w:val="00B07056"/>
    <w:rsid w:val="00B113D5"/>
    <w:rsid w:val="00B11478"/>
    <w:rsid w:val="00B13BB4"/>
    <w:rsid w:val="00B15D50"/>
    <w:rsid w:val="00B16866"/>
    <w:rsid w:val="00B169CD"/>
    <w:rsid w:val="00B16CBF"/>
    <w:rsid w:val="00B20D27"/>
    <w:rsid w:val="00B219FC"/>
    <w:rsid w:val="00B226C5"/>
    <w:rsid w:val="00B2272E"/>
    <w:rsid w:val="00B228AA"/>
    <w:rsid w:val="00B23497"/>
    <w:rsid w:val="00B26230"/>
    <w:rsid w:val="00B27118"/>
    <w:rsid w:val="00B27AB8"/>
    <w:rsid w:val="00B27BC1"/>
    <w:rsid w:val="00B30105"/>
    <w:rsid w:val="00B320D9"/>
    <w:rsid w:val="00B32CCA"/>
    <w:rsid w:val="00B3382D"/>
    <w:rsid w:val="00B34095"/>
    <w:rsid w:val="00B357EE"/>
    <w:rsid w:val="00B36941"/>
    <w:rsid w:val="00B3751B"/>
    <w:rsid w:val="00B376E8"/>
    <w:rsid w:val="00B40D9E"/>
    <w:rsid w:val="00B41A82"/>
    <w:rsid w:val="00B42696"/>
    <w:rsid w:val="00B42B7D"/>
    <w:rsid w:val="00B43250"/>
    <w:rsid w:val="00B4389D"/>
    <w:rsid w:val="00B44D0D"/>
    <w:rsid w:val="00B44FD4"/>
    <w:rsid w:val="00B56335"/>
    <w:rsid w:val="00B56718"/>
    <w:rsid w:val="00B613CC"/>
    <w:rsid w:val="00B6210A"/>
    <w:rsid w:val="00B6280E"/>
    <w:rsid w:val="00B64486"/>
    <w:rsid w:val="00B66B53"/>
    <w:rsid w:val="00B74675"/>
    <w:rsid w:val="00B75063"/>
    <w:rsid w:val="00B77F76"/>
    <w:rsid w:val="00B801CD"/>
    <w:rsid w:val="00B80C7D"/>
    <w:rsid w:val="00B81E44"/>
    <w:rsid w:val="00B82404"/>
    <w:rsid w:val="00B82579"/>
    <w:rsid w:val="00B82DBA"/>
    <w:rsid w:val="00B82FC9"/>
    <w:rsid w:val="00B83F1D"/>
    <w:rsid w:val="00B84667"/>
    <w:rsid w:val="00B84F15"/>
    <w:rsid w:val="00B85F18"/>
    <w:rsid w:val="00B90DCF"/>
    <w:rsid w:val="00B9208B"/>
    <w:rsid w:val="00B92F7B"/>
    <w:rsid w:val="00B937BF"/>
    <w:rsid w:val="00B951D8"/>
    <w:rsid w:val="00B9713F"/>
    <w:rsid w:val="00B971DD"/>
    <w:rsid w:val="00B97D66"/>
    <w:rsid w:val="00BA1B28"/>
    <w:rsid w:val="00BA2731"/>
    <w:rsid w:val="00BA35B7"/>
    <w:rsid w:val="00BA468B"/>
    <w:rsid w:val="00BA5824"/>
    <w:rsid w:val="00BA5BE3"/>
    <w:rsid w:val="00BA70E7"/>
    <w:rsid w:val="00BA7FEB"/>
    <w:rsid w:val="00BB0AB2"/>
    <w:rsid w:val="00BB2828"/>
    <w:rsid w:val="00BB2B35"/>
    <w:rsid w:val="00BB39FF"/>
    <w:rsid w:val="00BB3A5C"/>
    <w:rsid w:val="00BB48D2"/>
    <w:rsid w:val="00BB607A"/>
    <w:rsid w:val="00BB616B"/>
    <w:rsid w:val="00BB6706"/>
    <w:rsid w:val="00BB6E4A"/>
    <w:rsid w:val="00BB70EA"/>
    <w:rsid w:val="00BB7398"/>
    <w:rsid w:val="00BC09FA"/>
    <w:rsid w:val="00BC1E52"/>
    <w:rsid w:val="00BC76C6"/>
    <w:rsid w:val="00BC7CE7"/>
    <w:rsid w:val="00BD01EE"/>
    <w:rsid w:val="00BD0B6A"/>
    <w:rsid w:val="00BD1227"/>
    <w:rsid w:val="00BD21AE"/>
    <w:rsid w:val="00BD37D7"/>
    <w:rsid w:val="00BD47B6"/>
    <w:rsid w:val="00BE03E9"/>
    <w:rsid w:val="00BE1454"/>
    <w:rsid w:val="00BE1E32"/>
    <w:rsid w:val="00BE2E41"/>
    <w:rsid w:val="00BE305B"/>
    <w:rsid w:val="00BE521B"/>
    <w:rsid w:val="00BE6710"/>
    <w:rsid w:val="00BE7A7D"/>
    <w:rsid w:val="00BE7EFB"/>
    <w:rsid w:val="00BF03D5"/>
    <w:rsid w:val="00BF0476"/>
    <w:rsid w:val="00BF2416"/>
    <w:rsid w:val="00BF2AA4"/>
    <w:rsid w:val="00BF4375"/>
    <w:rsid w:val="00BF4E61"/>
    <w:rsid w:val="00BF691B"/>
    <w:rsid w:val="00BF6F97"/>
    <w:rsid w:val="00BF7F75"/>
    <w:rsid w:val="00C03EC4"/>
    <w:rsid w:val="00C05C70"/>
    <w:rsid w:val="00C05DC8"/>
    <w:rsid w:val="00C05E4D"/>
    <w:rsid w:val="00C12887"/>
    <w:rsid w:val="00C128F8"/>
    <w:rsid w:val="00C170D4"/>
    <w:rsid w:val="00C179F8"/>
    <w:rsid w:val="00C17E6C"/>
    <w:rsid w:val="00C217A4"/>
    <w:rsid w:val="00C21EF5"/>
    <w:rsid w:val="00C235E6"/>
    <w:rsid w:val="00C237CF"/>
    <w:rsid w:val="00C239C4"/>
    <w:rsid w:val="00C240E3"/>
    <w:rsid w:val="00C2427F"/>
    <w:rsid w:val="00C25E11"/>
    <w:rsid w:val="00C262FD"/>
    <w:rsid w:val="00C328FB"/>
    <w:rsid w:val="00C32A8E"/>
    <w:rsid w:val="00C32E2E"/>
    <w:rsid w:val="00C343F6"/>
    <w:rsid w:val="00C34D65"/>
    <w:rsid w:val="00C355F5"/>
    <w:rsid w:val="00C37162"/>
    <w:rsid w:val="00C37E11"/>
    <w:rsid w:val="00C4153E"/>
    <w:rsid w:val="00C41AF1"/>
    <w:rsid w:val="00C41B5E"/>
    <w:rsid w:val="00C43209"/>
    <w:rsid w:val="00C43921"/>
    <w:rsid w:val="00C44009"/>
    <w:rsid w:val="00C44D70"/>
    <w:rsid w:val="00C479C4"/>
    <w:rsid w:val="00C502C3"/>
    <w:rsid w:val="00C51849"/>
    <w:rsid w:val="00C52C5D"/>
    <w:rsid w:val="00C54061"/>
    <w:rsid w:val="00C545F8"/>
    <w:rsid w:val="00C54E76"/>
    <w:rsid w:val="00C55027"/>
    <w:rsid w:val="00C560A1"/>
    <w:rsid w:val="00C57924"/>
    <w:rsid w:val="00C60C5E"/>
    <w:rsid w:val="00C61986"/>
    <w:rsid w:val="00C622E3"/>
    <w:rsid w:val="00C625F3"/>
    <w:rsid w:val="00C649DB"/>
    <w:rsid w:val="00C66B96"/>
    <w:rsid w:val="00C67080"/>
    <w:rsid w:val="00C72B79"/>
    <w:rsid w:val="00C74B97"/>
    <w:rsid w:val="00C7658B"/>
    <w:rsid w:val="00C76A44"/>
    <w:rsid w:val="00C76DD8"/>
    <w:rsid w:val="00C77656"/>
    <w:rsid w:val="00C77ADF"/>
    <w:rsid w:val="00C84F25"/>
    <w:rsid w:val="00C85752"/>
    <w:rsid w:val="00C90E12"/>
    <w:rsid w:val="00C9167E"/>
    <w:rsid w:val="00C91EAF"/>
    <w:rsid w:val="00C935BC"/>
    <w:rsid w:val="00C9382E"/>
    <w:rsid w:val="00C97401"/>
    <w:rsid w:val="00CA0C71"/>
    <w:rsid w:val="00CA152E"/>
    <w:rsid w:val="00CA16C2"/>
    <w:rsid w:val="00CA2F4F"/>
    <w:rsid w:val="00CA357F"/>
    <w:rsid w:val="00CA4A96"/>
    <w:rsid w:val="00CA7512"/>
    <w:rsid w:val="00CB0E68"/>
    <w:rsid w:val="00CB1789"/>
    <w:rsid w:val="00CB360C"/>
    <w:rsid w:val="00CB3F3F"/>
    <w:rsid w:val="00CB4197"/>
    <w:rsid w:val="00CB47AF"/>
    <w:rsid w:val="00CB5279"/>
    <w:rsid w:val="00CB5390"/>
    <w:rsid w:val="00CB541D"/>
    <w:rsid w:val="00CB7287"/>
    <w:rsid w:val="00CC087B"/>
    <w:rsid w:val="00CC27FE"/>
    <w:rsid w:val="00CC41B0"/>
    <w:rsid w:val="00CC50BC"/>
    <w:rsid w:val="00CC5CE9"/>
    <w:rsid w:val="00CC668B"/>
    <w:rsid w:val="00CC787D"/>
    <w:rsid w:val="00CD04BF"/>
    <w:rsid w:val="00CD1127"/>
    <w:rsid w:val="00CD4298"/>
    <w:rsid w:val="00CD47A4"/>
    <w:rsid w:val="00CD4ED1"/>
    <w:rsid w:val="00CD5227"/>
    <w:rsid w:val="00CD5F01"/>
    <w:rsid w:val="00CD6EBB"/>
    <w:rsid w:val="00CE3715"/>
    <w:rsid w:val="00CE37F8"/>
    <w:rsid w:val="00CE3CB1"/>
    <w:rsid w:val="00CE4165"/>
    <w:rsid w:val="00CE4A4A"/>
    <w:rsid w:val="00CE5F53"/>
    <w:rsid w:val="00CE6B7D"/>
    <w:rsid w:val="00CF08A0"/>
    <w:rsid w:val="00CF3780"/>
    <w:rsid w:val="00CF46C6"/>
    <w:rsid w:val="00CF62AA"/>
    <w:rsid w:val="00D03179"/>
    <w:rsid w:val="00D03D73"/>
    <w:rsid w:val="00D041BB"/>
    <w:rsid w:val="00D04DFA"/>
    <w:rsid w:val="00D05BBA"/>
    <w:rsid w:val="00D0652F"/>
    <w:rsid w:val="00D06BB8"/>
    <w:rsid w:val="00D0730C"/>
    <w:rsid w:val="00D07FFB"/>
    <w:rsid w:val="00D10E36"/>
    <w:rsid w:val="00D10E98"/>
    <w:rsid w:val="00D11A82"/>
    <w:rsid w:val="00D11AAB"/>
    <w:rsid w:val="00D1275F"/>
    <w:rsid w:val="00D15323"/>
    <w:rsid w:val="00D160BC"/>
    <w:rsid w:val="00D176B8"/>
    <w:rsid w:val="00D202CF"/>
    <w:rsid w:val="00D212C2"/>
    <w:rsid w:val="00D21D6E"/>
    <w:rsid w:val="00D227DA"/>
    <w:rsid w:val="00D23C1B"/>
    <w:rsid w:val="00D23C5D"/>
    <w:rsid w:val="00D24551"/>
    <w:rsid w:val="00D27488"/>
    <w:rsid w:val="00D27CFA"/>
    <w:rsid w:val="00D30136"/>
    <w:rsid w:val="00D30C00"/>
    <w:rsid w:val="00D334B2"/>
    <w:rsid w:val="00D36099"/>
    <w:rsid w:val="00D37BC9"/>
    <w:rsid w:val="00D41078"/>
    <w:rsid w:val="00D420FE"/>
    <w:rsid w:val="00D423E1"/>
    <w:rsid w:val="00D4398F"/>
    <w:rsid w:val="00D4427D"/>
    <w:rsid w:val="00D44728"/>
    <w:rsid w:val="00D44AEC"/>
    <w:rsid w:val="00D44D64"/>
    <w:rsid w:val="00D44FC4"/>
    <w:rsid w:val="00D451F1"/>
    <w:rsid w:val="00D457A2"/>
    <w:rsid w:val="00D47726"/>
    <w:rsid w:val="00D5072F"/>
    <w:rsid w:val="00D51487"/>
    <w:rsid w:val="00D51601"/>
    <w:rsid w:val="00D625F4"/>
    <w:rsid w:val="00D652AB"/>
    <w:rsid w:val="00D65811"/>
    <w:rsid w:val="00D6606B"/>
    <w:rsid w:val="00D6697D"/>
    <w:rsid w:val="00D672FA"/>
    <w:rsid w:val="00D70AB3"/>
    <w:rsid w:val="00D74722"/>
    <w:rsid w:val="00D74E6F"/>
    <w:rsid w:val="00D75E3E"/>
    <w:rsid w:val="00D75F11"/>
    <w:rsid w:val="00D77225"/>
    <w:rsid w:val="00D800D0"/>
    <w:rsid w:val="00D81D92"/>
    <w:rsid w:val="00D86736"/>
    <w:rsid w:val="00D8719A"/>
    <w:rsid w:val="00D91EEA"/>
    <w:rsid w:val="00D931BF"/>
    <w:rsid w:val="00D95004"/>
    <w:rsid w:val="00D951F2"/>
    <w:rsid w:val="00D9629D"/>
    <w:rsid w:val="00D97737"/>
    <w:rsid w:val="00D97969"/>
    <w:rsid w:val="00DA2825"/>
    <w:rsid w:val="00DA2A1A"/>
    <w:rsid w:val="00DA2F25"/>
    <w:rsid w:val="00DA3ED0"/>
    <w:rsid w:val="00DA5FEF"/>
    <w:rsid w:val="00DA6A32"/>
    <w:rsid w:val="00DB0E1A"/>
    <w:rsid w:val="00DB2372"/>
    <w:rsid w:val="00DB301F"/>
    <w:rsid w:val="00DB5672"/>
    <w:rsid w:val="00DB5876"/>
    <w:rsid w:val="00DB736B"/>
    <w:rsid w:val="00DB7A22"/>
    <w:rsid w:val="00DC1B00"/>
    <w:rsid w:val="00DC671E"/>
    <w:rsid w:val="00DD0C1B"/>
    <w:rsid w:val="00DD17E8"/>
    <w:rsid w:val="00DD1C5D"/>
    <w:rsid w:val="00DD3A8A"/>
    <w:rsid w:val="00DD4EB1"/>
    <w:rsid w:val="00DD7312"/>
    <w:rsid w:val="00DE0C8A"/>
    <w:rsid w:val="00DE0D08"/>
    <w:rsid w:val="00DE2029"/>
    <w:rsid w:val="00DE2616"/>
    <w:rsid w:val="00DE2CA5"/>
    <w:rsid w:val="00DE516D"/>
    <w:rsid w:val="00DE60FA"/>
    <w:rsid w:val="00DE64F7"/>
    <w:rsid w:val="00DE724B"/>
    <w:rsid w:val="00DE7659"/>
    <w:rsid w:val="00DF2559"/>
    <w:rsid w:val="00DF2686"/>
    <w:rsid w:val="00DF378D"/>
    <w:rsid w:val="00DF3E90"/>
    <w:rsid w:val="00DF5AC5"/>
    <w:rsid w:val="00DF60D9"/>
    <w:rsid w:val="00DF61C6"/>
    <w:rsid w:val="00DF7A84"/>
    <w:rsid w:val="00E001FA"/>
    <w:rsid w:val="00E00BD1"/>
    <w:rsid w:val="00E01EDC"/>
    <w:rsid w:val="00E0217B"/>
    <w:rsid w:val="00E0367B"/>
    <w:rsid w:val="00E042BB"/>
    <w:rsid w:val="00E04488"/>
    <w:rsid w:val="00E05022"/>
    <w:rsid w:val="00E06199"/>
    <w:rsid w:val="00E070D5"/>
    <w:rsid w:val="00E07274"/>
    <w:rsid w:val="00E105BD"/>
    <w:rsid w:val="00E11A0A"/>
    <w:rsid w:val="00E13B13"/>
    <w:rsid w:val="00E1505B"/>
    <w:rsid w:val="00E150AB"/>
    <w:rsid w:val="00E16A7A"/>
    <w:rsid w:val="00E17D23"/>
    <w:rsid w:val="00E22858"/>
    <w:rsid w:val="00E22FDE"/>
    <w:rsid w:val="00E233A5"/>
    <w:rsid w:val="00E235BE"/>
    <w:rsid w:val="00E238CE"/>
    <w:rsid w:val="00E30382"/>
    <w:rsid w:val="00E32E04"/>
    <w:rsid w:val="00E352B8"/>
    <w:rsid w:val="00E35C15"/>
    <w:rsid w:val="00E37090"/>
    <w:rsid w:val="00E370F5"/>
    <w:rsid w:val="00E3756E"/>
    <w:rsid w:val="00E402E5"/>
    <w:rsid w:val="00E4096E"/>
    <w:rsid w:val="00E41225"/>
    <w:rsid w:val="00E42A71"/>
    <w:rsid w:val="00E43F9E"/>
    <w:rsid w:val="00E45083"/>
    <w:rsid w:val="00E46447"/>
    <w:rsid w:val="00E469DB"/>
    <w:rsid w:val="00E5000B"/>
    <w:rsid w:val="00E51737"/>
    <w:rsid w:val="00E55C0D"/>
    <w:rsid w:val="00E55F75"/>
    <w:rsid w:val="00E561CF"/>
    <w:rsid w:val="00E56E11"/>
    <w:rsid w:val="00E56FFA"/>
    <w:rsid w:val="00E57B6A"/>
    <w:rsid w:val="00E66A04"/>
    <w:rsid w:val="00E71512"/>
    <w:rsid w:val="00E718E9"/>
    <w:rsid w:val="00E726AE"/>
    <w:rsid w:val="00E72E26"/>
    <w:rsid w:val="00E740DA"/>
    <w:rsid w:val="00E74E26"/>
    <w:rsid w:val="00E750EB"/>
    <w:rsid w:val="00E75E7B"/>
    <w:rsid w:val="00E76686"/>
    <w:rsid w:val="00E7677B"/>
    <w:rsid w:val="00E81433"/>
    <w:rsid w:val="00E87039"/>
    <w:rsid w:val="00E87041"/>
    <w:rsid w:val="00E91438"/>
    <w:rsid w:val="00E925EE"/>
    <w:rsid w:val="00E94564"/>
    <w:rsid w:val="00E96667"/>
    <w:rsid w:val="00E9763C"/>
    <w:rsid w:val="00EA04A3"/>
    <w:rsid w:val="00EA0D4F"/>
    <w:rsid w:val="00EA0DC3"/>
    <w:rsid w:val="00EA102E"/>
    <w:rsid w:val="00EA1061"/>
    <w:rsid w:val="00EA1C24"/>
    <w:rsid w:val="00EA3E55"/>
    <w:rsid w:val="00EA4E2A"/>
    <w:rsid w:val="00EA4E6C"/>
    <w:rsid w:val="00EA5BEF"/>
    <w:rsid w:val="00EA7E92"/>
    <w:rsid w:val="00EB01E7"/>
    <w:rsid w:val="00EB0C3E"/>
    <w:rsid w:val="00EB2852"/>
    <w:rsid w:val="00EB2EA5"/>
    <w:rsid w:val="00EB415B"/>
    <w:rsid w:val="00EB6AB2"/>
    <w:rsid w:val="00EB7C10"/>
    <w:rsid w:val="00EC087B"/>
    <w:rsid w:val="00EC3844"/>
    <w:rsid w:val="00EC3DBA"/>
    <w:rsid w:val="00EC44CD"/>
    <w:rsid w:val="00EC4DFD"/>
    <w:rsid w:val="00EC606D"/>
    <w:rsid w:val="00EC622C"/>
    <w:rsid w:val="00ED0110"/>
    <w:rsid w:val="00ED0232"/>
    <w:rsid w:val="00ED0D54"/>
    <w:rsid w:val="00ED1426"/>
    <w:rsid w:val="00ED19CE"/>
    <w:rsid w:val="00ED3757"/>
    <w:rsid w:val="00ED53FD"/>
    <w:rsid w:val="00ED681E"/>
    <w:rsid w:val="00ED6B28"/>
    <w:rsid w:val="00ED74EF"/>
    <w:rsid w:val="00EE0120"/>
    <w:rsid w:val="00EE0557"/>
    <w:rsid w:val="00EE0E9A"/>
    <w:rsid w:val="00EE1603"/>
    <w:rsid w:val="00EE168B"/>
    <w:rsid w:val="00EE22AD"/>
    <w:rsid w:val="00EE3BE1"/>
    <w:rsid w:val="00EE44BA"/>
    <w:rsid w:val="00EE44D2"/>
    <w:rsid w:val="00EE4A07"/>
    <w:rsid w:val="00EE4B70"/>
    <w:rsid w:val="00EE50A7"/>
    <w:rsid w:val="00EE55B2"/>
    <w:rsid w:val="00EE79E1"/>
    <w:rsid w:val="00EF0E79"/>
    <w:rsid w:val="00EF18D6"/>
    <w:rsid w:val="00EF4905"/>
    <w:rsid w:val="00EF5059"/>
    <w:rsid w:val="00EF779D"/>
    <w:rsid w:val="00F03AAA"/>
    <w:rsid w:val="00F05D26"/>
    <w:rsid w:val="00F0717F"/>
    <w:rsid w:val="00F0732D"/>
    <w:rsid w:val="00F0798B"/>
    <w:rsid w:val="00F11107"/>
    <w:rsid w:val="00F11206"/>
    <w:rsid w:val="00F112FB"/>
    <w:rsid w:val="00F14616"/>
    <w:rsid w:val="00F201E9"/>
    <w:rsid w:val="00F225D5"/>
    <w:rsid w:val="00F22E3F"/>
    <w:rsid w:val="00F22F2B"/>
    <w:rsid w:val="00F23440"/>
    <w:rsid w:val="00F23D5B"/>
    <w:rsid w:val="00F255CC"/>
    <w:rsid w:val="00F25F77"/>
    <w:rsid w:val="00F27A34"/>
    <w:rsid w:val="00F27D8E"/>
    <w:rsid w:val="00F30FF9"/>
    <w:rsid w:val="00F32621"/>
    <w:rsid w:val="00F32F63"/>
    <w:rsid w:val="00F338C2"/>
    <w:rsid w:val="00F366CA"/>
    <w:rsid w:val="00F369F6"/>
    <w:rsid w:val="00F374FB"/>
    <w:rsid w:val="00F40603"/>
    <w:rsid w:val="00F40B05"/>
    <w:rsid w:val="00F40F68"/>
    <w:rsid w:val="00F410C7"/>
    <w:rsid w:val="00F41C0A"/>
    <w:rsid w:val="00F422EF"/>
    <w:rsid w:val="00F43776"/>
    <w:rsid w:val="00F439C9"/>
    <w:rsid w:val="00F4538B"/>
    <w:rsid w:val="00F46ABF"/>
    <w:rsid w:val="00F47329"/>
    <w:rsid w:val="00F51340"/>
    <w:rsid w:val="00F53AA8"/>
    <w:rsid w:val="00F55D39"/>
    <w:rsid w:val="00F57F66"/>
    <w:rsid w:val="00F615AB"/>
    <w:rsid w:val="00F61A6A"/>
    <w:rsid w:val="00F61BA0"/>
    <w:rsid w:val="00F61C9C"/>
    <w:rsid w:val="00F61ED2"/>
    <w:rsid w:val="00F64FD7"/>
    <w:rsid w:val="00F66036"/>
    <w:rsid w:val="00F67BCA"/>
    <w:rsid w:val="00F71D7E"/>
    <w:rsid w:val="00F729BF"/>
    <w:rsid w:val="00F729D7"/>
    <w:rsid w:val="00F73768"/>
    <w:rsid w:val="00F75023"/>
    <w:rsid w:val="00F77F23"/>
    <w:rsid w:val="00F83F08"/>
    <w:rsid w:val="00F8419C"/>
    <w:rsid w:val="00F84BD2"/>
    <w:rsid w:val="00F84EC5"/>
    <w:rsid w:val="00F87F5A"/>
    <w:rsid w:val="00F90CEC"/>
    <w:rsid w:val="00F92270"/>
    <w:rsid w:val="00F9350E"/>
    <w:rsid w:val="00F94F64"/>
    <w:rsid w:val="00F96002"/>
    <w:rsid w:val="00F96D5C"/>
    <w:rsid w:val="00F97BC7"/>
    <w:rsid w:val="00FA298A"/>
    <w:rsid w:val="00FA2A24"/>
    <w:rsid w:val="00FA2FF9"/>
    <w:rsid w:val="00FA5236"/>
    <w:rsid w:val="00FA5F06"/>
    <w:rsid w:val="00FA5FF3"/>
    <w:rsid w:val="00FA6BB0"/>
    <w:rsid w:val="00FA77FB"/>
    <w:rsid w:val="00FA7B77"/>
    <w:rsid w:val="00FB02DA"/>
    <w:rsid w:val="00FB0A42"/>
    <w:rsid w:val="00FB12CD"/>
    <w:rsid w:val="00FB3B2F"/>
    <w:rsid w:val="00FB5A2F"/>
    <w:rsid w:val="00FB6479"/>
    <w:rsid w:val="00FC01A6"/>
    <w:rsid w:val="00FC05A4"/>
    <w:rsid w:val="00FC173B"/>
    <w:rsid w:val="00FC1BD5"/>
    <w:rsid w:val="00FC2B3F"/>
    <w:rsid w:val="00FC3336"/>
    <w:rsid w:val="00FC54E2"/>
    <w:rsid w:val="00FC5A09"/>
    <w:rsid w:val="00FD0D97"/>
    <w:rsid w:val="00FD1019"/>
    <w:rsid w:val="00FD2127"/>
    <w:rsid w:val="00FD59A3"/>
    <w:rsid w:val="00FE165C"/>
    <w:rsid w:val="00FE3CD6"/>
    <w:rsid w:val="00FE3E28"/>
    <w:rsid w:val="00FE5272"/>
    <w:rsid w:val="00FE5A06"/>
    <w:rsid w:val="00FE7784"/>
    <w:rsid w:val="00FE7B96"/>
    <w:rsid w:val="00FF0797"/>
    <w:rsid w:val="00FF36DC"/>
    <w:rsid w:val="00FF4A02"/>
    <w:rsid w:val="00FF4FA5"/>
    <w:rsid w:val="00FF53FB"/>
    <w:rsid w:val="00FF587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lsdException w:name="toc 3" w:uiPriority="39" w:qFormat="1"/>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qFormat="1"/>
    <w:lsdException w:name="header"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semiHidden="0" w:unhideWhenUsed="0"/>
    <w:lsdException w:name="endnote text" w:semiHidden="0" w:unhideWhenUsed="0"/>
    <w:lsdException w:name="macro" w:uiPriority="0"/>
    <w:lsdException w:name="List" w:uiPriority="0"/>
    <w:lsdException w:name="List Bullet" w:qFormat="1"/>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4" w:uiPriority="0"/>
    <w:lsdException w:name="List Number 5" w:uiPriority="0"/>
    <w:lsdException w:name="Title"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11" w:unhideWhenUsed="0" w:qFormat="1"/>
    <w:lsdException w:name="Salutation"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unhideWhenUsed="0" w:qFormat="1"/>
    <w:lsdException w:name="Emphasis" w:unhideWhenUsed="0" w:qFormat="1"/>
    <w:lsdException w:name="Plain Text" w:uiPriority="0"/>
    <w:lsdException w:name="E-mail Signature" w:uiPriority="0"/>
    <w:lsdException w:name="HTML Address" w:uiPriority="0"/>
    <w:lsdException w:name="HTML Preformatted" w:uiPriority="0"/>
    <w:lsdException w:name="annotation subject" w:uiPriority="0"/>
    <w:lsdException w:name="Table Columns 2" w:uiPriority="0"/>
    <w:lsdException w:name="Balloon Text"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nhideWhenUsed="0"/>
    <w:lsdException w:name="Medium Shading 2 Accent 4" w:semiHidden="0"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nhideWhenUsed="0" w:qFormat="1"/>
    <w:lsdException w:name="Subtle Reference" w:uiPriority="31" w:unhideWhenUsed="0"/>
    <w:lsdException w:name="Intense Reference" w:uiPriority="32" w:unhideWhenUsed="0"/>
    <w:lsdException w:name="Book Title" w:uiPriority="33" w:unhideWhenUsed="0"/>
    <w:lsdException w:name="Bibliography" w:unhideWhenUsed="0"/>
    <w:lsdException w:name="TOC Heading" w:uiPriority="39" w:qFormat="1"/>
  </w:latentStyles>
  <w:style w:type="paragraph" w:default="1" w:styleId="Normal">
    <w:name w:val="Normal"/>
    <w:semiHidden/>
    <w:rsid w:val="005456C8"/>
    <w:pPr>
      <w:spacing w:after="220" w:line="240" w:lineRule="atLeast"/>
    </w:pPr>
    <w:rPr>
      <w:rFonts w:ascii="Arial" w:hAnsi="Arial"/>
      <w:sz w:val="20"/>
      <w:lang w:val="en-AU"/>
    </w:rPr>
  </w:style>
  <w:style w:type="paragraph" w:styleId="Heading1">
    <w:name w:val="heading 1"/>
    <w:aliases w:val="Heading 1 Section Heading,No numbers,Main Heading,h1,Head1,Heading apps,Section Heading,H1,Section,(Chapter Nbr),Heading 11,Title1,A MAJOR/BOLD,Para,Level 1,L1,Appendix1,Appendix2,Appendix3,no pg,I1,1st level,l1,Chapter title,título1,H11,R1"/>
    <w:basedOn w:val="Para0"/>
    <w:next w:val="Para0"/>
    <w:link w:val="Heading1Char"/>
    <w:qFormat/>
    <w:rsid w:val="005F0279"/>
    <w:pPr>
      <w:keepNext/>
      <w:keepLines/>
      <w:pageBreakBefore/>
      <w:numPr>
        <w:numId w:val="7"/>
      </w:numPr>
      <w:spacing w:line="360" w:lineRule="exact"/>
      <w:outlineLvl w:val="0"/>
    </w:pPr>
    <w:rPr>
      <w:rFonts w:eastAsiaTheme="majorEastAsia" w:cstheme="majorBidi"/>
      <w:b/>
      <w:bCs/>
      <w:color w:val="00338D"/>
      <w:sz w:val="32"/>
      <w:szCs w:val="32"/>
    </w:rPr>
  </w:style>
  <w:style w:type="paragraph" w:styleId="Heading2">
    <w:name w:val="heading 2"/>
    <w:aliases w:val="h2 main heading,Heading 2 Main Heading,heading 2body,h2,Attribute Heading 2,body,test,H2,l2,list 2,list 2,heading 2TOC,Head 2,List level 2,2,Header 2,Heading 21,UNDERRUBRIK 1-2,h2.H2,1.1,Para2,h21,h22,Title2,ee2,B Sub/Bold,B Sub/Bold1,2m,A,h"/>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aliases w:val="h3 sub heading,Heading 3 Sub Heading,h3,H3,Heading 3a,H31,C Sub-Sub/Italic,Head 3,Head 31,Head 32,C Sub-Sub/Italic1,(Alt+3),3m,3,Sub2Para,sub-sub-para,Table Attribute Heading,H32,H33,H311,Subhead B,Heading C,H34,H312,H321,H331,H3111,H35,H313"/>
    <w:basedOn w:val="Para0"/>
    <w:next w:val="Para0"/>
    <w:link w:val="Heading3Char"/>
    <w:qFormat/>
    <w:rsid w:val="00AD7CFC"/>
    <w:pPr>
      <w:keepNext/>
      <w:keepLines/>
      <w:numPr>
        <w:ilvl w:val="2"/>
        <w:numId w:val="7"/>
      </w:numPr>
      <w:outlineLvl w:val="2"/>
    </w:pPr>
    <w:rPr>
      <w:rFonts w:eastAsiaTheme="majorEastAsia" w:cstheme="majorBidi"/>
      <w:b/>
      <w:bCs/>
      <w:color w:val="00338D"/>
    </w:rPr>
  </w:style>
  <w:style w:type="paragraph" w:styleId="Heading4">
    <w:name w:val="heading 4"/>
    <w:aliases w:val="h4,4,H4,(Alt+4),H41,(Alt+4)1,H42,(Alt+4)2,H43,(Alt+4)3,H44,(Alt+4)4,H45,(Alt+4)5,H411,(Alt+4)11,H421,(Alt+4)21,H431,(Alt+4)31,H46,(Alt+4)6,H412,(Alt+4)12,H422,(Alt+4)22,H432,(Alt+4)32,H47,(Alt+4)7,H48,(Alt+4)8,H49,(Alt+4)9,H410,(Alt+4)10,H413"/>
    <w:basedOn w:val="Para0"/>
    <w:next w:val="Para0"/>
    <w:link w:val="Heading4Char"/>
    <w:qFormat/>
    <w:rsid w:val="00AD7CFC"/>
    <w:pPr>
      <w:keepNext/>
      <w:keepLines/>
      <w:numPr>
        <w:ilvl w:val="3"/>
        <w:numId w:val="7"/>
      </w:numPr>
      <w:outlineLvl w:val="3"/>
    </w:pPr>
    <w:rPr>
      <w:rFonts w:eastAsiaTheme="majorEastAsia" w:cstheme="majorBidi"/>
      <w:b/>
      <w:bCs/>
      <w:iCs/>
      <w:color w:val="00338D"/>
    </w:rPr>
  </w:style>
  <w:style w:type="paragraph" w:styleId="Heading5">
    <w:name w:val="heading 5"/>
    <w:aliases w:val="H5,Heading 5 StGeorge,Level 3 - i,Level 5,L5,l5+toc5,(A),h5,Sub4Para,Sub-Para a.,h51,h52,hd5,Section Sub Point,Contents Sub,Heading 5 SM Head 5,DO NOT USE 5,Block Label,Further Points,(i),. (1.)"/>
    <w:basedOn w:val="Para0"/>
    <w:next w:val="Para0"/>
    <w:link w:val="Heading5Char"/>
    <w:qFormat/>
    <w:rsid w:val="00AD7CFC"/>
    <w:pPr>
      <w:keepNext/>
      <w:keepLines/>
      <w:numPr>
        <w:ilvl w:val="4"/>
        <w:numId w:val="7"/>
      </w:numPr>
      <w:outlineLvl w:val="4"/>
    </w:pPr>
    <w:rPr>
      <w:rFonts w:eastAsiaTheme="majorEastAsia" w:cstheme="majorBidi"/>
      <w:b/>
      <w:color w:val="00338D"/>
    </w:rPr>
  </w:style>
  <w:style w:type="paragraph" w:styleId="Heading6">
    <w:name w:val="heading 6"/>
    <w:aliases w:val="H6,Sub-sub Para,Legal Level 1.,h6,a.,Heading 6 SM Head 6,DO NOT USE 6,not Kinhill,Points in Text,A.,. (a.)"/>
    <w:basedOn w:val="Para0"/>
    <w:next w:val="Para0"/>
    <w:link w:val="Heading6Char"/>
    <w:qFormat/>
    <w:rsid w:val="00AD7CFC"/>
    <w:pPr>
      <w:keepNext/>
      <w:keepLines/>
      <w:numPr>
        <w:ilvl w:val="5"/>
        <w:numId w:val="7"/>
      </w:numPr>
      <w:outlineLvl w:val="5"/>
    </w:pPr>
    <w:rPr>
      <w:rFonts w:eastAsiaTheme="majorEastAsia" w:cstheme="majorBidi"/>
      <w:b/>
      <w:iCs/>
      <w:color w:val="00338D"/>
    </w:rPr>
  </w:style>
  <w:style w:type="paragraph" w:styleId="Heading7">
    <w:name w:val="heading 7"/>
    <w:aliases w:val="Sub-Heading,Legal Level 1.1.,hd7,h7,i.,DO NOT USE 7,not Kinhill1,. [(1)],Appendix Hdg 1"/>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aliases w:val="Dot-1,Legal Level 1.1.1.,CV Headings,hd8,h8,DO NOT USE 8,Appendix Level 2,Heading 8 not in use,. [(a)],Appendix Hdg 2"/>
    <w:basedOn w:val="Heading2"/>
    <w:next w:val="Para0"/>
    <w:link w:val="Heading8Char"/>
    <w:qFormat/>
    <w:rsid w:val="00AD7CFC"/>
    <w:pPr>
      <w:numPr>
        <w:ilvl w:val="7"/>
      </w:numPr>
      <w:outlineLvl w:val="7"/>
    </w:pPr>
  </w:style>
  <w:style w:type="paragraph" w:styleId="Heading9">
    <w:name w:val="heading 9"/>
    <w:aliases w:val="Appendix,Apppendix Hdg 3"/>
    <w:basedOn w:val="Para0"/>
    <w:next w:val="Para0"/>
    <w:link w:val="Heading9Char"/>
    <w:qFormat/>
    <w:rsid w:val="005E3F0E"/>
    <w:pPr>
      <w:pageBreakBefore/>
      <w:numPr>
        <w:numId w:val="33"/>
      </w:numPr>
      <w:spacing w:line="360" w:lineRule="exact"/>
      <w:ind w:left="360"/>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264230"/>
    <w:pPr>
      <w:spacing w:before="240" w:after="120"/>
    </w:pPr>
  </w:style>
  <w:style w:type="character" w:customStyle="1" w:styleId="Heading1Char">
    <w:name w:val="Heading 1 Char"/>
    <w:aliases w:val="Heading 1 Section Heading Char,No numbers Char,Main Heading Char,h1 Char,Head1 Char,Heading apps Char,Section Heading Char,H1 Char,Section Char,(Chapter Nbr) Char,Heading 11 Char,Title1 Char,A MAJOR/BOLD Char,Para Char,Level 1 Char"/>
    <w:basedOn w:val="DefaultParagraphFont"/>
    <w:link w:val="Heading1"/>
    <w:rsid w:val="005F0279"/>
    <w:rPr>
      <w:rFonts w:ascii="Arial" w:eastAsiaTheme="majorEastAsia" w:hAnsi="Arial" w:cstheme="majorBidi"/>
      <w:b/>
      <w:bCs/>
      <w:color w:val="00338D"/>
      <w:sz w:val="32"/>
      <w:szCs w:val="32"/>
      <w:lang w:val="en-AU"/>
    </w:rPr>
  </w:style>
  <w:style w:type="character" w:customStyle="1" w:styleId="Heading2Char">
    <w:name w:val="Heading 2 Char"/>
    <w:aliases w:val="h2 main heading Char,Heading 2 Main Heading Char,heading 2body Char,h2 Char,Attribute Heading 2 Char,body Char,test Char,H2 Char,l2 Char,list 2 Char,list 2 Char,heading 2TOC Char,Head 2 Char,List level 2 Char,2 Char,Header 2 Char,2m Char"/>
    <w:basedOn w:val="DefaultParagraphFont"/>
    <w:link w:val="Heading2"/>
    <w:rsid w:val="00AD7CFC"/>
    <w:rPr>
      <w:rFonts w:ascii="Arial" w:eastAsiaTheme="majorEastAsia" w:hAnsi="Arial" w:cstheme="majorBidi"/>
      <w:b/>
      <w:bCs/>
      <w:color w:val="00338D"/>
      <w:szCs w:val="26"/>
      <w:lang w:val="en-AU"/>
    </w:rPr>
  </w:style>
  <w:style w:type="character" w:customStyle="1" w:styleId="Heading3Char">
    <w:name w:val="Heading 3 Char"/>
    <w:aliases w:val="h3 sub heading Char,Heading 3 Sub Heading Char,h3 Char,H3 Char,Heading 3a Char,H31 Char,C Sub-Sub/Italic Char,Head 3 Char,Head 31 Char,Head 32 Char,C Sub-Sub/Italic1 Char,(Alt+3) Char,3m Char,3 Char,Sub2Para Char,sub-sub-para Char"/>
    <w:basedOn w:val="DefaultParagraphFont"/>
    <w:link w:val="Heading3"/>
    <w:rsid w:val="00AD7CFC"/>
    <w:rPr>
      <w:rFonts w:ascii="Arial" w:eastAsiaTheme="majorEastAsia" w:hAnsi="Arial" w:cstheme="majorBidi"/>
      <w:b/>
      <w:bCs/>
      <w:color w:val="00338D"/>
      <w:sz w:val="20"/>
      <w:lang w:val="en-AU"/>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rsid w:val="00AD7CFC"/>
    <w:rPr>
      <w:rFonts w:ascii="Arial" w:eastAsiaTheme="majorEastAsia" w:hAnsi="Arial" w:cstheme="majorBidi"/>
      <w:b/>
      <w:bCs/>
      <w:iCs/>
      <w:color w:val="00338D"/>
      <w:sz w:val="20"/>
      <w:lang w:val="en-AU"/>
    </w:rPr>
  </w:style>
  <w:style w:type="character" w:customStyle="1" w:styleId="Heading5Char">
    <w:name w:val="Heading 5 Char"/>
    <w:aliases w:val="H5 Char,Heading 5 StGeorge Char,Level 3 - i Char,Level 5 Char,L5 Char,l5+toc5 Char,(A) Char,h5 Char,Sub4Para Char,Sub-Para a. Char,h51 Char,h52 Char,hd5 Char,Section Sub Point Char,Contents Sub Char,Heading 5 SM Head 5 Char,(i) Char1"/>
    <w:basedOn w:val="DefaultParagraphFont"/>
    <w:link w:val="Heading5"/>
    <w:rsid w:val="00AD7CFC"/>
    <w:rPr>
      <w:rFonts w:ascii="Arial" w:eastAsiaTheme="majorEastAsia" w:hAnsi="Arial" w:cstheme="majorBidi"/>
      <w:b/>
      <w:color w:val="00338D"/>
      <w:sz w:val="20"/>
      <w:lang w:val="en-AU"/>
    </w:rPr>
  </w:style>
  <w:style w:type="character" w:customStyle="1" w:styleId="Heading6Char">
    <w:name w:val="Heading 6 Char"/>
    <w:aliases w:val="H6 Char,Sub-sub Para Char,Legal Level 1. Char,h6 Char,a. Char,Heading 6 SM Head 6 Char,DO NOT USE 6 Char,not Kinhill Char,Points in Text Char,A. Char,. (a.) Char"/>
    <w:basedOn w:val="DefaultParagraphFont"/>
    <w:link w:val="Heading6"/>
    <w:rsid w:val="00AD7CFC"/>
    <w:rPr>
      <w:rFonts w:ascii="Arial" w:eastAsiaTheme="majorEastAsia" w:hAnsi="Arial" w:cstheme="majorBidi"/>
      <w:b/>
      <w:iCs/>
      <w:color w:val="00338D"/>
      <w:sz w:val="20"/>
      <w:lang w:val="en-AU"/>
    </w:rPr>
  </w:style>
  <w:style w:type="character" w:customStyle="1" w:styleId="Heading7Char">
    <w:name w:val="Heading 7 Char"/>
    <w:aliases w:val="Sub-Heading Char,Legal Level 1.1. Char,hd7 Char,h7 Char,i. Char,DO NOT USE 7 Char,not Kinhill1 Char,. [(1)] Char,Appendix Hdg 1 Char"/>
    <w:basedOn w:val="DefaultParagraphFont"/>
    <w:link w:val="Heading7"/>
    <w:rsid w:val="00AD7CFC"/>
    <w:rPr>
      <w:rFonts w:ascii="Arial" w:hAnsi="Arial"/>
      <w:b/>
      <w:color w:val="00338D"/>
      <w:sz w:val="20"/>
      <w:lang w:val="en-AU"/>
    </w:rPr>
  </w:style>
  <w:style w:type="character" w:customStyle="1" w:styleId="Heading8Char">
    <w:name w:val="Heading 8 Char"/>
    <w:aliases w:val="Dot-1 Char,Legal Level 1.1.1. Char,CV Headings Char,hd8 Char,h8 Char,DO NOT USE 8 Char,Appendix Level 2 Char,Heading 8 not in use Char,. [(a)] Char,Appendix Hdg 2 Char"/>
    <w:basedOn w:val="DefaultParagraphFont"/>
    <w:link w:val="Heading8"/>
    <w:rsid w:val="00AD7CFC"/>
    <w:rPr>
      <w:rFonts w:ascii="Arial" w:eastAsiaTheme="majorEastAsia" w:hAnsi="Arial" w:cstheme="majorBidi"/>
      <w:b/>
      <w:bCs/>
      <w:color w:val="00338D"/>
      <w:szCs w:val="26"/>
      <w:lang w:val="en-AU"/>
    </w:rPr>
  </w:style>
  <w:style w:type="character" w:customStyle="1" w:styleId="Heading9Char">
    <w:name w:val="Heading 9 Char"/>
    <w:aliases w:val="Appendix Char,Apppendix Hdg 3 Char"/>
    <w:basedOn w:val="DefaultParagraphFont"/>
    <w:link w:val="Heading9"/>
    <w:rsid w:val="005E3F0E"/>
    <w:rPr>
      <w:rFonts w:ascii="Arial" w:hAnsi="Arial"/>
      <w:b/>
      <w:color w:val="00338D"/>
      <w:sz w:val="32"/>
      <w:lang w:val="en-AU"/>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rsid w:val="00AD7CFC"/>
    <w:pPr>
      <w:spacing w:line="280" w:lineRule="exact"/>
    </w:pPr>
    <w:rPr>
      <w:rFonts w:ascii="Arial" w:hAnsi="Arial"/>
      <w:caps/>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unhideWhenUsed/>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0">
    <w:name w:val="Table bullet"/>
    <w:basedOn w:val="Tabletext"/>
    <w:qFormat/>
    <w:rsid w:val="00AD7CFC"/>
    <w:pPr>
      <w:numPr>
        <w:numId w:val="25"/>
      </w:numPr>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PAE,Item,Table Caption,Table Caption1,Figure,CDM B/Caption,TABLE"/>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aliases w:val="Char Char,Char Char Char, Char Char, Char Char Char"/>
    <w:basedOn w:val="Normal"/>
    <w:link w:val="FootnoteTextChar"/>
    <w:qFormat/>
    <w:rsid w:val="00AD7CFC"/>
    <w:pPr>
      <w:spacing w:after="240" w:line="240" w:lineRule="auto"/>
      <w:ind w:left="170" w:hanging="170"/>
      <w:contextualSpacing/>
    </w:pPr>
    <w:rPr>
      <w:color w:val="000000"/>
      <w:sz w:val="15"/>
    </w:rPr>
  </w:style>
  <w:style w:type="character" w:customStyle="1" w:styleId="FootnoteTextChar">
    <w:name w:val="Footnote Text Char"/>
    <w:aliases w:val="Char Char Char1,Char Char Char Char, Char Char Char1, Char Char Char Char"/>
    <w:basedOn w:val="DefaultParagraphFont"/>
    <w:link w:val="FootnoteText"/>
    <w:rsid w:val="00AD7CFC"/>
    <w:rPr>
      <w:rFonts w:ascii="Arial" w:hAnsi="Arial"/>
      <w:color w:val="000000"/>
      <w:sz w:val="15"/>
      <w:lang w:val="en-AU"/>
    </w:rPr>
  </w:style>
  <w:style w:type="paragraph" w:customStyle="1" w:styleId="Tabletext">
    <w:name w:val="Table text"/>
    <w:basedOn w:val="Normal"/>
    <w:link w:val="TabletextChar"/>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AD7CFC"/>
  </w:style>
  <w:style w:type="paragraph" w:customStyle="1" w:styleId="ProjectName">
    <w:name w:val="Project Name"/>
    <w:basedOn w:val="CoverHeading"/>
    <w:next w:val="Para0"/>
    <w:rsid w:val="00AD7CFC"/>
    <w:pPr>
      <w:spacing w:after="0" w:line="240" w:lineRule="auto"/>
      <w:ind w:right="0"/>
      <w:jc w:val="left"/>
    </w:pPr>
    <w:rPr>
      <w:color w:val="6C6F70"/>
      <w:sz w:val="22"/>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0"/>
    <w:qFormat/>
    <w:rsid w:val="00AD7CFC"/>
    <w:pPr>
      <w:numPr>
        <w:numId w:val="27"/>
      </w:numPr>
    </w:pPr>
  </w:style>
  <w:style w:type="paragraph" w:styleId="TOC1">
    <w:name w:val="toc 1"/>
    <w:basedOn w:val="Normal"/>
    <w:next w:val="Normal"/>
    <w:autoRedefine/>
    <w:uiPriority w:val="39"/>
    <w:qFormat/>
    <w:rsid w:val="00453B3F"/>
    <w:pPr>
      <w:tabs>
        <w:tab w:val="right" w:leader="dot" w:pos="9923"/>
      </w:tabs>
      <w:spacing w:after="100" w:line="240" w:lineRule="auto"/>
      <w:ind w:left="675" w:right="454" w:hanging="675"/>
    </w:pPr>
    <w:rPr>
      <w:b/>
      <w:noProof/>
      <w:sz w:val="18"/>
    </w:rPr>
  </w:style>
  <w:style w:type="paragraph" w:styleId="TOC2">
    <w:name w:val="toc 2"/>
    <w:basedOn w:val="Normal"/>
    <w:next w:val="Normal"/>
    <w:autoRedefine/>
    <w:uiPriority w:val="39"/>
    <w:rsid w:val="00AD7CFC"/>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aliases w:val="(NECG) Footnote Reference,SFG_Footnote Reference"/>
    <w:basedOn w:val="DefaultParagraphFont"/>
    <w:rsid w:val="00AD7CFC"/>
    <w:rPr>
      <w:rFonts w:ascii="Arial" w:hAnsi="Arial"/>
      <w:sz w:val="15"/>
      <w:vertAlign w:val="superscript"/>
    </w:rPr>
  </w:style>
  <w:style w:type="paragraph" w:styleId="TOC3">
    <w:name w:val="toc 3"/>
    <w:basedOn w:val="Normal"/>
    <w:next w:val="Normal"/>
    <w:autoRedefine/>
    <w:uiPriority w:val="39"/>
    <w:unhideWhenUsed/>
    <w:qFormat/>
    <w:rsid w:val="00453B3F"/>
    <w:pPr>
      <w:tabs>
        <w:tab w:val="right" w:leader="dot" w:pos="9923"/>
      </w:tabs>
      <w:spacing w:after="100"/>
      <w:ind w:left="675" w:right="454" w:hanging="675"/>
    </w:pPr>
    <w:rPr>
      <w:rFonts w:ascii="Arial Narrow" w:hAnsi="Arial Narrow"/>
      <w:noProof/>
      <w:sz w:val="18"/>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0"/>
    <w:qFormat/>
    <w:rsid w:val="00AD7CFC"/>
    <w:pPr>
      <w:numPr>
        <w:numId w:val="28"/>
      </w:numPr>
    </w:pPr>
  </w:style>
  <w:style w:type="paragraph" w:customStyle="1" w:styleId="Tablesmalltext">
    <w:name w:val="Table small text"/>
    <w:basedOn w:val="Normal"/>
    <w:qFormat/>
    <w:rsid w:val="00AD7CFC"/>
    <w:pPr>
      <w:spacing w:before="40" w:after="40"/>
    </w:pPr>
    <w:rPr>
      <w:sz w:val="16"/>
    </w:rPr>
  </w:style>
  <w:style w:type="paragraph" w:customStyle="1" w:styleId="Tablesmallbullet">
    <w:name w:val="Table small bullet"/>
    <w:basedOn w:val="Tablesmalltext"/>
    <w:qFormat/>
    <w:rsid w:val="00AD7CFC"/>
    <w:pPr>
      <w:numPr>
        <w:numId w:val="29"/>
      </w:numPr>
    </w:pPr>
  </w:style>
  <w:style w:type="paragraph" w:customStyle="1" w:styleId="Tablesmallheading">
    <w:name w:val="Table small heading"/>
    <w:basedOn w:val="Tableheading"/>
    <w:qFormat/>
    <w:rsid w:val="006218E7"/>
    <w:pPr>
      <w:spacing w:before="60" w:after="60"/>
    </w:pPr>
    <w:rPr>
      <w:rFonts w:ascii="Arial" w:hAnsi="Arial"/>
      <w:b/>
    </w:rPr>
  </w:style>
  <w:style w:type="paragraph" w:customStyle="1" w:styleId="Tablesmallletter">
    <w:name w:val="Table small letter"/>
    <w:basedOn w:val="Tablesmallbullet"/>
    <w:qFormat/>
    <w:rsid w:val="00AD7CFC"/>
    <w:pPr>
      <w:numPr>
        <w:numId w:val="31"/>
      </w:numPr>
    </w:pPr>
  </w:style>
  <w:style w:type="paragraph" w:customStyle="1" w:styleId="Tablesmallnumber">
    <w:name w:val="Table small number"/>
    <w:basedOn w:val="Tablesmallbullet"/>
    <w:qFormat/>
    <w:rsid w:val="00AD7CFC"/>
    <w:pPr>
      <w:numPr>
        <w:numId w:val="32"/>
      </w:numPr>
    </w:pPr>
  </w:style>
  <w:style w:type="paragraph" w:customStyle="1" w:styleId="Sectionheading">
    <w:name w:val="Section heading"/>
    <w:basedOn w:val="Summary"/>
    <w:next w:val="Para0"/>
    <w:qFormat/>
    <w:rsid w:val="00162083"/>
    <w:pPr>
      <w:spacing w:line="360" w:lineRule="exact"/>
    </w:pPr>
  </w:style>
  <w:style w:type="paragraph" w:styleId="Header">
    <w:name w:val="header"/>
    <w:aliases w:val="HeaderPAE"/>
    <w:basedOn w:val="PageTitle"/>
    <w:link w:val="HeaderChar"/>
    <w:unhideWhenUsed/>
    <w:rsid w:val="00AD7CFC"/>
    <w:pPr>
      <w:spacing w:before="30" w:after="30" w:line="280" w:lineRule="exact"/>
      <w:ind w:left="227"/>
    </w:pPr>
    <w:rPr>
      <w:sz w:val="18"/>
    </w:rPr>
  </w:style>
  <w:style w:type="character" w:customStyle="1" w:styleId="HeaderChar">
    <w:name w:val="Header Char"/>
    <w:aliases w:val="HeaderPAE Char"/>
    <w:basedOn w:val="DefaultParagraphFont"/>
    <w:link w:val="Header"/>
    <w:rsid w:val="00AD7CFC"/>
    <w:rPr>
      <w:rFonts w:ascii="Arial Black" w:hAnsi="Arial Black"/>
      <w:color w:val="999999"/>
      <w:sz w:val="18"/>
      <w:lang w:val="en-AU"/>
    </w:rPr>
  </w:style>
  <w:style w:type="paragraph" w:styleId="Footer">
    <w:name w:val="footer"/>
    <w:basedOn w:val="Normal"/>
    <w:link w:val="FooterChar"/>
    <w:uiPriority w:val="99"/>
    <w:unhideWhenUsed/>
    <w:rsid w:val="00AD7CFC"/>
    <w:pPr>
      <w:pBdr>
        <w:top w:val="single" w:sz="4" w:space="1" w:color="CCCCCC"/>
      </w:pBdr>
      <w:tabs>
        <w:tab w:val="right" w:pos="9923"/>
        <w:tab w:val="right" w:pos="14884"/>
        <w:tab w:val="right" w:pos="21830"/>
      </w:tabs>
      <w:spacing w:before="240" w:after="80"/>
      <w:ind w:left="11"/>
    </w:pPr>
    <w:rPr>
      <w:rFonts w:eastAsia="Times" w:cs="Times New Roman"/>
      <w:b/>
      <w:color w:val="999999"/>
      <w:sz w:val="16"/>
      <w:szCs w:val="20"/>
    </w:rPr>
  </w:style>
  <w:style w:type="character" w:customStyle="1" w:styleId="FooterChar">
    <w:name w:val="Footer Char"/>
    <w:basedOn w:val="DefaultParagraphFont"/>
    <w:link w:val="Footer"/>
    <w:uiPriority w:val="99"/>
    <w:rsid w:val="00AD7CFC"/>
    <w:rPr>
      <w:rFonts w:ascii="Arial" w:eastAsia="Times" w:hAnsi="Arial" w:cs="Times New Roman"/>
      <w:b/>
      <w:color w:val="999999"/>
      <w:sz w:val="16"/>
      <w:szCs w:val="20"/>
      <w:lang w:val="en-AU"/>
    </w:rPr>
  </w:style>
  <w:style w:type="paragraph" w:styleId="TOCHeading">
    <w:name w:val="TOC Heading"/>
    <w:basedOn w:val="Heading1"/>
    <w:next w:val="Normal"/>
    <w:uiPriority w:val="39"/>
    <w:qFormat/>
    <w:rsid w:val="00AD7CFC"/>
    <w:pPr>
      <w:pageBreakBefore w:val="0"/>
      <w:numPr>
        <w:numId w:val="0"/>
      </w:numPr>
      <w:spacing w:before="480" w:after="0" w:line="276" w:lineRule="auto"/>
      <w:outlineLvl w:val="9"/>
    </w:pPr>
    <w:rPr>
      <w:rFonts w:asciiTheme="majorHAnsi" w:hAnsiTheme="majorHAnsi"/>
      <w:color w:val="3E598B"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nhideWhenUsed/>
    <w:qFormat/>
    <w:rsid w:val="00AD7CFC"/>
    <w:pPr>
      <w:framePr w:hSpace="181" w:wrap="around" w:hAnchor="margin" w:x="109" w:y="182"/>
      <w:spacing w:before="40" w:after="120"/>
      <w:ind w:left="113"/>
    </w:pPr>
    <w:rPr>
      <w:b/>
      <w:caps/>
      <w:color w:val="00338D"/>
      <w:sz w:val="18"/>
    </w:rPr>
  </w:style>
  <w:style w:type="paragraph" w:customStyle="1" w:styleId="Sidebartext">
    <w:name w:val="Sidebar text"/>
    <w:basedOn w:val="Sidebarheading"/>
    <w:unhideWhenUsed/>
    <w:qFormat/>
    <w:rsid w:val="00AD7CFC"/>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AD7CFC"/>
    <w:pPr>
      <w:framePr w:wrap="around"/>
      <w:numPr>
        <w:numId w:val="16"/>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unhideWhenUsed/>
    <w:rsid w:val="00AD7CFC"/>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unhideWhenUsed/>
    <w:rsid w:val="00AD7CFC"/>
    <w:rPr>
      <w:sz w:val="28"/>
    </w:rPr>
  </w:style>
  <w:style w:type="paragraph" w:customStyle="1" w:styleId="Projectrole1">
    <w:name w:val="Project role 1"/>
    <w:basedOn w:val="Normal"/>
    <w:semiHidden/>
    <w:unhideWhenUsed/>
    <w:rsid w:val="00AD7CFC"/>
    <w:pPr>
      <w:spacing w:after="160"/>
      <w:jc w:val="right"/>
    </w:pPr>
    <w:rPr>
      <w:caps/>
      <w:color w:val="00338D"/>
    </w:rPr>
  </w:style>
  <w:style w:type="paragraph" w:customStyle="1" w:styleId="Projectrole2">
    <w:name w:val="Project role 2"/>
    <w:basedOn w:val="Projectrole1"/>
    <w:semiHidden/>
    <w:unhideWhenUsed/>
    <w:rsid w:val="00AD7CFC"/>
    <w:rPr>
      <w:sz w:val="16"/>
      <w:szCs w:val="16"/>
    </w:rPr>
  </w:style>
  <w:style w:type="paragraph" w:customStyle="1" w:styleId="Bodynarrow">
    <w:name w:val="Body narrow"/>
    <w:basedOn w:val="Para0narrow"/>
    <w:qFormat/>
    <w:rsid w:val="00AD7CFC"/>
  </w:style>
  <w:style w:type="paragraph" w:customStyle="1" w:styleId="Bodynarrowbullet">
    <w:name w:val="Body narrow bullet"/>
    <w:basedOn w:val="Bodynarrow"/>
    <w:unhideWhenUsed/>
    <w:qFormat/>
    <w:rsid w:val="00AD7CFC"/>
    <w:pPr>
      <w:numPr>
        <w:numId w:val="8"/>
      </w:numPr>
      <w:tabs>
        <w:tab w:val="left" w:pos="198"/>
      </w:tabs>
      <w:spacing w:after="60"/>
    </w:pPr>
  </w:style>
  <w:style w:type="paragraph" w:customStyle="1" w:styleId="Bodynarrowarrow">
    <w:name w:val="Body narrow arrow"/>
    <w:basedOn w:val="Para1narrowarrow"/>
    <w:semiHidden/>
    <w:unhideWhenUsed/>
    <w:rsid w:val="00AD7CFC"/>
    <w:pPr>
      <w:numPr>
        <w:numId w:val="8"/>
      </w:numPr>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qFormat/>
    <w:rsid w:val="00264230"/>
    <w:rPr>
      <w:b/>
    </w:rPr>
  </w:style>
  <w:style w:type="paragraph" w:customStyle="1" w:styleId="Para0number">
    <w:name w:val="Para 0 number"/>
    <w:basedOn w:val="Para0"/>
    <w:link w:val="Para0numberChar"/>
    <w:qFormat/>
    <w:rsid w:val="00264230"/>
    <w:pPr>
      <w:numPr>
        <w:numId w:val="40"/>
      </w:numPr>
      <w:tabs>
        <w:tab w:val="left" w:pos="851"/>
      </w:tabs>
      <w:spacing w:before="0"/>
    </w:pPr>
  </w:style>
  <w:style w:type="paragraph" w:customStyle="1" w:styleId="Para0arrow">
    <w:name w:val="Para 0 arrow"/>
    <w:basedOn w:val="Para0"/>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qFormat/>
    <w:rsid w:val="00264230"/>
    <w:pPr>
      <w:numPr>
        <w:numId w:val="36"/>
      </w:numPr>
      <w:tabs>
        <w:tab w:val="left" w:pos="851"/>
      </w:tabs>
      <w:spacing w:before="0"/>
    </w:pPr>
  </w:style>
  <w:style w:type="paragraph" w:customStyle="1" w:styleId="Para0letter">
    <w:name w:val="Para 0 letter"/>
    <w:basedOn w:val="Para0"/>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rsid w:val="00AD7CFC"/>
    <w:pPr>
      <w:tabs>
        <w:tab w:val="right" w:leader="dot" w:pos="9923"/>
      </w:tabs>
      <w:spacing w:after="100"/>
    </w:pPr>
    <w:rPr>
      <w:rFonts w:ascii="Arial Narrow" w:hAnsi="Arial Narrow"/>
      <w:b/>
      <w:noProof/>
    </w:rPr>
  </w:style>
  <w:style w:type="paragraph" w:customStyle="1" w:styleId="CVName">
    <w:name w:val="CVName"/>
    <w:basedOn w:val="Normal"/>
    <w:unhideWhenUsed/>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AD7CFC"/>
    <w:pPr>
      <w:tabs>
        <w:tab w:val="right" w:leader="dot" w:pos="9906"/>
      </w:tabs>
      <w:spacing w:after="100"/>
      <w:ind w:left="1315" w:hanging="1315"/>
    </w:pPr>
    <w:rPr>
      <w:rFonts w:ascii="Arial Narrow" w:hAnsi="Arial Narrow"/>
    </w:rPr>
  </w:style>
  <w:style w:type="paragraph" w:styleId="TOC5">
    <w:name w:val="toc 5"/>
    <w:basedOn w:val="Normal"/>
    <w:next w:val="Normal"/>
    <w:autoRedefine/>
    <w:unhideWhenUsed/>
    <w:rsid w:val="00AD7CFC"/>
    <w:pPr>
      <w:tabs>
        <w:tab w:val="right" w:leader="dot" w:pos="9923"/>
      </w:tabs>
      <w:spacing w:after="100"/>
      <w:ind w:left="1315" w:hanging="1315"/>
    </w:pPr>
    <w:rPr>
      <w:rFonts w:ascii="Arial Narrow" w:hAnsi="Arial Narrow"/>
    </w:rPr>
  </w:style>
  <w:style w:type="paragraph" w:styleId="TOC6">
    <w:name w:val="toc 6"/>
    <w:basedOn w:val="Normal"/>
    <w:next w:val="Normal"/>
    <w:autoRedefine/>
    <w:unhideWhenUsed/>
    <w:rsid w:val="00AD7CFC"/>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unhideWhenUsed/>
    <w:rsid w:val="00AD7CFC"/>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unhideWhenUsed/>
    <w:rsid w:val="00AD7CFC"/>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264230"/>
    <w:pPr>
      <w:numPr>
        <w:ilvl w:val="1"/>
      </w:numPr>
    </w:pPr>
  </w:style>
  <w:style w:type="paragraph" w:customStyle="1" w:styleId="Bodyheading">
    <w:name w:val="Body heading"/>
    <w:basedOn w:val="Collateralheading"/>
    <w:next w:val="Para0narrow"/>
    <w:unhideWhenUsed/>
    <w:qFormat/>
    <w:rsid w:val="00AD7CFC"/>
  </w:style>
  <w:style w:type="paragraph" w:customStyle="1" w:styleId="Bodysubheading">
    <w:name w:val="Body sub heading"/>
    <w:basedOn w:val="Collateralsubheading"/>
    <w:next w:val="Para0narrow"/>
    <w:unhideWhenUsed/>
    <w:qFormat/>
    <w:rsid w:val="00AD7CFC"/>
  </w:style>
  <w:style w:type="paragraph" w:customStyle="1" w:styleId="CVTitle">
    <w:name w:val="CVTitle"/>
    <w:basedOn w:val="Projectrole1"/>
    <w:semiHidden/>
    <w:unhideWhenUsed/>
    <w:rsid w:val="00AD7CFC"/>
  </w:style>
  <w:style w:type="paragraph" w:customStyle="1" w:styleId="CVHead">
    <w:name w:val="CVHead"/>
    <w:basedOn w:val="Collateralheading"/>
    <w:unhideWhenUsed/>
    <w:rsid w:val="00AD7CFC"/>
  </w:style>
  <w:style w:type="paragraph" w:customStyle="1" w:styleId="PHHeading1">
    <w:name w:val="PHHeading 1"/>
    <w:basedOn w:val="CVHead"/>
    <w:semiHidden/>
    <w:unhideWhenUsed/>
    <w:rsid w:val="00AD7CFC"/>
  </w:style>
  <w:style w:type="paragraph" w:customStyle="1" w:styleId="PHHeading2">
    <w:name w:val="PHHeading 2"/>
    <w:basedOn w:val="Collateralsubheading"/>
    <w:semiHidden/>
    <w:unhideWhenUsed/>
    <w:rsid w:val="00AD7CFC"/>
  </w:style>
  <w:style w:type="paragraph" w:customStyle="1" w:styleId="PHHeading3">
    <w:name w:val="PHHeading 3"/>
    <w:basedOn w:val="PHHeading2"/>
    <w:semiHidden/>
    <w:unhideWhenUsed/>
    <w:rsid w:val="00AD7CFC"/>
  </w:style>
  <w:style w:type="paragraph" w:customStyle="1" w:styleId="Para1">
    <w:name w:val="Para 1"/>
    <w:basedOn w:val="Para0"/>
    <w:rsid w:val="00264230"/>
    <w:pPr>
      <w:ind w:left="425"/>
    </w:pPr>
  </w:style>
  <w:style w:type="paragraph" w:customStyle="1" w:styleId="Para1bullet">
    <w:name w:val="Para 1 bullet"/>
    <w:basedOn w:val="Para0bullet"/>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rsid w:val="00101052"/>
    <w:pPr>
      <w:ind w:left="850"/>
    </w:pPr>
  </w:style>
  <w:style w:type="paragraph" w:customStyle="1" w:styleId="Para1number">
    <w:name w:val="Para 1 number"/>
    <w:basedOn w:val="Para1bullet"/>
    <w:rsid w:val="00534198"/>
    <w:pPr>
      <w:numPr>
        <w:numId w:val="35"/>
      </w:numPr>
      <w:ind w:left="850" w:hanging="425"/>
    </w:pPr>
  </w:style>
  <w:style w:type="paragraph" w:customStyle="1" w:styleId="Summary">
    <w:name w:val="Summary"/>
    <w:basedOn w:val="Normal"/>
    <w:next w:val="Para0"/>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rsid w:val="00AD7CFC"/>
    <w:pPr>
      <w:spacing w:before="60" w:after="60"/>
    </w:pPr>
  </w:style>
  <w:style w:type="paragraph" w:customStyle="1" w:styleId="Para2">
    <w:name w:val="Para 2"/>
    <w:basedOn w:val="Para1"/>
    <w:rsid w:val="00264230"/>
    <w:pPr>
      <w:ind w:left="851"/>
    </w:pPr>
  </w:style>
  <w:style w:type="paragraph" w:customStyle="1" w:styleId="Para2bullet">
    <w:name w:val="Para 2 bullet"/>
    <w:basedOn w:val="Para1bullet"/>
    <w:rsid w:val="00534198"/>
    <w:pPr>
      <w:ind w:left="1276"/>
    </w:pPr>
  </w:style>
  <w:style w:type="paragraph" w:customStyle="1" w:styleId="Para2dash">
    <w:name w:val="Para 2 dash"/>
    <w:basedOn w:val="Para1dash"/>
    <w:rsid w:val="00534198"/>
    <w:pPr>
      <w:ind w:left="425"/>
    </w:pPr>
  </w:style>
  <w:style w:type="paragraph" w:customStyle="1" w:styleId="Para2letter">
    <w:name w:val="Para 2 letter"/>
    <w:basedOn w:val="Para1letter"/>
    <w:rsid w:val="00534198"/>
    <w:pPr>
      <w:ind w:left="1276"/>
    </w:pPr>
  </w:style>
  <w:style w:type="paragraph" w:customStyle="1" w:styleId="Contents">
    <w:name w:val="Contents"/>
    <w:basedOn w:val="PageHeading"/>
    <w:next w:val="Para0"/>
    <w:rsid w:val="00AD7CFC"/>
    <w:pPr>
      <w:pageBreakBefore/>
      <w:spacing w:after="100"/>
      <w:ind w:left="0"/>
    </w:pPr>
    <w:rPr>
      <w:color w:val="6C6F70"/>
    </w:rPr>
  </w:style>
  <w:style w:type="paragraph" w:customStyle="1" w:styleId="Tablecaption">
    <w:name w:val="Table caption"/>
    <w:basedOn w:val="Caption"/>
    <w:next w:val="Para0"/>
    <w:rsid w:val="00AD7CFC"/>
  </w:style>
  <w:style w:type="paragraph" w:customStyle="1" w:styleId="Figurecaption">
    <w:name w:val="Figure caption"/>
    <w:basedOn w:val="Caption"/>
    <w:next w:val="Para0"/>
    <w:rsid w:val="00AD7CFC"/>
  </w:style>
  <w:style w:type="paragraph" w:customStyle="1" w:styleId="Appendixsubheading1">
    <w:name w:val="Appendix subheading 1"/>
    <w:basedOn w:val="Normal"/>
    <w:next w:val="Para0"/>
    <w:qFormat/>
    <w:rsid w:val="005E3F0E"/>
    <w:pPr>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rsid w:val="00264230"/>
    <w:rPr>
      <w:b/>
    </w:rPr>
  </w:style>
  <w:style w:type="paragraph" w:customStyle="1" w:styleId="Para1roman0">
    <w:name w:val="Para 1 roman"/>
    <w:basedOn w:val="Para0roman"/>
    <w:rsid w:val="00534198"/>
    <w:pPr>
      <w:ind w:left="850"/>
    </w:pPr>
  </w:style>
  <w:style w:type="paragraph" w:customStyle="1" w:styleId="Para2bold">
    <w:name w:val="Para 2 bold"/>
    <w:basedOn w:val="Para2"/>
    <w:rsid w:val="00264230"/>
    <w:rPr>
      <w:b/>
    </w:rPr>
  </w:style>
  <w:style w:type="paragraph" w:customStyle="1" w:styleId="Para2number">
    <w:name w:val="Para 2 number"/>
    <w:basedOn w:val="Para1number"/>
    <w:rsid w:val="007C1375"/>
    <w:pPr>
      <w:ind w:left="1276"/>
    </w:pPr>
  </w:style>
  <w:style w:type="paragraph" w:customStyle="1" w:styleId="Para2roman">
    <w:name w:val="Para 2 roman"/>
    <w:basedOn w:val="Para2number"/>
    <w:rsid w:val="00264230"/>
    <w:pPr>
      <w:numPr>
        <w:ilvl w:val="2"/>
        <w:numId w:val="40"/>
      </w:numPr>
    </w:pPr>
  </w:style>
  <w:style w:type="paragraph" w:customStyle="1" w:styleId="TableContent">
    <w:name w:val="Table Content"/>
    <w:basedOn w:val="Normal"/>
    <w:qFormat/>
    <w:rsid w:val="00AD7CFC"/>
    <w:pPr>
      <w:spacing w:before="60" w:after="60" w:line="240" w:lineRule="exact"/>
    </w:pPr>
    <w:rPr>
      <w:lang w:val="en-US"/>
    </w:rPr>
  </w:style>
  <w:style w:type="character" w:customStyle="1" w:styleId="Bodynarrowbold">
    <w:name w:val="Body narrow bold"/>
    <w:uiPriority w:val="1"/>
    <w:rsid w:val="00AD7CFC"/>
    <w:rPr>
      <w:rFonts w:ascii="Arial Narrow" w:hAnsi="Arial Narrow" w:hint="default"/>
      <w:b/>
      <w:bCs w:val="0"/>
      <w:sz w:val="19"/>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829BC7" w:themeColor="accent1" w:themeTint="BF"/>
        <w:left w:val="single" w:sz="8" w:space="0" w:color="829BC7" w:themeColor="accent1" w:themeTint="BF"/>
        <w:bottom w:val="single" w:sz="8" w:space="0" w:color="829BC7" w:themeColor="accent1" w:themeTint="BF"/>
        <w:right w:val="single" w:sz="8" w:space="0" w:color="829BC7" w:themeColor="accent1" w:themeTint="BF"/>
        <w:insideH w:val="single" w:sz="8" w:space="0" w:color="829BC7" w:themeColor="accent1" w:themeTint="BF"/>
        <w:insideV w:val="single" w:sz="8" w:space="0" w:color="829BC7" w:themeColor="accent1" w:themeTint="BF"/>
      </w:tblBorders>
    </w:tblPr>
    <w:tcPr>
      <w:shd w:val="clear" w:color="auto" w:fill="D5DEEC" w:themeFill="accent1" w:themeFillTint="3F"/>
    </w:tcPr>
    <w:tblStylePr w:type="firstRow">
      <w:rPr>
        <w:b/>
        <w:bCs/>
      </w:rPr>
    </w:tblStylePr>
    <w:tblStylePr w:type="lastRow">
      <w:rPr>
        <w:b/>
        <w:bCs/>
      </w:rPr>
      <w:tblPr/>
      <w:tcPr>
        <w:tcBorders>
          <w:top w:val="single" w:sz="18" w:space="0" w:color="829BC7" w:themeColor="accent1" w:themeTint="BF"/>
        </w:tcBorders>
      </w:tcPr>
    </w:tblStylePr>
    <w:tblStylePr w:type="firstCol">
      <w:rPr>
        <w:b/>
        <w:bCs/>
      </w:rPr>
    </w:tblStylePr>
    <w:tblStylePr w:type="lastCol">
      <w:rPr>
        <w:b/>
        <w:bCs/>
      </w:rPr>
    </w:tblStylePr>
    <w:tblStylePr w:type="band1Vert">
      <w:tblPr/>
      <w:tcPr>
        <w:shd w:val="clear" w:color="auto" w:fill="ACBCDA" w:themeFill="accent1" w:themeFillTint="7F"/>
      </w:tcPr>
    </w:tblStylePr>
    <w:tblStylePr w:type="band1Horz">
      <w:tblPr/>
      <w:tcPr>
        <w:shd w:val="clear" w:color="auto" w:fill="ACBCDA"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style>
  <w:style w:type="paragraph" w:customStyle="1" w:styleId="PenPicBodyheading">
    <w:name w:val="Pen Pic Body heading"/>
    <w:basedOn w:val="Bodyheading"/>
    <w:rsid w:val="00AD7CFC"/>
    <w:pPr>
      <w:ind w:left="284"/>
    </w:pPr>
  </w:style>
  <w:style w:type="paragraph" w:customStyle="1" w:styleId="PenPicSidebartext">
    <w:name w:val="Pen Pic Sidebar text"/>
    <w:basedOn w:val="Normal"/>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AD7CFC"/>
    <w:pPr>
      <w:framePr w:hSpace="0" w:wrap="auto" w:hAnchor="text" w:xAlign="left" w:yAlign="inline"/>
      <w:numPr>
        <w:numId w:val="0"/>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rsid w:val="00AD7CFC"/>
    <w:pPr>
      <w:spacing w:before="0"/>
      <w:contextualSpacing/>
    </w:pPr>
    <w:rPr>
      <w:i/>
      <w:sz w:val="14"/>
    </w:rPr>
  </w:style>
  <w:style w:type="paragraph" w:styleId="EndnoteText">
    <w:name w:val="endnote text"/>
    <w:basedOn w:val="Normal"/>
    <w:link w:val="EndnoteTextChar"/>
    <w:uiPriority w:val="99"/>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99"/>
    <w:rsid w:val="00AD7CFC"/>
    <w:rPr>
      <w:rFonts w:ascii="Arial" w:hAnsi="Arial"/>
      <w:sz w:val="15"/>
      <w:szCs w:val="20"/>
      <w:lang w:val="en-AU"/>
    </w:rPr>
  </w:style>
  <w:style w:type="character" w:styleId="EndnoteReference">
    <w:name w:val="endnote reference"/>
    <w:basedOn w:val="DefaultParagraphFont"/>
    <w:uiPriority w:val="99"/>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AD7CFC"/>
    <w:pPr>
      <w:spacing w:line="280" w:lineRule="exact"/>
    </w:pPr>
    <w:rPr>
      <w:rFonts w:ascii="Arial" w:hAnsi="Arial"/>
      <w:caps/>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rsid w:val="005E3F0E"/>
    <w:pPr>
      <w:numPr>
        <w:ilvl w:val="3"/>
      </w:numPr>
    </w:pPr>
  </w:style>
  <w:style w:type="paragraph" w:customStyle="1" w:styleId="Para3">
    <w:name w:val="Para 3"/>
    <w:basedOn w:val="Para2"/>
    <w:rsid w:val="00AD7CFC"/>
    <w:pPr>
      <w:ind w:left="1276"/>
    </w:pPr>
  </w:style>
  <w:style w:type="paragraph" w:customStyle="1" w:styleId="Para3bold">
    <w:name w:val="Para 3 bold"/>
    <w:basedOn w:val="Para2bold"/>
    <w:rsid w:val="00AD7CFC"/>
    <w:pPr>
      <w:ind w:left="1276"/>
    </w:pPr>
  </w:style>
  <w:style w:type="paragraph" w:customStyle="1" w:styleId="Para3bullet">
    <w:name w:val="Para 3 bullet"/>
    <w:basedOn w:val="Para2bullet"/>
    <w:rsid w:val="007C1375"/>
    <w:pPr>
      <w:ind w:left="1701"/>
    </w:pPr>
  </w:style>
  <w:style w:type="paragraph" w:customStyle="1" w:styleId="Para3dash">
    <w:name w:val="Para 3 dash"/>
    <w:basedOn w:val="Para2dash"/>
    <w:rsid w:val="007C1375"/>
    <w:pPr>
      <w:ind w:left="1701"/>
    </w:pPr>
  </w:style>
  <w:style w:type="paragraph" w:customStyle="1" w:styleId="Para3number">
    <w:name w:val="Para 3 number"/>
    <w:basedOn w:val="Para2number"/>
    <w:rsid w:val="007C1375"/>
    <w:pPr>
      <w:ind w:left="1701"/>
    </w:pPr>
  </w:style>
  <w:style w:type="paragraph" w:customStyle="1" w:styleId="Para3letter">
    <w:name w:val="Para 3 letter"/>
    <w:basedOn w:val="Para2letter"/>
    <w:rsid w:val="007C1375"/>
    <w:pPr>
      <w:ind w:left="1701"/>
    </w:pPr>
  </w:style>
  <w:style w:type="paragraph" w:customStyle="1" w:styleId="Para3roman0">
    <w:name w:val="Para 3 roman"/>
    <w:basedOn w:val="Para2roman"/>
    <w:rsid w:val="007C1375"/>
    <w:pPr>
      <w:ind w:left="1701"/>
    </w:pPr>
  </w:style>
  <w:style w:type="paragraph" w:customStyle="1" w:styleId="Para4">
    <w:name w:val="Para 4"/>
    <w:basedOn w:val="Para3"/>
    <w:rsid w:val="00AD7CFC"/>
    <w:pPr>
      <w:ind w:left="1701"/>
    </w:pPr>
  </w:style>
  <w:style w:type="paragraph" w:customStyle="1" w:styleId="Para4bold">
    <w:name w:val="Para 4 bold"/>
    <w:basedOn w:val="Para3bold"/>
    <w:rsid w:val="00AD7CFC"/>
    <w:pPr>
      <w:ind w:left="1701"/>
    </w:pPr>
  </w:style>
  <w:style w:type="paragraph" w:customStyle="1" w:styleId="Para4bullet">
    <w:name w:val="Para 4 bullet"/>
    <w:basedOn w:val="Para3bullet"/>
    <w:rsid w:val="00AD7CFC"/>
  </w:style>
  <w:style w:type="paragraph" w:customStyle="1" w:styleId="Para4dash">
    <w:name w:val="Para 4 dash"/>
    <w:basedOn w:val="Para3dash"/>
    <w:rsid w:val="00AD7CFC"/>
  </w:style>
  <w:style w:type="paragraph" w:customStyle="1" w:styleId="Para4number">
    <w:name w:val="Para 4 number"/>
    <w:basedOn w:val="Para3number"/>
    <w:rsid w:val="00AD7CFC"/>
  </w:style>
  <w:style w:type="paragraph" w:customStyle="1" w:styleId="Para4letter">
    <w:name w:val="Para 4 letter"/>
    <w:basedOn w:val="Para3letter"/>
    <w:rsid w:val="00AD7CFC"/>
  </w:style>
  <w:style w:type="paragraph" w:customStyle="1" w:styleId="Para4roman">
    <w:name w:val="Para 4 roman"/>
    <w:basedOn w:val="Para3roman0"/>
    <w:rsid w:val="00AD7CFC"/>
  </w:style>
  <w:style w:type="paragraph" w:customStyle="1" w:styleId="ClientName">
    <w:name w:val="Client Name"/>
    <w:basedOn w:val="Tabletext"/>
    <w:rsid w:val="00AD7CFC"/>
    <w:pPr>
      <w:spacing w:before="0"/>
    </w:pPr>
  </w:style>
  <w:style w:type="character" w:customStyle="1" w:styleId="Para0Char">
    <w:name w:val="Para 0 Char"/>
    <w:aliases w:val="Auto Char,After:  3 pt Char Char"/>
    <w:basedOn w:val="DefaultParagraphFont"/>
    <w:link w:val="Para0"/>
    <w:rsid w:val="00264230"/>
    <w:rPr>
      <w:rFonts w:ascii="Arial" w:hAnsi="Arial"/>
      <w:sz w:val="20"/>
      <w:lang w:val="en-AU"/>
    </w:rPr>
  </w:style>
  <w:style w:type="paragraph" w:styleId="IntenseQuote">
    <w:name w:val="Intense Quote"/>
    <w:basedOn w:val="Normal"/>
    <w:next w:val="Normal"/>
    <w:link w:val="IntenseQuoteChar"/>
    <w:uiPriority w:val="30"/>
    <w:qFormat/>
    <w:rsid w:val="00AD7CFC"/>
    <w:pPr>
      <w:pBdr>
        <w:bottom w:val="single" w:sz="4" w:space="4" w:color="597AB5" w:themeColor="accent1"/>
      </w:pBdr>
      <w:spacing w:before="200" w:after="280"/>
      <w:ind w:left="936" w:right="936"/>
    </w:pPr>
    <w:rPr>
      <w:b/>
      <w:bCs/>
      <w:i/>
      <w:iCs/>
      <w:color w:val="597AB5" w:themeColor="accent1"/>
    </w:rPr>
  </w:style>
  <w:style w:type="character" w:customStyle="1" w:styleId="IntenseQuoteChar">
    <w:name w:val="Intense Quote Char"/>
    <w:basedOn w:val="DefaultParagraphFont"/>
    <w:link w:val="IntenseQuote"/>
    <w:uiPriority w:val="30"/>
    <w:rsid w:val="00AD7CFC"/>
    <w:rPr>
      <w:rFonts w:ascii="Arial" w:hAnsi="Arial"/>
      <w:b/>
      <w:bCs/>
      <w:i/>
      <w:iCs/>
      <w:color w:val="597AB5"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qFormat/>
    <w:rsid w:val="00AD7CFC"/>
    <w:rPr>
      <w:i/>
      <w:iCs/>
      <w:color w:val="00338D"/>
    </w:rPr>
  </w:style>
  <w:style w:type="character" w:customStyle="1" w:styleId="QuoteChar">
    <w:name w:val="Quote Char"/>
    <w:basedOn w:val="DefaultParagraphFont"/>
    <w:link w:val="Quote"/>
    <w:uiPriority w:val="29"/>
    <w:rsid w:val="00AD7CFC"/>
    <w:rPr>
      <w:rFonts w:ascii="Arial" w:hAnsi="Arial"/>
      <w:i/>
      <w:iCs/>
      <w:color w:val="00338D"/>
      <w:sz w:val="20"/>
      <w:lang w:val="en-AU"/>
    </w:rPr>
  </w:style>
  <w:style w:type="paragraph" w:styleId="Subtitle">
    <w:name w:val="Subtitle"/>
    <w:basedOn w:val="Normal"/>
    <w:next w:val="Normal"/>
    <w:link w:val="SubtitleChar"/>
    <w:uiPriority w:val="11"/>
    <w:qFormat/>
    <w:rsid w:val="00AD7CFC"/>
    <w:pPr>
      <w:numPr>
        <w:ilvl w:val="1"/>
      </w:numPr>
    </w:pPr>
    <w:rPr>
      <w:rFonts w:asciiTheme="majorHAnsi" w:eastAsiaTheme="majorEastAsia" w:hAnsiTheme="majorHAnsi" w:cstheme="majorBidi"/>
      <w:i/>
      <w:iCs/>
      <w:color w:val="597AB5" w:themeColor="accent1"/>
      <w:spacing w:val="15"/>
      <w:sz w:val="24"/>
    </w:rPr>
  </w:style>
  <w:style w:type="character" w:customStyle="1" w:styleId="SubtitleChar">
    <w:name w:val="Subtitle Char"/>
    <w:basedOn w:val="DefaultParagraphFont"/>
    <w:link w:val="Subtitle"/>
    <w:uiPriority w:val="11"/>
    <w:rsid w:val="00AD7CFC"/>
    <w:rPr>
      <w:rFonts w:asciiTheme="majorHAnsi" w:eastAsiaTheme="majorEastAsia" w:hAnsiTheme="majorHAnsi" w:cstheme="majorBidi"/>
      <w:i/>
      <w:iCs/>
      <w:color w:val="597AB5" w:themeColor="accent1"/>
      <w:spacing w:val="15"/>
      <w:lang w:val="en-AU"/>
    </w:rPr>
  </w:style>
  <w:style w:type="paragraph" w:customStyle="1" w:styleId="EmptyHeader">
    <w:name w:val="Empty Header"/>
    <w:basedOn w:val="Header"/>
    <w:rsid w:val="0085252A"/>
    <w:pPr>
      <w:spacing w:before="0" w:after="0" w:line="20" w:lineRule="exact"/>
    </w:pPr>
    <w:rPr>
      <w:sz w:val="2"/>
    </w:rPr>
  </w:style>
  <w:style w:type="numbering" w:customStyle="1" w:styleId="NoList1">
    <w:name w:val="No List1"/>
    <w:next w:val="NoList"/>
    <w:uiPriority w:val="99"/>
    <w:semiHidden/>
    <w:unhideWhenUsed/>
    <w:rsid w:val="0010488E"/>
  </w:style>
  <w:style w:type="table" w:customStyle="1" w:styleId="TableGrid1">
    <w:name w:val="Table Grid1"/>
    <w:basedOn w:val="TableNormal"/>
    <w:next w:val="TableGrid"/>
    <w:rsid w:val="00104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1">
    <w:name w:val="Medium List 21"/>
    <w:basedOn w:val="TableNormal"/>
    <w:next w:val="MediumList2"/>
    <w:uiPriority w:val="66"/>
    <w:rsid w:val="0010488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99"/>
    <w:rsid w:val="0010488E"/>
    <w:tblPr>
      <w:tblStyleRowBandSize w:val="1"/>
      <w:tblStyleColBandSize w:val="1"/>
      <w:tblBorders>
        <w:top w:val="single" w:sz="8" w:space="0" w:color="829BC7" w:themeColor="accent1" w:themeTint="BF"/>
        <w:left w:val="single" w:sz="8" w:space="0" w:color="829BC7" w:themeColor="accent1" w:themeTint="BF"/>
        <w:bottom w:val="single" w:sz="8" w:space="0" w:color="829BC7" w:themeColor="accent1" w:themeTint="BF"/>
        <w:right w:val="single" w:sz="8" w:space="0" w:color="829BC7" w:themeColor="accent1" w:themeTint="BF"/>
        <w:insideH w:val="single" w:sz="8" w:space="0" w:color="829BC7" w:themeColor="accent1" w:themeTint="BF"/>
        <w:insideV w:val="single" w:sz="8" w:space="0" w:color="829BC7" w:themeColor="accent1" w:themeTint="BF"/>
      </w:tblBorders>
    </w:tblPr>
    <w:tcPr>
      <w:shd w:val="clear" w:color="auto" w:fill="D5DEEC" w:themeFill="accent1" w:themeFillTint="3F"/>
    </w:tcPr>
    <w:tblStylePr w:type="firstRow">
      <w:rPr>
        <w:b/>
        <w:bCs/>
      </w:rPr>
    </w:tblStylePr>
    <w:tblStylePr w:type="lastRow">
      <w:rPr>
        <w:b/>
        <w:bCs/>
      </w:rPr>
      <w:tblPr/>
      <w:tcPr>
        <w:tcBorders>
          <w:top w:val="single" w:sz="18" w:space="0" w:color="829BC7" w:themeColor="accent1" w:themeTint="BF"/>
        </w:tcBorders>
      </w:tcPr>
    </w:tblStylePr>
    <w:tblStylePr w:type="firstCol">
      <w:rPr>
        <w:b/>
        <w:bCs/>
      </w:rPr>
    </w:tblStylePr>
    <w:tblStylePr w:type="lastCol">
      <w:rPr>
        <w:b/>
        <w:bCs/>
      </w:rPr>
    </w:tblStylePr>
    <w:tblStylePr w:type="band1Vert">
      <w:tblPr/>
      <w:tcPr>
        <w:shd w:val="clear" w:color="auto" w:fill="ACBCDA" w:themeFill="accent1" w:themeFillTint="7F"/>
      </w:tcPr>
    </w:tblStylePr>
    <w:tblStylePr w:type="band1Horz">
      <w:tblPr/>
      <w:tcPr>
        <w:shd w:val="clear" w:color="auto" w:fill="ACBCDA" w:themeFill="accent1" w:themeFillTint="7F"/>
      </w:tcPr>
    </w:tblStylePr>
  </w:style>
  <w:style w:type="table" w:customStyle="1" w:styleId="Table11">
    <w:name w:val="Table11"/>
    <w:basedOn w:val="TableNormal"/>
    <w:uiPriority w:val="99"/>
    <w:rsid w:val="0010488E"/>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tblStylePr w:type="firstCol">
      <w:tblPr/>
      <w:tcPr>
        <w:shd w:val="clear" w:color="auto" w:fill="E6E5E3"/>
      </w:tcPr>
    </w:tblStylePr>
  </w:style>
  <w:style w:type="table" w:customStyle="1" w:styleId="Table21">
    <w:name w:val="Table21"/>
    <w:basedOn w:val="TableNormal"/>
    <w:uiPriority w:val="99"/>
    <w:rsid w:val="0010488E"/>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style>
  <w:style w:type="character" w:customStyle="1" w:styleId="StyleLatinArialNarrow12ptBoldCustomColorRGB662095">
    <w:name w:val="Style (Latin) Arial Narrow 12 pt Bold Custom Color(RGB(662095))"/>
    <w:basedOn w:val="DefaultParagraphFont"/>
    <w:rsid w:val="0010488E"/>
    <w:rPr>
      <w:rFonts w:ascii="Arial" w:hAnsi="Arial"/>
      <w:b/>
      <w:bCs/>
      <w:color w:val="00338D"/>
      <w:sz w:val="24"/>
    </w:rPr>
  </w:style>
  <w:style w:type="paragraph" w:customStyle="1" w:styleId="StylePara0ItalicAccent6">
    <w:name w:val="Style Para 0 + Italic Accent 6"/>
    <w:basedOn w:val="Para0"/>
    <w:rsid w:val="0010488E"/>
    <w:rPr>
      <w:i/>
      <w:iCs/>
      <w:color w:val="597AB5"/>
    </w:rPr>
  </w:style>
  <w:style w:type="character" w:styleId="FollowedHyperlink">
    <w:name w:val="FollowedHyperlink"/>
    <w:basedOn w:val="DefaultParagraphFont"/>
    <w:uiPriority w:val="99"/>
    <w:unhideWhenUsed/>
    <w:rsid w:val="0010488E"/>
    <w:rPr>
      <w:color w:val="800080" w:themeColor="followedHyperlink"/>
      <w:u w:val="single"/>
    </w:rPr>
  </w:style>
  <w:style w:type="character" w:customStyle="1" w:styleId="Para0bulletChar">
    <w:name w:val="Para 0 bullet Char"/>
    <w:basedOn w:val="DefaultParagraphFont"/>
    <w:link w:val="Para0bullet"/>
    <w:locked/>
    <w:rsid w:val="0010488E"/>
    <w:rPr>
      <w:rFonts w:ascii="Arial" w:hAnsi="Arial"/>
      <w:sz w:val="20"/>
      <w:lang w:val="en-AU"/>
    </w:rPr>
  </w:style>
  <w:style w:type="character" w:styleId="CommentReference">
    <w:name w:val="annotation reference"/>
    <w:basedOn w:val="DefaultParagraphFont"/>
    <w:uiPriority w:val="99"/>
    <w:rsid w:val="0010488E"/>
    <w:rPr>
      <w:rFonts w:cs="Times New Roman"/>
      <w:sz w:val="16"/>
      <w:szCs w:val="16"/>
    </w:rPr>
  </w:style>
  <w:style w:type="paragraph" w:styleId="CommentText">
    <w:name w:val="annotation text"/>
    <w:basedOn w:val="Normal"/>
    <w:link w:val="CommentTextChar"/>
    <w:uiPriority w:val="99"/>
    <w:rsid w:val="0010488E"/>
    <w:pPr>
      <w:spacing w:line="240" w:lineRule="auto"/>
    </w:pPr>
    <w:rPr>
      <w:rFonts w:ascii="Times New Roman" w:eastAsia="Times New Roman" w:hAnsi="Times New Roman" w:cs="Times New Roman"/>
      <w:color w:val="000000"/>
      <w:szCs w:val="20"/>
      <w:lang w:val="en-GB"/>
    </w:rPr>
  </w:style>
  <w:style w:type="character" w:customStyle="1" w:styleId="CommentTextChar">
    <w:name w:val="Comment Text Char"/>
    <w:basedOn w:val="DefaultParagraphFont"/>
    <w:link w:val="CommentText"/>
    <w:uiPriority w:val="99"/>
    <w:rsid w:val="0010488E"/>
    <w:rPr>
      <w:rFonts w:ascii="Times New Roman" w:eastAsia="Times New Roman" w:hAnsi="Times New Roman" w:cs="Times New Roman"/>
      <w:color w:val="000000"/>
      <w:sz w:val="20"/>
      <w:szCs w:val="20"/>
      <w:lang w:val="en-GB"/>
    </w:rPr>
  </w:style>
  <w:style w:type="paragraph" w:styleId="CommentSubject">
    <w:name w:val="annotation subject"/>
    <w:basedOn w:val="CommentText"/>
    <w:next w:val="CommentText"/>
    <w:link w:val="CommentSubjectChar"/>
    <w:unhideWhenUsed/>
    <w:rsid w:val="0010488E"/>
    <w:rPr>
      <w:rFonts w:ascii="Arial" w:eastAsiaTheme="minorEastAsia" w:hAnsi="Arial" w:cstheme="minorBidi"/>
      <w:b/>
      <w:bCs/>
      <w:color w:val="auto"/>
      <w:lang w:val="en-AU"/>
    </w:rPr>
  </w:style>
  <w:style w:type="character" w:customStyle="1" w:styleId="CommentSubjectChar">
    <w:name w:val="Comment Subject Char"/>
    <w:basedOn w:val="CommentTextChar"/>
    <w:link w:val="CommentSubject"/>
    <w:rsid w:val="0010488E"/>
    <w:rPr>
      <w:rFonts w:ascii="Arial" w:eastAsia="Times New Roman" w:hAnsi="Arial" w:cs="Times New Roman"/>
      <w:b/>
      <w:bCs/>
      <w:color w:val="000000"/>
      <w:sz w:val="20"/>
      <w:szCs w:val="20"/>
      <w:lang w:val="en-AU"/>
    </w:rPr>
  </w:style>
  <w:style w:type="paragraph" w:styleId="Revision">
    <w:name w:val="Revision"/>
    <w:hidden/>
    <w:uiPriority w:val="99"/>
    <w:semiHidden/>
    <w:rsid w:val="0010488E"/>
    <w:rPr>
      <w:rFonts w:ascii="Arial" w:hAnsi="Arial"/>
      <w:sz w:val="20"/>
      <w:lang w:val="en-AU"/>
    </w:rPr>
  </w:style>
  <w:style w:type="table" w:customStyle="1" w:styleId="LightGrid-Accent11">
    <w:name w:val="Light Grid - Accent 11"/>
    <w:uiPriority w:val="99"/>
    <w:rsid w:val="0010488E"/>
    <w:rPr>
      <w:rFonts w:ascii="Times New Roman" w:eastAsia="Times New Roman" w:hAnsi="Times New Roman"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12">
    <w:name w:val="Light List - Accent 12"/>
    <w:uiPriority w:val="61"/>
    <w:rsid w:val="0010488E"/>
    <w:rPr>
      <w:rFonts w:ascii="Calibri" w:eastAsia="Times New Roman" w:hAnsi="Calibri" w:cs="Times New Roman"/>
      <w:sz w:val="20"/>
      <w:szCs w:val="20"/>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TabletextChar">
    <w:name w:val="Table text Char"/>
    <w:basedOn w:val="DefaultParagraphFont"/>
    <w:link w:val="Tabletext"/>
    <w:locked/>
    <w:rsid w:val="0010488E"/>
    <w:rPr>
      <w:rFonts w:ascii="Arial" w:hAnsi="Arial"/>
      <w:sz w:val="20"/>
      <w:lang w:val="en-AU"/>
    </w:rPr>
  </w:style>
  <w:style w:type="paragraph" w:styleId="ListParagraph">
    <w:name w:val="List Paragraph"/>
    <w:basedOn w:val="Normal"/>
    <w:uiPriority w:val="34"/>
    <w:qFormat/>
    <w:rsid w:val="0010488E"/>
    <w:pPr>
      <w:spacing w:after="0" w:line="240" w:lineRule="auto"/>
      <w:ind w:left="720"/>
    </w:pPr>
    <w:rPr>
      <w:rFonts w:ascii="Calibri" w:eastAsiaTheme="minorHAnsi" w:hAnsi="Calibri" w:cs="Times New Roman"/>
      <w:sz w:val="22"/>
      <w:szCs w:val="22"/>
    </w:rPr>
  </w:style>
  <w:style w:type="paragraph" w:customStyle="1" w:styleId="Graphic">
    <w:name w:val="Graphic"/>
    <w:basedOn w:val="Para0"/>
    <w:next w:val="Para0"/>
    <w:rsid w:val="0010488E"/>
    <w:pPr>
      <w:spacing w:before="60" w:after="60" w:line="240" w:lineRule="auto"/>
    </w:pPr>
    <w:rPr>
      <w:rFonts w:eastAsia="Times New Roman" w:cs="Times New Roman"/>
      <w:color w:val="000000"/>
      <w:szCs w:val="20"/>
      <w:lang w:val="en-GB"/>
    </w:rPr>
  </w:style>
  <w:style w:type="paragraph" w:customStyle="1" w:styleId="Head1manual">
    <w:name w:val="Head 1 manual"/>
    <w:basedOn w:val="Heading1"/>
    <w:next w:val="Para0"/>
    <w:rsid w:val="0010488E"/>
    <w:pPr>
      <w:keepLines w:val="0"/>
      <w:numPr>
        <w:numId w:val="0"/>
      </w:numPr>
      <w:tabs>
        <w:tab w:val="left" w:pos="851"/>
      </w:tabs>
      <w:spacing w:before="0" w:after="240" w:line="240" w:lineRule="auto"/>
      <w:outlineLvl w:val="9"/>
    </w:pPr>
    <w:rPr>
      <w:rFonts w:eastAsia="Times New Roman" w:cs="Times New Roman"/>
      <w:bCs w:val="0"/>
      <w:color w:val="000000"/>
      <w:sz w:val="36"/>
      <w:szCs w:val="20"/>
      <w:lang w:val="en-GB"/>
    </w:rPr>
  </w:style>
  <w:style w:type="paragraph" w:customStyle="1" w:styleId="Head2manual">
    <w:name w:val="Head 2 manual"/>
    <w:basedOn w:val="Head1manual"/>
    <w:next w:val="Para0"/>
    <w:rsid w:val="0010488E"/>
    <w:pPr>
      <w:pageBreakBefore w:val="0"/>
      <w:spacing w:before="120" w:after="40"/>
    </w:pPr>
    <w:rPr>
      <w:sz w:val="22"/>
    </w:rPr>
  </w:style>
  <w:style w:type="paragraph" w:customStyle="1" w:styleId="Head3manual">
    <w:name w:val="Head 3 manual"/>
    <w:basedOn w:val="Head1manual"/>
    <w:next w:val="Para0"/>
    <w:rsid w:val="0010488E"/>
    <w:pPr>
      <w:pageBreakBefore w:val="0"/>
      <w:spacing w:before="120" w:after="40"/>
    </w:pPr>
    <w:rPr>
      <w:sz w:val="22"/>
    </w:rPr>
  </w:style>
  <w:style w:type="paragraph" w:customStyle="1" w:styleId="TableFont">
    <w:name w:val="TableFont"/>
    <w:basedOn w:val="Para0"/>
    <w:link w:val="TableFontChar"/>
    <w:qFormat/>
    <w:rsid w:val="0010488E"/>
    <w:pPr>
      <w:spacing w:before="40" w:after="40" w:line="240" w:lineRule="auto"/>
    </w:pPr>
    <w:rPr>
      <w:rFonts w:eastAsia="Times New Roman" w:cs="Times New Roman"/>
      <w:color w:val="000000"/>
      <w:sz w:val="18"/>
      <w:szCs w:val="20"/>
      <w:lang w:val="en-GB"/>
    </w:rPr>
  </w:style>
  <w:style w:type="paragraph" w:customStyle="1" w:styleId="TableFontH">
    <w:name w:val="TableFontH"/>
    <w:basedOn w:val="TableFont"/>
    <w:rsid w:val="0010488E"/>
    <w:pPr>
      <w:keepNext/>
      <w:spacing w:before="60" w:after="60"/>
    </w:pPr>
    <w:rPr>
      <w:b/>
      <w:color w:val="808000"/>
    </w:rPr>
  </w:style>
  <w:style w:type="paragraph" w:customStyle="1" w:styleId="BusName">
    <w:name w:val="BusName"/>
    <w:basedOn w:val="Footer"/>
    <w:rsid w:val="0010488E"/>
    <w:pPr>
      <w:pBdr>
        <w:top w:val="none" w:sz="0" w:space="0" w:color="auto"/>
      </w:pBdr>
      <w:tabs>
        <w:tab w:val="clear" w:pos="9923"/>
        <w:tab w:val="clear" w:pos="14884"/>
        <w:tab w:val="clear" w:pos="21830"/>
        <w:tab w:val="right" w:pos="8647"/>
      </w:tabs>
      <w:spacing w:before="0" w:after="220" w:line="240" w:lineRule="auto"/>
      <w:ind w:left="0"/>
    </w:pPr>
    <w:rPr>
      <w:rFonts w:ascii="Arial Narrow" w:eastAsia="Times New Roman" w:hAnsi="Arial Narrow"/>
      <w:noProof/>
      <w:color w:val="000000"/>
      <w:lang w:val="en-GB"/>
    </w:rPr>
  </w:style>
  <w:style w:type="paragraph" w:customStyle="1" w:styleId="Heading1-NoTOC">
    <w:name w:val="Heading 1 - No TOC"/>
    <w:basedOn w:val="Heading1"/>
    <w:next w:val="Para0"/>
    <w:rsid w:val="0010488E"/>
    <w:pPr>
      <w:keepLines w:val="0"/>
      <w:numPr>
        <w:numId w:val="0"/>
      </w:numPr>
      <w:tabs>
        <w:tab w:val="left" w:pos="851"/>
      </w:tabs>
      <w:spacing w:before="0" w:after="240" w:line="240" w:lineRule="auto"/>
      <w:outlineLvl w:val="9"/>
    </w:pPr>
    <w:rPr>
      <w:rFonts w:eastAsia="Times New Roman" w:cs="Times New Roman"/>
      <w:bCs w:val="0"/>
      <w:color w:val="000000"/>
      <w:sz w:val="36"/>
      <w:szCs w:val="20"/>
      <w:lang w:val="en-GB"/>
    </w:rPr>
  </w:style>
  <w:style w:type="paragraph" w:customStyle="1" w:styleId="Graphiccaption">
    <w:name w:val="Graphic caption"/>
    <w:basedOn w:val="Caption"/>
    <w:next w:val="Para0"/>
    <w:rsid w:val="0010488E"/>
    <w:pPr>
      <w:keepLines/>
      <w:tabs>
        <w:tab w:val="num" w:pos="397"/>
      </w:tabs>
      <w:spacing w:before="0" w:after="120" w:line="240" w:lineRule="auto"/>
      <w:ind w:left="397" w:hanging="397"/>
    </w:pPr>
    <w:rPr>
      <w:rFonts w:ascii="Arial" w:eastAsia="Times New Roman" w:hAnsi="Arial" w:cs="Times New Roman"/>
      <w:b w:val="0"/>
      <w:i/>
      <w:color w:val="808000"/>
      <w:szCs w:val="20"/>
      <w:lang w:val="en-GB"/>
    </w:rPr>
  </w:style>
  <w:style w:type="paragraph" w:customStyle="1" w:styleId="Hiddenreference">
    <w:name w:val="Hidden reference"/>
    <w:basedOn w:val="Para0"/>
    <w:next w:val="Para0"/>
    <w:rsid w:val="0010488E"/>
    <w:pPr>
      <w:spacing w:before="40" w:after="40" w:line="240" w:lineRule="auto"/>
    </w:pPr>
    <w:rPr>
      <w:rFonts w:eastAsia="Times New Roman" w:cs="Times New Roman"/>
      <w:vanish/>
      <w:color w:val="FF0000"/>
      <w:szCs w:val="20"/>
      <w:lang w:val="en-GB"/>
    </w:rPr>
  </w:style>
  <w:style w:type="paragraph" w:customStyle="1" w:styleId="DocStatusH">
    <w:name w:val="DocStatusH"/>
    <w:basedOn w:val="DocStatus"/>
    <w:rsid w:val="0010488E"/>
    <w:pPr>
      <w:spacing w:before="60" w:after="60"/>
    </w:pPr>
    <w:rPr>
      <w:b/>
    </w:rPr>
  </w:style>
  <w:style w:type="paragraph" w:customStyle="1" w:styleId="DocStatus">
    <w:name w:val="DocStatus"/>
    <w:basedOn w:val="TableFont"/>
    <w:rsid w:val="0010488E"/>
    <w:rPr>
      <w:sz w:val="16"/>
    </w:rPr>
  </w:style>
  <w:style w:type="paragraph" w:customStyle="1" w:styleId="Head4manual">
    <w:name w:val="Head 4 manual"/>
    <w:basedOn w:val="Head1manual"/>
    <w:rsid w:val="0010488E"/>
    <w:pPr>
      <w:pageBreakBefore w:val="0"/>
      <w:spacing w:before="120" w:after="40"/>
    </w:pPr>
    <w:rPr>
      <w:sz w:val="22"/>
    </w:rPr>
  </w:style>
  <w:style w:type="paragraph" w:customStyle="1" w:styleId="Summaryheading0">
    <w:name w:val="Summary heading"/>
    <w:basedOn w:val="Heading1"/>
    <w:next w:val="Para0"/>
    <w:rsid w:val="0010488E"/>
    <w:pPr>
      <w:keepLines w:val="0"/>
      <w:numPr>
        <w:numId w:val="0"/>
      </w:numPr>
      <w:tabs>
        <w:tab w:val="left" w:pos="851"/>
      </w:tabs>
      <w:spacing w:before="0" w:after="240" w:line="240" w:lineRule="auto"/>
    </w:pPr>
    <w:rPr>
      <w:rFonts w:eastAsia="Times New Roman" w:cs="Times New Roman"/>
      <w:bCs w:val="0"/>
      <w:color w:val="000000"/>
      <w:sz w:val="36"/>
      <w:szCs w:val="20"/>
      <w:lang w:val="en-GB"/>
    </w:rPr>
  </w:style>
  <w:style w:type="paragraph" w:customStyle="1" w:styleId="Margincomment">
    <w:name w:val="Margin comment"/>
    <w:basedOn w:val="Para0"/>
    <w:rsid w:val="0010488E"/>
    <w:pPr>
      <w:spacing w:before="0" w:after="0" w:line="300" w:lineRule="auto"/>
      <w:jc w:val="right"/>
    </w:pPr>
    <w:rPr>
      <w:rFonts w:ascii="Arial Narrow" w:eastAsia="Times New Roman" w:hAnsi="Arial Narrow" w:cs="Times New Roman"/>
      <w:i/>
      <w:color w:val="808000"/>
      <w:sz w:val="18"/>
      <w:szCs w:val="20"/>
      <w:lang w:val="en-GB"/>
    </w:rPr>
  </w:style>
  <w:style w:type="paragraph" w:customStyle="1" w:styleId="Appendix1">
    <w:name w:val="Appendix 1"/>
    <w:basedOn w:val="Heading1"/>
    <w:next w:val="Para0"/>
    <w:rsid w:val="0010488E"/>
    <w:pPr>
      <w:keepLines w:val="0"/>
      <w:numPr>
        <w:numId w:val="42"/>
      </w:numPr>
      <w:tabs>
        <w:tab w:val="left" w:pos="851"/>
      </w:tabs>
      <w:spacing w:before="0" w:after="240" w:line="240" w:lineRule="auto"/>
    </w:pPr>
    <w:rPr>
      <w:rFonts w:eastAsia="Times New Roman" w:cs="Times New Roman"/>
      <w:bCs w:val="0"/>
      <w:color w:val="000000"/>
      <w:sz w:val="36"/>
      <w:szCs w:val="20"/>
      <w:lang w:val="en-GB"/>
    </w:rPr>
  </w:style>
  <w:style w:type="paragraph" w:customStyle="1" w:styleId="Appendix2">
    <w:name w:val="Appendix 2"/>
    <w:basedOn w:val="Appendix1"/>
    <w:next w:val="Para0"/>
    <w:rsid w:val="0010488E"/>
    <w:pPr>
      <w:pageBreakBefore w:val="0"/>
      <w:numPr>
        <w:ilvl w:val="1"/>
      </w:numPr>
      <w:spacing w:before="120" w:after="40"/>
      <w:outlineLvl w:val="1"/>
    </w:pPr>
    <w:rPr>
      <w:sz w:val="22"/>
    </w:rPr>
  </w:style>
  <w:style w:type="paragraph" w:customStyle="1" w:styleId="Appendix3">
    <w:name w:val="Appendix 3"/>
    <w:basedOn w:val="Appendix1"/>
    <w:next w:val="Para0"/>
    <w:rsid w:val="0010488E"/>
    <w:pPr>
      <w:pageBreakBefore w:val="0"/>
      <w:numPr>
        <w:ilvl w:val="2"/>
      </w:numPr>
      <w:spacing w:before="120" w:after="40"/>
      <w:outlineLvl w:val="2"/>
    </w:pPr>
    <w:rPr>
      <w:sz w:val="22"/>
    </w:rPr>
  </w:style>
  <w:style w:type="paragraph" w:customStyle="1" w:styleId="CoverHeading0">
    <w:name w:val="CoverHeading"/>
    <w:basedOn w:val="Para0"/>
    <w:next w:val="Para0"/>
    <w:rsid w:val="0010488E"/>
    <w:pPr>
      <w:keepNext/>
      <w:spacing w:before="0" w:after="0" w:line="240" w:lineRule="auto"/>
    </w:pPr>
    <w:rPr>
      <w:rFonts w:ascii="Arial Narrow" w:eastAsia="Times New Roman" w:hAnsi="Arial Narrow" w:cs="Times New Roman"/>
      <w:b/>
      <w:color w:val="000000"/>
      <w:sz w:val="44"/>
      <w:szCs w:val="20"/>
      <w:lang w:val="en-GB"/>
    </w:rPr>
  </w:style>
  <w:style w:type="paragraph" w:customStyle="1" w:styleId="CoverTitle0">
    <w:name w:val="CoverTitle"/>
    <w:basedOn w:val="Para0"/>
    <w:next w:val="Para0"/>
    <w:rsid w:val="0010488E"/>
    <w:pPr>
      <w:spacing w:before="0" w:after="180" w:line="240" w:lineRule="auto"/>
    </w:pPr>
    <w:rPr>
      <w:rFonts w:ascii="Arial Narrow" w:eastAsia="Times New Roman" w:hAnsi="Arial Narrow" w:cs="Times New Roman"/>
      <w:caps/>
      <w:color w:val="000000"/>
      <w:sz w:val="28"/>
      <w:szCs w:val="20"/>
      <w:lang w:val="en-GB"/>
    </w:rPr>
  </w:style>
  <w:style w:type="paragraph" w:customStyle="1" w:styleId="CoverSubject">
    <w:name w:val="CoverSubject"/>
    <w:basedOn w:val="Para0"/>
    <w:next w:val="Para0"/>
    <w:rsid w:val="0010488E"/>
    <w:pPr>
      <w:numPr>
        <w:numId w:val="43"/>
      </w:numPr>
      <w:spacing w:before="0" w:line="240" w:lineRule="auto"/>
    </w:pPr>
    <w:rPr>
      <w:rFonts w:ascii="Arial Narrow" w:eastAsia="Times New Roman" w:hAnsi="Arial Narrow" w:cs="Times New Roman"/>
      <w:color w:val="808080"/>
      <w:sz w:val="24"/>
      <w:szCs w:val="20"/>
      <w:lang w:val="en-GB"/>
    </w:rPr>
  </w:style>
  <w:style w:type="paragraph" w:customStyle="1" w:styleId="CoverVersion">
    <w:name w:val="CoverVersion"/>
    <w:basedOn w:val="CoverSubject"/>
    <w:next w:val="Para0"/>
    <w:rsid w:val="0010488E"/>
  </w:style>
  <w:style w:type="paragraph" w:customStyle="1" w:styleId="CoverDate0">
    <w:name w:val="CoverDate"/>
    <w:basedOn w:val="CoverSubject"/>
    <w:next w:val="Para0"/>
    <w:rsid w:val="0010488E"/>
  </w:style>
  <w:style w:type="paragraph" w:customStyle="1" w:styleId="FlysheetHeading">
    <w:name w:val="FlysheetHeading"/>
    <w:basedOn w:val="CoverHeading0"/>
    <w:next w:val="Para0"/>
    <w:rsid w:val="0010488E"/>
  </w:style>
  <w:style w:type="paragraph" w:customStyle="1" w:styleId="FlysheetTitle">
    <w:name w:val="FlysheetTitle"/>
    <w:basedOn w:val="CoverTitle0"/>
    <w:next w:val="Para0"/>
    <w:rsid w:val="0010488E"/>
  </w:style>
  <w:style w:type="paragraph" w:customStyle="1" w:styleId="FlysheetVersion">
    <w:name w:val="FlysheetVersion"/>
    <w:basedOn w:val="CoverVersion"/>
    <w:next w:val="Para0"/>
    <w:rsid w:val="0010488E"/>
    <w:pPr>
      <w:numPr>
        <w:numId w:val="44"/>
      </w:numPr>
      <w:tabs>
        <w:tab w:val="clear" w:pos="360"/>
        <w:tab w:val="left" w:pos="284"/>
      </w:tabs>
    </w:pPr>
  </w:style>
  <w:style w:type="paragraph" w:customStyle="1" w:styleId="FlysheetDate">
    <w:name w:val="FlysheetDate"/>
    <w:basedOn w:val="FlysheetVersion"/>
    <w:next w:val="Para0"/>
    <w:rsid w:val="0010488E"/>
  </w:style>
  <w:style w:type="paragraph" w:customStyle="1" w:styleId="Address">
    <w:name w:val="Address"/>
    <w:basedOn w:val="Para0"/>
    <w:rsid w:val="0010488E"/>
    <w:pPr>
      <w:tabs>
        <w:tab w:val="left" w:pos="737"/>
      </w:tabs>
      <w:spacing w:before="0" w:after="0" w:line="240" w:lineRule="auto"/>
      <w:ind w:left="284"/>
    </w:pPr>
    <w:rPr>
      <w:rFonts w:ascii="Arial Narrow" w:eastAsia="Times New Roman" w:hAnsi="Arial Narrow" w:cs="Times New Roman"/>
      <w:color w:val="000000"/>
      <w:szCs w:val="20"/>
      <w:lang w:val="en-GB"/>
    </w:rPr>
  </w:style>
  <w:style w:type="paragraph" w:customStyle="1" w:styleId="CoverCopyright">
    <w:name w:val="CoverCopyright"/>
    <w:basedOn w:val="Para0"/>
    <w:next w:val="Para0"/>
    <w:rsid w:val="0010488E"/>
    <w:pPr>
      <w:spacing w:before="120" w:after="0" w:line="240" w:lineRule="auto"/>
    </w:pPr>
    <w:rPr>
      <w:rFonts w:eastAsia="Times New Roman" w:cs="Times New Roman"/>
      <w:color w:val="000000"/>
      <w:sz w:val="16"/>
      <w:szCs w:val="20"/>
      <w:lang w:val="en-GB"/>
    </w:rPr>
  </w:style>
  <w:style w:type="paragraph" w:customStyle="1" w:styleId="CoverFooter">
    <w:name w:val="CoverFooter"/>
    <w:basedOn w:val="Footer"/>
    <w:rsid w:val="0010488E"/>
    <w:pPr>
      <w:pBdr>
        <w:top w:val="none" w:sz="0" w:space="0" w:color="auto"/>
      </w:pBdr>
      <w:tabs>
        <w:tab w:val="clear" w:pos="9923"/>
        <w:tab w:val="clear" w:pos="14884"/>
        <w:tab w:val="clear" w:pos="21830"/>
        <w:tab w:val="right" w:pos="6946"/>
      </w:tabs>
      <w:spacing w:before="0" w:after="0" w:line="240" w:lineRule="exact"/>
      <w:ind w:left="0"/>
    </w:pPr>
    <w:rPr>
      <w:rFonts w:ascii="Arial Narrow" w:eastAsia="Times New Roman" w:hAnsi="Arial Narrow"/>
      <w:b w:val="0"/>
      <w:noProof/>
      <w:color w:val="808080"/>
      <w:lang w:val="en-GB"/>
    </w:rPr>
  </w:style>
  <w:style w:type="paragraph" w:styleId="TableofFigures">
    <w:name w:val="table of figures"/>
    <w:basedOn w:val="TOC1"/>
    <w:next w:val="Para0"/>
    <w:uiPriority w:val="99"/>
    <w:rsid w:val="0010488E"/>
    <w:pPr>
      <w:tabs>
        <w:tab w:val="clear" w:pos="9923"/>
        <w:tab w:val="left" w:pos="567"/>
        <w:tab w:val="right" w:pos="8505"/>
      </w:tabs>
      <w:spacing w:before="120" w:after="120"/>
      <w:ind w:left="0" w:right="0" w:firstLine="0"/>
    </w:pPr>
    <w:rPr>
      <w:rFonts w:eastAsia="Times New Roman" w:cs="Times New Roman"/>
      <w:b w:val="0"/>
      <w:color w:val="000000"/>
      <w:szCs w:val="20"/>
      <w:lang w:val="en-GB"/>
    </w:rPr>
  </w:style>
  <w:style w:type="paragraph" w:customStyle="1" w:styleId="Instruction">
    <w:name w:val="Instruction"/>
    <w:basedOn w:val="Para0"/>
    <w:next w:val="Para0"/>
    <w:rsid w:val="0010488E"/>
    <w:pPr>
      <w:spacing w:before="0" w:line="240" w:lineRule="auto"/>
    </w:pPr>
    <w:rPr>
      <w:rFonts w:eastAsia="Times New Roman" w:cs="Times New Roman"/>
      <w:color w:val="FF0000"/>
      <w:szCs w:val="20"/>
      <w:lang w:val="en-GB"/>
    </w:rPr>
  </w:style>
  <w:style w:type="paragraph" w:customStyle="1" w:styleId="Para0Roman0">
    <w:name w:val="Para 0 Roman"/>
    <w:basedOn w:val="Para0"/>
    <w:rsid w:val="0010488E"/>
    <w:pPr>
      <w:numPr>
        <w:numId w:val="45"/>
      </w:numPr>
      <w:spacing w:before="0" w:after="60" w:line="300" w:lineRule="auto"/>
    </w:pPr>
    <w:rPr>
      <w:rFonts w:eastAsia="Times New Roman" w:cs="Times New Roman"/>
      <w:color w:val="000000"/>
      <w:szCs w:val="20"/>
      <w:lang w:val="en-GB"/>
    </w:rPr>
  </w:style>
  <w:style w:type="paragraph" w:customStyle="1" w:styleId="TableFontbullet">
    <w:name w:val="TableFont bullet"/>
    <w:basedOn w:val="TableFont"/>
    <w:rsid w:val="0010488E"/>
    <w:pPr>
      <w:tabs>
        <w:tab w:val="num" w:pos="397"/>
      </w:tabs>
      <w:spacing w:before="20" w:after="0"/>
      <w:ind w:left="397" w:hanging="397"/>
    </w:pPr>
  </w:style>
  <w:style w:type="paragraph" w:customStyle="1" w:styleId="Para1Roman">
    <w:name w:val="Para 1 Roman"/>
    <w:basedOn w:val="Para1"/>
    <w:rsid w:val="0010488E"/>
    <w:pPr>
      <w:numPr>
        <w:numId w:val="46"/>
      </w:numPr>
      <w:spacing w:before="0" w:after="60" w:line="300" w:lineRule="auto"/>
    </w:pPr>
    <w:rPr>
      <w:rFonts w:eastAsia="Times New Roman" w:cs="Times New Roman"/>
      <w:color w:val="000000"/>
      <w:szCs w:val="20"/>
      <w:lang w:val="en-GB"/>
    </w:rPr>
  </w:style>
  <w:style w:type="paragraph" w:customStyle="1" w:styleId="Para2Roman0">
    <w:name w:val="Para 2 Roman"/>
    <w:basedOn w:val="Para2"/>
    <w:rsid w:val="0010488E"/>
    <w:pPr>
      <w:numPr>
        <w:numId w:val="47"/>
      </w:numPr>
      <w:spacing w:before="0" w:after="60" w:line="300" w:lineRule="auto"/>
    </w:pPr>
    <w:rPr>
      <w:rFonts w:eastAsia="Times New Roman" w:cs="Times New Roman"/>
      <w:color w:val="000000"/>
      <w:szCs w:val="20"/>
      <w:lang w:val="en-GB"/>
    </w:rPr>
  </w:style>
  <w:style w:type="paragraph" w:customStyle="1" w:styleId="Para3Roman">
    <w:name w:val="Para 3 Roman"/>
    <w:basedOn w:val="Para3"/>
    <w:rsid w:val="0010488E"/>
    <w:pPr>
      <w:numPr>
        <w:numId w:val="48"/>
      </w:numPr>
      <w:spacing w:before="0" w:after="60" w:line="300" w:lineRule="auto"/>
    </w:pPr>
    <w:rPr>
      <w:rFonts w:eastAsia="Times New Roman" w:cs="Times New Roman"/>
      <w:color w:val="000000"/>
      <w:szCs w:val="20"/>
      <w:lang w:val="en-GB"/>
    </w:rPr>
  </w:style>
  <w:style w:type="paragraph" w:styleId="Title">
    <w:name w:val="Title"/>
    <w:basedOn w:val="Normal"/>
    <w:next w:val="Normal"/>
    <w:link w:val="TitleChar"/>
    <w:uiPriority w:val="99"/>
    <w:qFormat/>
    <w:rsid w:val="0010488E"/>
    <w:pPr>
      <w:spacing w:before="240" w:after="60" w:line="240" w:lineRule="auto"/>
      <w:jc w:val="center"/>
      <w:outlineLvl w:val="0"/>
    </w:pPr>
    <w:rPr>
      <w:rFonts w:ascii="Cambria" w:eastAsia="Times New Roman" w:hAnsi="Cambria" w:cs="Times New Roman"/>
      <w:b/>
      <w:bCs/>
      <w:color w:val="000000"/>
      <w:kern w:val="28"/>
      <w:sz w:val="32"/>
      <w:szCs w:val="32"/>
      <w:lang w:val="en-GB" w:eastAsia="en-AU"/>
    </w:rPr>
  </w:style>
  <w:style w:type="character" w:customStyle="1" w:styleId="TitleChar">
    <w:name w:val="Title Char"/>
    <w:basedOn w:val="DefaultParagraphFont"/>
    <w:link w:val="Title"/>
    <w:uiPriority w:val="99"/>
    <w:rsid w:val="0010488E"/>
    <w:rPr>
      <w:rFonts w:ascii="Cambria" w:eastAsia="Times New Roman" w:hAnsi="Cambria" w:cs="Times New Roman"/>
      <w:b/>
      <w:bCs/>
      <w:color w:val="000000"/>
      <w:kern w:val="28"/>
      <w:sz w:val="32"/>
      <w:szCs w:val="32"/>
      <w:lang w:val="en-GB" w:eastAsia="en-AU"/>
    </w:rPr>
  </w:style>
  <w:style w:type="paragraph" w:customStyle="1" w:styleId="DocType">
    <w:name w:val="DocType"/>
    <w:basedOn w:val="Para0"/>
    <w:rsid w:val="0010488E"/>
    <w:pPr>
      <w:spacing w:before="0" w:after="1680" w:line="240" w:lineRule="auto"/>
    </w:pPr>
    <w:rPr>
      <w:rFonts w:ascii="Arial Narrow" w:eastAsia="Times New Roman" w:hAnsi="Arial Narrow" w:cs="Times New Roman"/>
      <w:color w:val="808080"/>
      <w:sz w:val="32"/>
      <w:szCs w:val="20"/>
      <w:lang w:val="en-GB"/>
    </w:rPr>
  </w:style>
  <w:style w:type="character" w:customStyle="1" w:styleId="st1">
    <w:name w:val="st1"/>
    <w:basedOn w:val="DefaultParagraphFont"/>
    <w:rsid w:val="0010488E"/>
  </w:style>
  <w:style w:type="paragraph" w:customStyle="1" w:styleId="PAEPARA0">
    <w:name w:val="PAE PARA 0"/>
    <w:basedOn w:val="Normal"/>
    <w:qFormat/>
    <w:rsid w:val="0010488E"/>
    <w:pPr>
      <w:keepLines/>
      <w:spacing w:before="40" w:after="200" w:line="276" w:lineRule="auto"/>
      <w:jc w:val="both"/>
    </w:pPr>
    <w:rPr>
      <w:rFonts w:eastAsiaTheme="minorHAnsi"/>
      <w:szCs w:val="22"/>
    </w:rPr>
  </w:style>
  <w:style w:type="paragraph" w:customStyle="1" w:styleId="Para0new">
    <w:name w:val="Para 0 new"/>
    <w:basedOn w:val="Normal"/>
    <w:link w:val="Para0newChar"/>
    <w:uiPriority w:val="99"/>
    <w:qFormat/>
    <w:rsid w:val="0010488E"/>
    <w:pPr>
      <w:spacing w:after="200" w:line="264" w:lineRule="auto"/>
    </w:pPr>
    <w:rPr>
      <w:rFonts w:asciiTheme="majorHAnsi" w:eastAsia="Arial Unicode MS" w:hAnsiTheme="majorHAnsi" w:cs="Arial Unicode MS"/>
      <w:color w:val="000000"/>
      <w:sz w:val="21"/>
      <w:szCs w:val="21"/>
      <w:lang w:val="en-GB"/>
    </w:rPr>
  </w:style>
  <w:style w:type="character" w:customStyle="1" w:styleId="Para0newChar">
    <w:name w:val="Para 0 new Char"/>
    <w:basedOn w:val="DefaultParagraphFont"/>
    <w:link w:val="Para0new"/>
    <w:uiPriority w:val="99"/>
    <w:rsid w:val="0010488E"/>
    <w:rPr>
      <w:rFonts w:asciiTheme="majorHAnsi" w:eastAsia="Arial Unicode MS" w:hAnsiTheme="majorHAnsi" w:cs="Arial Unicode MS"/>
      <w:color w:val="000000"/>
      <w:sz w:val="21"/>
      <w:szCs w:val="21"/>
      <w:lang w:val="en-GB"/>
    </w:rPr>
  </w:style>
  <w:style w:type="table" w:customStyle="1" w:styleId="PAEtable">
    <w:name w:val="PAE table"/>
    <w:basedOn w:val="TableNormal"/>
    <w:uiPriority w:val="99"/>
    <w:qFormat/>
    <w:rsid w:val="0010488E"/>
    <w:rPr>
      <w:rFonts w:eastAsiaTheme="minorHAnsi"/>
      <w:sz w:val="22"/>
      <w:szCs w:val="22"/>
      <w:lang w:val="en-AU"/>
    </w:rPr>
    <w:tblPr>
      <w:tblStyleRowBandSize w:val="1"/>
    </w:tblPr>
    <w:tcPr>
      <w:vAlign w:val="center"/>
    </w:tcPr>
    <w:tblStylePr w:type="firstRow">
      <w:pPr>
        <w:jc w:val="left"/>
      </w:pPr>
      <w:rPr>
        <w:rFonts w:ascii="Arial" w:hAnsi="Arial"/>
        <w:b/>
        <w:color w:val="FFFFFF" w:themeColor="background1"/>
        <w:sz w:val="16"/>
      </w:rPr>
      <w:tblPr/>
      <w:trPr>
        <w:cantSplit/>
        <w:tblHeader/>
      </w:trPr>
      <w:tcPr>
        <w:tcBorders>
          <w:bottom w:val="single" w:sz="24" w:space="0" w:color="FFFFFF" w:themeColor="background1"/>
          <w:insideH w:val="single" w:sz="8" w:space="0" w:color="FFFFFF" w:themeColor="background1"/>
          <w:insideV w:val="single" w:sz="8" w:space="0" w:color="FFFFFF" w:themeColor="background1"/>
        </w:tcBorders>
        <w:shd w:val="clear" w:color="auto" w:fill="8064A2"/>
        <w:vAlign w:val="center"/>
      </w:tcPr>
    </w:tblStylePr>
    <w:tblStylePr w:type="band1Horz">
      <w:pPr>
        <w:jc w:val="left"/>
      </w:pPr>
      <w:rPr>
        <w:rFonts w:ascii="Arial" w:hAnsi="Arial"/>
        <w:color w:val="000000" w:themeColor="text1"/>
        <w:sz w:val="16"/>
      </w:rPr>
      <w:tblPr/>
      <w:trPr>
        <w:cantSplit/>
      </w:trPr>
      <w:tcPr>
        <w:tcBorders>
          <w:bottom w:val="single" w:sz="8" w:space="0" w:color="FFFFFF" w:themeColor="background1"/>
          <w:insideH w:val="single" w:sz="8" w:space="0" w:color="FFFFFF" w:themeColor="background1"/>
          <w:insideV w:val="single" w:sz="8" w:space="0" w:color="FFFFFF" w:themeColor="background1"/>
        </w:tcBorders>
        <w:shd w:val="clear" w:color="auto" w:fill="FFF8CC" w:themeFill="accent4" w:themeFillTint="33"/>
        <w:vAlign w:val="center"/>
      </w:tcPr>
    </w:tblStylePr>
    <w:tblStylePr w:type="band2Horz">
      <w:pPr>
        <w:jc w:val="left"/>
      </w:pPr>
      <w:rPr>
        <w:rFonts w:ascii="Arial" w:hAnsi="Arial"/>
        <w:color w:val="000000" w:themeColor="text1"/>
        <w:sz w:val="16"/>
      </w:rPr>
      <w:tblPr/>
      <w:trPr>
        <w:cantSplit/>
      </w:trPr>
      <w:tcPr>
        <w:tcBorders>
          <w:bottom w:val="single" w:sz="8" w:space="0" w:color="FFFFFF" w:themeColor="background1"/>
          <w:insideH w:val="single" w:sz="8" w:space="0" w:color="FFFFFF" w:themeColor="background1"/>
          <w:insideV w:val="single" w:sz="8" w:space="0" w:color="FFFFFF" w:themeColor="background1"/>
        </w:tcBorders>
        <w:shd w:val="clear" w:color="auto" w:fill="FFF199" w:themeFill="accent4" w:themeFillTint="66"/>
        <w:vAlign w:val="center"/>
      </w:tcPr>
    </w:tblStylePr>
  </w:style>
  <w:style w:type="paragraph" w:customStyle="1" w:styleId="CECNormal">
    <w:name w:val="CEC_Normal"/>
    <w:basedOn w:val="Normal"/>
    <w:link w:val="CECNormalChar"/>
    <w:qFormat/>
    <w:rsid w:val="0010488E"/>
    <w:pPr>
      <w:spacing w:line="300" w:lineRule="auto"/>
      <w:jc w:val="both"/>
    </w:pPr>
    <w:rPr>
      <w:rFonts w:eastAsia="Times New Roman" w:cs="Arial"/>
      <w:color w:val="000000"/>
      <w:szCs w:val="20"/>
      <w:lang w:val="en-GB"/>
    </w:rPr>
  </w:style>
  <w:style w:type="character" w:customStyle="1" w:styleId="CECNormalChar">
    <w:name w:val="CEC_Normal Char"/>
    <w:basedOn w:val="DefaultParagraphFont"/>
    <w:link w:val="CECNormal"/>
    <w:rsid w:val="0010488E"/>
    <w:rPr>
      <w:rFonts w:ascii="Arial" w:eastAsia="Times New Roman" w:hAnsi="Arial" w:cs="Arial"/>
      <w:color w:val="000000"/>
      <w:sz w:val="20"/>
      <w:szCs w:val="20"/>
      <w:lang w:val="en-GB"/>
    </w:rPr>
  </w:style>
  <w:style w:type="character" w:customStyle="1" w:styleId="Para0numberChar">
    <w:name w:val="Para 0 number Char"/>
    <w:basedOn w:val="DefaultParagraphFont"/>
    <w:link w:val="Para0number"/>
    <w:rsid w:val="0010488E"/>
    <w:rPr>
      <w:rFonts w:ascii="Arial" w:hAnsi="Arial"/>
      <w:sz w:val="20"/>
      <w:lang w:val="en-AU"/>
    </w:rPr>
  </w:style>
  <w:style w:type="paragraph" w:customStyle="1" w:styleId="bulletlist">
    <w:name w:val="bullet list"/>
    <w:basedOn w:val="Para0bullet"/>
    <w:link w:val="bulletlistChar"/>
    <w:uiPriority w:val="99"/>
    <w:qFormat/>
    <w:rsid w:val="0010488E"/>
    <w:pPr>
      <w:numPr>
        <w:numId w:val="49"/>
      </w:numPr>
      <w:tabs>
        <w:tab w:val="clear" w:pos="851"/>
        <w:tab w:val="left" w:pos="709"/>
      </w:tabs>
      <w:spacing w:after="60" w:line="300" w:lineRule="auto"/>
    </w:pPr>
    <w:rPr>
      <w:rFonts w:eastAsia="Times New Roman" w:cs="Times New Roman"/>
      <w:color w:val="000000"/>
      <w:szCs w:val="20"/>
      <w:lang w:val="en-GB"/>
    </w:rPr>
  </w:style>
  <w:style w:type="character" w:customStyle="1" w:styleId="bulletlistChar">
    <w:name w:val="bullet list Char"/>
    <w:basedOn w:val="DefaultParagraphFont"/>
    <w:link w:val="bulletlist"/>
    <w:uiPriority w:val="99"/>
    <w:rsid w:val="0010488E"/>
    <w:rPr>
      <w:rFonts w:ascii="Arial" w:eastAsia="Times New Roman" w:hAnsi="Arial" w:cs="Times New Roman"/>
      <w:color w:val="000000"/>
      <w:sz w:val="20"/>
      <w:szCs w:val="20"/>
      <w:lang w:val="en-GB"/>
    </w:rPr>
  </w:style>
  <w:style w:type="character" w:customStyle="1" w:styleId="CaptionChar">
    <w:name w:val="Caption Char"/>
    <w:aliases w:val="PAE Char1,Item Char1,Table Caption Char1,Table Caption1 Char1,Figure Char1,CDM B/Caption Char1,TABLE Char1"/>
    <w:basedOn w:val="Para0Char"/>
    <w:link w:val="Caption"/>
    <w:rsid w:val="0010488E"/>
    <w:rPr>
      <w:rFonts w:ascii="Arial Narrow" w:hAnsi="Arial Narrow"/>
      <w:b/>
      <w:sz w:val="20"/>
      <w:lang w:val="en-AU"/>
    </w:rPr>
  </w:style>
  <w:style w:type="paragraph" w:customStyle="1" w:styleId="StyleHeading3h3subheadingHeading3SubHeadingh3H3Heading">
    <w:name w:val="Style Heading 3h3 sub headingHeading 3 Sub Headingh3H3Heading ..."/>
    <w:basedOn w:val="Heading3"/>
    <w:uiPriority w:val="99"/>
    <w:rsid w:val="0010488E"/>
    <w:pPr>
      <w:keepLines w:val="0"/>
      <w:numPr>
        <w:ilvl w:val="0"/>
        <w:numId w:val="41"/>
      </w:numPr>
      <w:tabs>
        <w:tab w:val="left" w:pos="851"/>
      </w:tabs>
      <w:spacing w:before="120" w:after="240" w:line="240" w:lineRule="auto"/>
      <w:ind w:left="851" w:hanging="851"/>
    </w:pPr>
    <w:rPr>
      <w:rFonts w:eastAsia="Times New Roman" w:cs="Times New Roman"/>
      <w:b w:val="0"/>
      <w:bCs w:val="0"/>
      <w:color w:val="42145F"/>
      <w:sz w:val="22"/>
      <w:szCs w:val="22"/>
      <w:lang w:val="en-GB"/>
    </w:rPr>
  </w:style>
  <w:style w:type="paragraph" w:customStyle="1" w:styleId="Source">
    <w:name w:val="Source"/>
    <w:basedOn w:val="Normal"/>
    <w:link w:val="SourceChar"/>
    <w:uiPriority w:val="99"/>
    <w:qFormat/>
    <w:rsid w:val="0010488E"/>
    <w:pPr>
      <w:spacing w:line="300" w:lineRule="auto"/>
    </w:pPr>
    <w:rPr>
      <w:rFonts w:eastAsia="Times New Roman" w:cs="Times New Roman"/>
      <w:color w:val="000000"/>
      <w:sz w:val="16"/>
      <w:szCs w:val="16"/>
      <w:lang w:val="en-GB"/>
    </w:rPr>
  </w:style>
  <w:style w:type="character" w:customStyle="1" w:styleId="SourceChar">
    <w:name w:val="Source Char"/>
    <w:basedOn w:val="DefaultParagraphFont"/>
    <w:link w:val="Source"/>
    <w:uiPriority w:val="99"/>
    <w:rsid w:val="0010488E"/>
    <w:rPr>
      <w:rFonts w:ascii="Arial" w:eastAsia="Times New Roman" w:hAnsi="Arial" w:cs="Times New Roman"/>
      <w:color w:val="000000"/>
      <w:sz w:val="16"/>
      <w:szCs w:val="16"/>
      <w:lang w:val="en-GB"/>
    </w:rPr>
  </w:style>
  <w:style w:type="paragraph" w:customStyle="1" w:styleId="Default">
    <w:name w:val="Default"/>
    <w:rsid w:val="0010488E"/>
    <w:pPr>
      <w:autoSpaceDE w:val="0"/>
      <w:autoSpaceDN w:val="0"/>
      <w:adjustRightInd w:val="0"/>
    </w:pPr>
    <w:rPr>
      <w:rFonts w:ascii="Cambria" w:eastAsia="Times New Roman" w:hAnsi="Cambria" w:cs="Cambria"/>
      <w:color w:val="000000"/>
      <w:lang w:val="en-AU" w:eastAsia="en-AU"/>
    </w:rPr>
  </w:style>
  <w:style w:type="paragraph" w:styleId="NormalWeb">
    <w:name w:val="Normal (Web)"/>
    <w:basedOn w:val="Normal"/>
    <w:uiPriority w:val="99"/>
    <w:unhideWhenUsed/>
    <w:rsid w:val="0010488E"/>
    <w:pPr>
      <w:spacing w:before="100" w:beforeAutospacing="1" w:after="100" w:afterAutospacing="1" w:line="240" w:lineRule="auto"/>
    </w:pPr>
    <w:rPr>
      <w:rFonts w:ascii="Times New Roman" w:eastAsia="Times New Roman" w:hAnsi="Times New Roman" w:cs="Times New Roman"/>
      <w:sz w:val="24"/>
      <w:lang w:eastAsia="en-AU"/>
    </w:rPr>
  </w:style>
  <w:style w:type="character" w:styleId="Strong">
    <w:name w:val="Strong"/>
    <w:basedOn w:val="DefaultParagraphFont"/>
    <w:uiPriority w:val="99"/>
    <w:qFormat/>
    <w:rsid w:val="0010488E"/>
    <w:rPr>
      <w:b/>
      <w:bCs/>
    </w:rPr>
  </w:style>
  <w:style w:type="paragraph" w:styleId="Bibliography">
    <w:name w:val="Bibliography"/>
    <w:basedOn w:val="Normal"/>
    <w:next w:val="Normal"/>
    <w:uiPriority w:val="99"/>
    <w:unhideWhenUsed/>
    <w:rsid w:val="0010488E"/>
    <w:pPr>
      <w:spacing w:line="300" w:lineRule="auto"/>
    </w:pPr>
    <w:rPr>
      <w:rFonts w:eastAsia="Times New Roman" w:cs="Times New Roman"/>
      <w:color w:val="000000"/>
      <w:szCs w:val="20"/>
      <w:lang w:val="en-GB"/>
    </w:rPr>
  </w:style>
  <w:style w:type="paragraph" w:styleId="BlockText">
    <w:name w:val="Block Text"/>
    <w:basedOn w:val="Normal"/>
    <w:rsid w:val="0010488E"/>
    <w:pPr>
      <w:pBdr>
        <w:top w:val="single" w:sz="2" w:space="10" w:color="597AB5" w:themeColor="accent1"/>
        <w:left w:val="single" w:sz="2" w:space="10" w:color="597AB5" w:themeColor="accent1"/>
        <w:bottom w:val="single" w:sz="2" w:space="10" w:color="597AB5" w:themeColor="accent1"/>
        <w:right w:val="single" w:sz="2" w:space="10" w:color="597AB5" w:themeColor="accent1"/>
      </w:pBdr>
      <w:spacing w:line="300" w:lineRule="auto"/>
      <w:ind w:left="1152" w:right="1152"/>
    </w:pPr>
    <w:rPr>
      <w:rFonts w:asciiTheme="minorHAnsi" w:hAnsiTheme="minorHAnsi"/>
      <w:i/>
      <w:iCs/>
      <w:color w:val="597AB5" w:themeColor="accent1"/>
      <w:szCs w:val="20"/>
      <w:lang w:val="en-GB"/>
    </w:rPr>
  </w:style>
  <w:style w:type="paragraph" w:styleId="BodyText">
    <w:name w:val="Body Text"/>
    <w:basedOn w:val="Normal"/>
    <w:link w:val="BodyTextChar"/>
    <w:uiPriority w:val="99"/>
    <w:rsid w:val="0010488E"/>
    <w:pPr>
      <w:spacing w:after="120" w:line="300" w:lineRule="auto"/>
    </w:pPr>
    <w:rPr>
      <w:rFonts w:eastAsia="Times New Roman" w:cs="Times New Roman"/>
      <w:color w:val="000000"/>
      <w:szCs w:val="20"/>
      <w:lang w:val="en-GB"/>
    </w:rPr>
  </w:style>
  <w:style w:type="character" w:customStyle="1" w:styleId="BodyTextChar">
    <w:name w:val="Body Text Char"/>
    <w:basedOn w:val="DefaultParagraphFont"/>
    <w:link w:val="BodyText"/>
    <w:uiPriority w:val="99"/>
    <w:rsid w:val="0010488E"/>
    <w:rPr>
      <w:rFonts w:ascii="Arial" w:eastAsia="Times New Roman" w:hAnsi="Arial" w:cs="Times New Roman"/>
      <w:color w:val="000000"/>
      <w:sz w:val="20"/>
      <w:szCs w:val="20"/>
      <w:lang w:val="en-GB"/>
    </w:rPr>
  </w:style>
  <w:style w:type="paragraph" w:styleId="BodyText2">
    <w:name w:val="Body Text 2"/>
    <w:basedOn w:val="Normal"/>
    <w:link w:val="BodyText2Char"/>
    <w:uiPriority w:val="99"/>
    <w:rsid w:val="0010488E"/>
    <w:pPr>
      <w:spacing w:after="120" w:line="480" w:lineRule="auto"/>
    </w:pPr>
    <w:rPr>
      <w:rFonts w:eastAsia="Times New Roman" w:cs="Times New Roman"/>
      <w:color w:val="000000"/>
      <w:szCs w:val="20"/>
      <w:lang w:val="en-GB"/>
    </w:rPr>
  </w:style>
  <w:style w:type="character" w:customStyle="1" w:styleId="BodyText2Char">
    <w:name w:val="Body Text 2 Char"/>
    <w:basedOn w:val="DefaultParagraphFont"/>
    <w:link w:val="BodyText2"/>
    <w:uiPriority w:val="99"/>
    <w:rsid w:val="0010488E"/>
    <w:rPr>
      <w:rFonts w:ascii="Arial" w:eastAsia="Times New Roman" w:hAnsi="Arial" w:cs="Times New Roman"/>
      <w:color w:val="000000"/>
      <w:sz w:val="20"/>
      <w:szCs w:val="20"/>
      <w:lang w:val="en-GB"/>
    </w:rPr>
  </w:style>
  <w:style w:type="paragraph" w:styleId="BodyText3">
    <w:name w:val="Body Text 3"/>
    <w:basedOn w:val="Normal"/>
    <w:link w:val="BodyText3Char"/>
    <w:uiPriority w:val="99"/>
    <w:rsid w:val="0010488E"/>
    <w:pPr>
      <w:spacing w:after="120" w:line="300" w:lineRule="auto"/>
    </w:pPr>
    <w:rPr>
      <w:rFonts w:eastAsia="Times New Roman" w:cs="Times New Roman"/>
      <w:color w:val="000000"/>
      <w:sz w:val="16"/>
      <w:szCs w:val="16"/>
      <w:lang w:val="en-GB"/>
    </w:rPr>
  </w:style>
  <w:style w:type="character" w:customStyle="1" w:styleId="BodyText3Char">
    <w:name w:val="Body Text 3 Char"/>
    <w:basedOn w:val="DefaultParagraphFont"/>
    <w:link w:val="BodyText3"/>
    <w:uiPriority w:val="99"/>
    <w:rsid w:val="0010488E"/>
    <w:rPr>
      <w:rFonts w:ascii="Arial" w:eastAsia="Times New Roman" w:hAnsi="Arial" w:cs="Times New Roman"/>
      <w:color w:val="000000"/>
      <w:sz w:val="16"/>
      <w:szCs w:val="16"/>
      <w:lang w:val="en-GB"/>
    </w:rPr>
  </w:style>
  <w:style w:type="paragraph" w:styleId="BodyTextFirstIndent">
    <w:name w:val="Body Text First Indent"/>
    <w:basedOn w:val="BodyText"/>
    <w:link w:val="BodyTextFirstIndentChar"/>
    <w:rsid w:val="0010488E"/>
    <w:pPr>
      <w:spacing w:after="220"/>
      <w:ind w:firstLine="360"/>
    </w:pPr>
  </w:style>
  <w:style w:type="character" w:customStyle="1" w:styleId="BodyTextFirstIndentChar">
    <w:name w:val="Body Text First Indent Char"/>
    <w:basedOn w:val="BodyTextChar"/>
    <w:link w:val="BodyTextFirstIndent"/>
    <w:rsid w:val="0010488E"/>
    <w:rPr>
      <w:rFonts w:ascii="Arial" w:eastAsia="Times New Roman" w:hAnsi="Arial" w:cs="Times New Roman"/>
      <w:color w:val="000000"/>
      <w:sz w:val="20"/>
      <w:szCs w:val="20"/>
      <w:lang w:val="en-GB"/>
    </w:rPr>
  </w:style>
  <w:style w:type="paragraph" w:styleId="BodyTextIndent">
    <w:name w:val="Body Text Indent"/>
    <w:basedOn w:val="Normal"/>
    <w:link w:val="BodyTextIndentChar"/>
    <w:rsid w:val="0010488E"/>
    <w:pPr>
      <w:spacing w:after="120" w:line="300" w:lineRule="auto"/>
      <w:ind w:left="283"/>
    </w:pPr>
    <w:rPr>
      <w:rFonts w:eastAsia="Times New Roman" w:cs="Times New Roman"/>
      <w:color w:val="000000"/>
      <w:szCs w:val="20"/>
      <w:lang w:val="en-GB"/>
    </w:rPr>
  </w:style>
  <w:style w:type="character" w:customStyle="1" w:styleId="BodyTextIndentChar">
    <w:name w:val="Body Text Indent Char"/>
    <w:basedOn w:val="DefaultParagraphFont"/>
    <w:link w:val="BodyTextIndent"/>
    <w:rsid w:val="0010488E"/>
    <w:rPr>
      <w:rFonts w:ascii="Arial" w:eastAsia="Times New Roman" w:hAnsi="Arial" w:cs="Times New Roman"/>
      <w:color w:val="000000"/>
      <w:sz w:val="20"/>
      <w:szCs w:val="20"/>
      <w:lang w:val="en-GB"/>
    </w:rPr>
  </w:style>
  <w:style w:type="paragraph" w:styleId="BodyTextFirstIndent2">
    <w:name w:val="Body Text First Indent 2"/>
    <w:basedOn w:val="BodyTextIndent"/>
    <w:link w:val="BodyTextFirstIndent2Char"/>
    <w:rsid w:val="0010488E"/>
    <w:pPr>
      <w:spacing w:after="220"/>
      <w:ind w:left="360" w:firstLine="360"/>
    </w:pPr>
  </w:style>
  <w:style w:type="character" w:customStyle="1" w:styleId="BodyTextFirstIndent2Char">
    <w:name w:val="Body Text First Indent 2 Char"/>
    <w:basedOn w:val="BodyTextIndentChar"/>
    <w:link w:val="BodyTextFirstIndent2"/>
    <w:rsid w:val="0010488E"/>
    <w:rPr>
      <w:rFonts w:ascii="Arial" w:eastAsia="Times New Roman" w:hAnsi="Arial" w:cs="Times New Roman"/>
      <w:color w:val="000000"/>
      <w:sz w:val="20"/>
      <w:szCs w:val="20"/>
      <w:lang w:val="en-GB"/>
    </w:rPr>
  </w:style>
  <w:style w:type="paragraph" w:styleId="BodyTextIndent2">
    <w:name w:val="Body Text Indent 2"/>
    <w:basedOn w:val="Normal"/>
    <w:link w:val="BodyTextIndent2Char"/>
    <w:rsid w:val="0010488E"/>
    <w:pPr>
      <w:spacing w:after="120" w:line="480" w:lineRule="auto"/>
      <w:ind w:left="283"/>
    </w:pPr>
    <w:rPr>
      <w:rFonts w:eastAsia="Times New Roman" w:cs="Times New Roman"/>
      <w:color w:val="000000"/>
      <w:szCs w:val="20"/>
      <w:lang w:val="en-GB"/>
    </w:rPr>
  </w:style>
  <w:style w:type="character" w:customStyle="1" w:styleId="BodyTextIndent2Char">
    <w:name w:val="Body Text Indent 2 Char"/>
    <w:basedOn w:val="DefaultParagraphFont"/>
    <w:link w:val="BodyTextIndent2"/>
    <w:rsid w:val="0010488E"/>
    <w:rPr>
      <w:rFonts w:ascii="Arial" w:eastAsia="Times New Roman" w:hAnsi="Arial" w:cs="Times New Roman"/>
      <w:color w:val="000000"/>
      <w:sz w:val="20"/>
      <w:szCs w:val="20"/>
      <w:lang w:val="en-GB"/>
    </w:rPr>
  </w:style>
  <w:style w:type="paragraph" w:styleId="BodyTextIndent3">
    <w:name w:val="Body Text Indent 3"/>
    <w:basedOn w:val="Normal"/>
    <w:link w:val="BodyTextIndent3Char"/>
    <w:rsid w:val="0010488E"/>
    <w:pPr>
      <w:spacing w:after="120" w:line="300" w:lineRule="auto"/>
      <w:ind w:left="283"/>
    </w:pPr>
    <w:rPr>
      <w:rFonts w:eastAsia="Times New Roman" w:cs="Times New Roman"/>
      <w:color w:val="000000"/>
      <w:sz w:val="16"/>
      <w:szCs w:val="16"/>
      <w:lang w:val="en-GB"/>
    </w:rPr>
  </w:style>
  <w:style w:type="character" w:customStyle="1" w:styleId="BodyTextIndent3Char">
    <w:name w:val="Body Text Indent 3 Char"/>
    <w:basedOn w:val="DefaultParagraphFont"/>
    <w:link w:val="BodyTextIndent3"/>
    <w:rsid w:val="0010488E"/>
    <w:rPr>
      <w:rFonts w:ascii="Arial" w:eastAsia="Times New Roman" w:hAnsi="Arial" w:cs="Times New Roman"/>
      <w:color w:val="000000"/>
      <w:sz w:val="16"/>
      <w:szCs w:val="16"/>
      <w:lang w:val="en-GB"/>
    </w:rPr>
  </w:style>
  <w:style w:type="paragraph" w:styleId="Closing">
    <w:name w:val="Closing"/>
    <w:basedOn w:val="Normal"/>
    <w:link w:val="ClosingChar"/>
    <w:rsid w:val="0010488E"/>
    <w:pPr>
      <w:spacing w:after="0" w:line="240" w:lineRule="auto"/>
      <w:ind w:left="4252"/>
    </w:pPr>
    <w:rPr>
      <w:rFonts w:eastAsia="Times New Roman" w:cs="Times New Roman"/>
      <w:color w:val="000000"/>
      <w:szCs w:val="20"/>
      <w:lang w:val="en-GB"/>
    </w:rPr>
  </w:style>
  <w:style w:type="character" w:customStyle="1" w:styleId="ClosingChar">
    <w:name w:val="Closing Char"/>
    <w:basedOn w:val="DefaultParagraphFont"/>
    <w:link w:val="Closing"/>
    <w:rsid w:val="0010488E"/>
    <w:rPr>
      <w:rFonts w:ascii="Arial" w:eastAsia="Times New Roman" w:hAnsi="Arial" w:cs="Times New Roman"/>
      <w:color w:val="000000"/>
      <w:sz w:val="20"/>
      <w:szCs w:val="20"/>
      <w:lang w:val="en-GB"/>
    </w:rPr>
  </w:style>
  <w:style w:type="paragraph" w:styleId="Date">
    <w:name w:val="Date"/>
    <w:basedOn w:val="Normal"/>
    <w:next w:val="Normal"/>
    <w:link w:val="DateChar"/>
    <w:uiPriority w:val="99"/>
    <w:rsid w:val="0010488E"/>
    <w:pPr>
      <w:spacing w:line="300" w:lineRule="auto"/>
    </w:pPr>
    <w:rPr>
      <w:rFonts w:eastAsia="Times New Roman" w:cs="Times New Roman"/>
      <w:color w:val="000000"/>
      <w:szCs w:val="20"/>
      <w:lang w:val="en-GB"/>
    </w:rPr>
  </w:style>
  <w:style w:type="character" w:customStyle="1" w:styleId="DateChar">
    <w:name w:val="Date Char"/>
    <w:basedOn w:val="DefaultParagraphFont"/>
    <w:link w:val="Date"/>
    <w:uiPriority w:val="99"/>
    <w:rsid w:val="0010488E"/>
    <w:rPr>
      <w:rFonts w:ascii="Arial" w:eastAsia="Times New Roman" w:hAnsi="Arial" w:cs="Times New Roman"/>
      <w:color w:val="000000"/>
      <w:sz w:val="20"/>
      <w:szCs w:val="20"/>
      <w:lang w:val="en-GB"/>
    </w:rPr>
  </w:style>
  <w:style w:type="paragraph" w:styleId="DocumentMap">
    <w:name w:val="Document Map"/>
    <w:basedOn w:val="Normal"/>
    <w:link w:val="DocumentMapChar"/>
    <w:uiPriority w:val="99"/>
    <w:rsid w:val="0010488E"/>
    <w:pPr>
      <w:spacing w:after="0" w:line="240" w:lineRule="auto"/>
    </w:pPr>
    <w:rPr>
      <w:rFonts w:ascii="Tahoma" w:eastAsia="Times New Roman" w:hAnsi="Tahoma" w:cs="Tahoma"/>
      <w:color w:val="000000"/>
      <w:sz w:val="16"/>
      <w:szCs w:val="16"/>
      <w:lang w:val="en-GB"/>
    </w:rPr>
  </w:style>
  <w:style w:type="character" w:customStyle="1" w:styleId="DocumentMapChar">
    <w:name w:val="Document Map Char"/>
    <w:basedOn w:val="DefaultParagraphFont"/>
    <w:link w:val="DocumentMap"/>
    <w:uiPriority w:val="99"/>
    <w:rsid w:val="0010488E"/>
    <w:rPr>
      <w:rFonts w:ascii="Tahoma" w:eastAsia="Times New Roman" w:hAnsi="Tahoma" w:cs="Tahoma"/>
      <w:color w:val="000000"/>
      <w:sz w:val="16"/>
      <w:szCs w:val="16"/>
      <w:lang w:val="en-GB"/>
    </w:rPr>
  </w:style>
  <w:style w:type="paragraph" w:styleId="E-mailSignature">
    <w:name w:val="E-mail Signature"/>
    <w:basedOn w:val="Normal"/>
    <w:link w:val="E-mailSignatureChar"/>
    <w:rsid w:val="0010488E"/>
    <w:pPr>
      <w:spacing w:after="0" w:line="240" w:lineRule="auto"/>
    </w:pPr>
    <w:rPr>
      <w:rFonts w:eastAsia="Times New Roman" w:cs="Times New Roman"/>
      <w:color w:val="000000"/>
      <w:szCs w:val="20"/>
      <w:lang w:val="en-GB"/>
    </w:rPr>
  </w:style>
  <w:style w:type="character" w:customStyle="1" w:styleId="E-mailSignatureChar">
    <w:name w:val="E-mail Signature Char"/>
    <w:basedOn w:val="DefaultParagraphFont"/>
    <w:link w:val="E-mailSignature"/>
    <w:rsid w:val="0010488E"/>
    <w:rPr>
      <w:rFonts w:ascii="Arial" w:eastAsia="Times New Roman" w:hAnsi="Arial" w:cs="Times New Roman"/>
      <w:color w:val="000000"/>
      <w:sz w:val="20"/>
      <w:szCs w:val="20"/>
      <w:lang w:val="en-GB"/>
    </w:rPr>
  </w:style>
  <w:style w:type="paragraph" w:styleId="EnvelopeAddress">
    <w:name w:val="envelope address"/>
    <w:basedOn w:val="Normal"/>
    <w:rsid w:val="0010488E"/>
    <w:pPr>
      <w:framePr w:w="7920" w:h="1980" w:hRule="exact" w:hSpace="180" w:wrap="auto" w:hAnchor="page" w:xAlign="center" w:yAlign="bottom"/>
      <w:spacing w:after="0" w:line="240" w:lineRule="auto"/>
      <w:ind w:left="2880"/>
    </w:pPr>
    <w:rPr>
      <w:rFonts w:asciiTheme="majorHAnsi" w:eastAsiaTheme="majorEastAsia" w:hAnsiTheme="majorHAnsi" w:cstheme="majorBidi"/>
      <w:color w:val="000000"/>
      <w:sz w:val="24"/>
      <w:lang w:val="en-GB"/>
    </w:rPr>
  </w:style>
  <w:style w:type="paragraph" w:styleId="EnvelopeReturn">
    <w:name w:val="envelope return"/>
    <w:basedOn w:val="Normal"/>
    <w:rsid w:val="0010488E"/>
    <w:pPr>
      <w:spacing w:after="0" w:line="240" w:lineRule="auto"/>
    </w:pPr>
    <w:rPr>
      <w:rFonts w:asciiTheme="majorHAnsi" w:eastAsiaTheme="majorEastAsia" w:hAnsiTheme="majorHAnsi" w:cstheme="majorBidi"/>
      <w:color w:val="000000"/>
      <w:szCs w:val="20"/>
      <w:lang w:val="en-GB"/>
    </w:rPr>
  </w:style>
  <w:style w:type="paragraph" w:styleId="HTMLAddress">
    <w:name w:val="HTML Address"/>
    <w:basedOn w:val="Normal"/>
    <w:link w:val="HTMLAddressChar"/>
    <w:rsid w:val="0010488E"/>
    <w:pPr>
      <w:spacing w:after="0" w:line="240" w:lineRule="auto"/>
    </w:pPr>
    <w:rPr>
      <w:rFonts w:eastAsia="Times New Roman" w:cs="Times New Roman"/>
      <w:i/>
      <w:iCs/>
      <w:color w:val="000000"/>
      <w:szCs w:val="20"/>
      <w:lang w:val="en-GB"/>
    </w:rPr>
  </w:style>
  <w:style w:type="character" w:customStyle="1" w:styleId="HTMLAddressChar">
    <w:name w:val="HTML Address Char"/>
    <w:basedOn w:val="DefaultParagraphFont"/>
    <w:link w:val="HTMLAddress"/>
    <w:rsid w:val="0010488E"/>
    <w:rPr>
      <w:rFonts w:ascii="Arial" w:eastAsia="Times New Roman" w:hAnsi="Arial" w:cs="Times New Roman"/>
      <w:i/>
      <w:iCs/>
      <w:color w:val="000000"/>
      <w:sz w:val="20"/>
      <w:szCs w:val="20"/>
      <w:lang w:val="en-GB"/>
    </w:rPr>
  </w:style>
  <w:style w:type="paragraph" w:styleId="HTMLPreformatted">
    <w:name w:val="HTML Preformatted"/>
    <w:basedOn w:val="Normal"/>
    <w:link w:val="HTMLPreformattedChar"/>
    <w:rsid w:val="0010488E"/>
    <w:pPr>
      <w:spacing w:after="0" w:line="240" w:lineRule="auto"/>
    </w:pPr>
    <w:rPr>
      <w:rFonts w:ascii="Consolas" w:eastAsia="Times New Roman" w:hAnsi="Consolas" w:cs="Times New Roman"/>
      <w:color w:val="000000"/>
      <w:szCs w:val="20"/>
      <w:lang w:val="en-GB"/>
    </w:rPr>
  </w:style>
  <w:style w:type="character" w:customStyle="1" w:styleId="HTMLPreformattedChar">
    <w:name w:val="HTML Preformatted Char"/>
    <w:basedOn w:val="DefaultParagraphFont"/>
    <w:link w:val="HTMLPreformatted"/>
    <w:rsid w:val="0010488E"/>
    <w:rPr>
      <w:rFonts w:ascii="Consolas" w:eastAsia="Times New Roman" w:hAnsi="Consolas" w:cs="Times New Roman"/>
      <w:color w:val="000000"/>
      <w:sz w:val="20"/>
      <w:szCs w:val="20"/>
      <w:lang w:val="en-GB"/>
    </w:rPr>
  </w:style>
  <w:style w:type="paragraph" w:styleId="Index1">
    <w:name w:val="index 1"/>
    <w:basedOn w:val="Normal"/>
    <w:next w:val="Normal"/>
    <w:autoRedefine/>
    <w:rsid w:val="0010488E"/>
    <w:pPr>
      <w:spacing w:after="0" w:line="240" w:lineRule="auto"/>
      <w:ind w:left="200" w:hanging="200"/>
    </w:pPr>
    <w:rPr>
      <w:rFonts w:eastAsia="Times New Roman" w:cs="Times New Roman"/>
      <w:color w:val="000000"/>
      <w:szCs w:val="20"/>
      <w:lang w:val="en-GB"/>
    </w:rPr>
  </w:style>
  <w:style w:type="paragraph" w:styleId="Index2">
    <w:name w:val="index 2"/>
    <w:basedOn w:val="Normal"/>
    <w:next w:val="Normal"/>
    <w:autoRedefine/>
    <w:rsid w:val="0010488E"/>
    <w:pPr>
      <w:spacing w:after="0" w:line="240" w:lineRule="auto"/>
      <w:ind w:left="400" w:hanging="200"/>
    </w:pPr>
    <w:rPr>
      <w:rFonts w:eastAsia="Times New Roman" w:cs="Times New Roman"/>
      <w:color w:val="000000"/>
      <w:szCs w:val="20"/>
      <w:lang w:val="en-GB"/>
    </w:rPr>
  </w:style>
  <w:style w:type="paragraph" w:styleId="Index3">
    <w:name w:val="index 3"/>
    <w:basedOn w:val="Normal"/>
    <w:next w:val="Normal"/>
    <w:autoRedefine/>
    <w:rsid w:val="0010488E"/>
    <w:pPr>
      <w:spacing w:after="0" w:line="240" w:lineRule="auto"/>
      <w:ind w:left="600" w:hanging="200"/>
    </w:pPr>
    <w:rPr>
      <w:rFonts w:eastAsia="Times New Roman" w:cs="Times New Roman"/>
      <w:color w:val="000000"/>
      <w:szCs w:val="20"/>
      <w:lang w:val="en-GB"/>
    </w:rPr>
  </w:style>
  <w:style w:type="paragraph" w:styleId="Index4">
    <w:name w:val="index 4"/>
    <w:basedOn w:val="Normal"/>
    <w:next w:val="Normal"/>
    <w:autoRedefine/>
    <w:rsid w:val="0010488E"/>
    <w:pPr>
      <w:spacing w:after="0" w:line="240" w:lineRule="auto"/>
      <w:ind w:left="800" w:hanging="200"/>
    </w:pPr>
    <w:rPr>
      <w:rFonts w:eastAsia="Times New Roman" w:cs="Times New Roman"/>
      <w:color w:val="000000"/>
      <w:szCs w:val="20"/>
      <w:lang w:val="en-GB"/>
    </w:rPr>
  </w:style>
  <w:style w:type="paragraph" w:styleId="Index5">
    <w:name w:val="index 5"/>
    <w:basedOn w:val="Normal"/>
    <w:next w:val="Normal"/>
    <w:autoRedefine/>
    <w:rsid w:val="0010488E"/>
    <w:pPr>
      <w:spacing w:after="0" w:line="240" w:lineRule="auto"/>
      <w:ind w:left="1000" w:hanging="200"/>
    </w:pPr>
    <w:rPr>
      <w:rFonts w:eastAsia="Times New Roman" w:cs="Times New Roman"/>
      <w:color w:val="000000"/>
      <w:szCs w:val="20"/>
      <w:lang w:val="en-GB"/>
    </w:rPr>
  </w:style>
  <w:style w:type="paragraph" w:styleId="Index6">
    <w:name w:val="index 6"/>
    <w:basedOn w:val="Normal"/>
    <w:next w:val="Normal"/>
    <w:autoRedefine/>
    <w:rsid w:val="0010488E"/>
    <w:pPr>
      <w:spacing w:after="0" w:line="240" w:lineRule="auto"/>
      <w:ind w:left="1200" w:hanging="200"/>
    </w:pPr>
    <w:rPr>
      <w:rFonts w:eastAsia="Times New Roman" w:cs="Times New Roman"/>
      <w:color w:val="000000"/>
      <w:szCs w:val="20"/>
      <w:lang w:val="en-GB"/>
    </w:rPr>
  </w:style>
  <w:style w:type="paragraph" w:styleId="Index7">
    <w:name w:val="index 7"/>
    <w:basedOn w:val="Normal"/>
    <w:next w:val="Normal"/>
    <w:autoRedefine/>
    <w:rsid w:val="0010488E"/>
    <w:pPr>
      <w:spacing w:after="0" w:line="240" w:lineRule="auto"/>
      <w:ind w:left="1400" w:hanging="200"/>
    </w:pPr>
    <w:rPr>
      <w:rFonts w:eastAsia="Times New Roman" w:cs="Times New Roman"/>
      <w:color w:val="000000"/>
      <w:szCs w:val="20"/>
      <w:lang w:val="en-GB"/>
    </w:rPr>
  </w:style>
  <w:style w:type="paragraph" w:styleId="Index8">
    <w:name w:val="index 8"/>
    <w:basedOn w:val="Normal"/>
    <w:next w:val="Normal"/>
    <w:autoRedefine/>
    <w:rsid w:val="0010488E"/>
    <w:pPr>
      <w:spacing w:after="0" w:line="240" w:lineRule="auto"/>
      <w:ind w:left="1600" w:hanging="200"/>
    </w:pPr>
    <w:rPr>
      <w:rFonts w:eastAsia="Times New Roman" w:cs="Times New Roman"/>
      <w:color w:val="000000"/>
      <w:szCs w:val="20"/>
      <w:lang w:val="en-GB"/>
    </w:rPr>
  </w:style>
  <w:style w:type="paragraph" w:styleId="Index9">
    <w:name w:val="index 9"/>
    <w:basedOn w:val="Normal"/>
    <w:next w:val="Normal"/>
    <w:autoRedefine/>
    <w:rsid w:val="0010488E"/>
    <w:pPr>
      <w:spacing w:after="0" w:line="240" w:lineRule="auto"/>
      <w:ind w:left="1800" w:hanging="200"/>
    </w:pPr>
    <w:rPr>
      <w:rFonts w:eastAsia="Times New Roman" w:cs="Times New Roman"/>
      <w:color w:val="000000"/>
      <w:szCs w:val="20"/>
      <w:lang w:val="en-GB"/>
    </w:rPr>
  </w:style>
  <w:style w:type="paragraph" w:styleId="IndexHeading">
    <w:name w:val="index heading"/>
    <w:basedOn w:val="Normal"/>
    <w:next w:val="Index1"/>
    <w:rsid w:val="0010488E"/>
    <w:pPr>
      <w:spacing w:line="300" w:lineRule="auto"/>
    </w:pPr>
    <w:rPr>
      <w:rFonts w:asciiTheme="majorHAnsi" w:eastAsiaTheme="majorEastAsia" w:hAnsiTheme="majorHAnsi" w:cstheme="majorBidi"/>
      <w:b/>
      <w:bCs/>
      <w:color w:val="000000"/>
      <w:szCs w:val="20"/>
      <w:lang w:val="en-GB"/>
    </w:rPr>
  </w:style>
  <w:style w:type="paragraph" w:styleId="List">
    <w:name w:val="List"/>
    <w:basedOn w:val="Normal"/>
    <w:rsid w:val="0010488E"/>
    <w:pPr>
      <w:spacing w:line="300" w:lineRule="auto"/>
      <w:ind w:left="283" w:hanging="283"/>
      <w:contextualSpacing/>
    </w:pPr>
    <w:rPr>
      <w:rFonts w:eastAsia="Times New Roman" w:cs="Times New Roman"/>
      <w:color w:val="000000"/>
      <w:szCs w:val="20"/>
      <w:lang w:val="en-GB"/>
    </w:rPr>
  </w:style>
  <w:style w:type="paragraph" w:styleId="List2">
    <w:name w:val="List 2"/>
    <w:basedOn w:val="Normal"/>
    <w:rsid w:val="0010488E"/>
    <w:pPr>
      <w:spacing w:line="300" w:lineRule="auto"/>
      <w:ind w:left="566" w:hanging="283"/>
      <w:contextualSpacing/>
    </w:pPr>
    <w:rPr>
      <w:rFonts w:eastAsia="Times New Roman" w:cs="Times New Roman"/>
      <w:color w:val="000000"/>
      <w:szCs w:val="20"/>
      <w:lang w:val="en-GB"/>
    </w:rPr>
  </w:style>
  <w:style w:type="paragraph" w:styleId="List3">
    <w:name w:val="List 3"/>
    <w:basedOn w:val="Normal"/>
    <w:rsid w:val="0010488E"/>
    <w:pPr>
      <w:spacing w:line="300" w:lineRule="auto"/>
      <w:ind w:left="849" w:hanging="283"/>
      <w:contextualSpacing/>
    </w:pPr>
    <w:rPr>
      <w:rFonts w:eastAsia="Times New Roman" w:cs="Times New Roman"/>
      <w:color w:val="000000"/>
      <w:szCs w:val="20"/>
      <w:lang w:val="en-GB"/>
    </w:rPr>
  </w:style>
  <w:style w:type="paragraph" w:styleId="List4">
    <w:name w:val="List 4"/>
    <w:basedOn w:val="Normal"/>
    <w:rsid w:val="0010488E"/>
    <w:pPr>
      <w:spacing w:line="300" w:lineRule="auto"/>
      <w:ind w:left="1132" w:hanging="283"/>
      <w:contextualSpacing/>
    </w:pPr>
    <w:rPr>
      <w:rFonts w:eastAsia="Times New Roman" w:cs="Times New Roman"/>
      <w:color w:val="000000"/>
      <w:szCs w:val="20"/>
      <w:lang w:val="en-GB"/>
    </w:rPr>
  </w:style>
  <w:style w:type="paragraph" w:styleId="List5">
    <w:name w:val="List 5"/>
    <w:basedOn w:val="Normal"/>
    <w:rsid w:val="0010488E"/>
    <w:pPr>
      <w:spacing w:line="300" w:lineRule="auto"/>
      <w:ind w:left="1415" w:hanging="283"/>
      <w:contextualSpacing/>
    </w:pPr>
    <w:rPr>
      <w:rFonts w:eastAsia="Times New Roman" w:cs="Times New Roman"/>
      <w:color w:val="000000"/>
      <w:szCs w:val="20"/>
      <w:lang w:val="en-GB"/>
    </w:rPr>
  </w:style>
  <w:style w:type="paragraph" w:styleId="ListBullet2">
    <w:name w:val="List Bullet 2"/>
    <w:basedOn w:val="Normal"/>
    <w:uiPriority w:val="99"/>
    <w:rsid w:val="0010488E"/>
    <w:pPr>
      <w:numPr>
        <w:numId w:val="50"/>
      </w:numPr>
      <w:spacing w:line="300" w:lineRule="auto"/>
      <w:contextualSpacing/>
    </w:pPr>
    <w:rPr>
      <w:rFonts w:eastAsia="Times New Roman" w:cs="Times New Roman"/>
      <w:color w:val="000000"/>
      <w:szCs w:val="20"/>
      <w:lang w:val="en-GB"/>
    </w:rPr>
  </w:style>
  <w:style w:type="paragraph" w:styleId="ListBullet3">
    <w:name w:val="List Bullet 3"/>
    <w:basedOn w:val="Normal"/>
    <w:rsid w:val="0010488E"/>
    <w:pPr>
      <w:numPr>
        <w:numId w:val="51"/>
      </w:numPr>
      <w:spacing w:line="300" w:lineRule="auto"/>
      <w:contextualSpacing/>
    </w:pPr>
    <w:rPr>
      <w:rFonts w:eastAsia="Times New Roman" w:cs="Times New Roman"/>
      <w:color w:val="000000"/>
      <w:szCs w:val="20"/>
      <w:lang w:val="en-GB"/>
    </w:rPr>
  </w:style>
  <w:style w:type="paragraph" w:styleId="ListBullet4">
    <w:name w:val="List Bullet 4"/>
    <w:basedOn w:val="Normal"/>
    <w:rsid w:val="0010488E"/>
    <w:pPr>
      <w:numPr>
        <w:numId w:val="52"/>
      </w:numPr>
      <w:spacing w:line="300" w:lineRule="auto"/>
      <w:contextualSpacing/>
    </w:pPr>
    <w:rPr>
      <w:rFonts w:eastAsia="Times New Roman" w:cs="Times New Roman"/>
      <w:color w:val="000000"/>
      <w:szCs w:val="20"/>
      <w:lang w:val="en-GB"/>
    </w:rPr>
  </w:style>
  <w:style w:type="paragraph" w:styleId="ListBullet5">
    <w:name w:val="List Bullet 5"/>
    <w:basedOn w:val="Normal"/>
    <w:rsid w:val="0010488E"/>
    <w:pPr>
      <w:numPr>
        <w:numId w:val="53"/>
      </w:numPr>
      <w:spacing w:line="300" w:lineRule="auto"/>
      <w:contextualSpacing/>
    </w:pPr>
    <w:rPr>
      <w:rFonts w:eastAsia="Times New Roman" w:cs="Times New Roman"/>
      <w:color w:val="000000"/>
      <w:szCs w:val="20"/>
      <w:lang w:val="en-GB"/>
    </w:rPr>
  </w:style>
  <w:style w:type="paragraph" w:styleId="ListContinue">
    <w:name w:val="List Continue"/>
    <w:basedOn w:val="Normal"/>
    <w:rsid w:val="0010488E"/>
    <w:pPr>
      <w:spacing w:after="120" w:line="300" w:lineRule="auto"/>
      <w:ind w:left="283"/>
      <w:contextualSpacing/>
    </w:pPr>
    <w:rPr>
      <w:rFonts w:eastAsia="Times New Roman" w:cs="Times New Roman"/>
      <w:color w:val="000000"/>
      <w:szCs w:val="20"/>
      <w:lang w:val="en-GB"/>
    </w:rPr>
  </w:style>
  <w:style w:type="paragraph" w:styleId="ListContinue2">
    <w:name w:val="List Continue 2"/>
    <w:basedOn w:val="Normal"/>
    <w:rsid w:val="0010488E"/>
    <w:pPr>
      <w:spacing w:after="120" w:line="300" w:lineRule="auto"/>
      <w:ind w:left="566"/>
      <w:contextualSpacing/>
    </w:pPr>
    <w:rPr>
      <w:rFonts w:eastAsia="Times New Roman" w:cs="Times New Roman"/>
      <w:color w:val="000000"/>
      <w:szCs w:val="20"/>
      <w:lang w:val="en-GB"/>
    </w:rPr>
  </w:style>
  <w:style w:type="paragraph" w:styleId="ListContinue3">
    <w:name w:val="List Continue 3"/>
    <w:basedOn w:val="Normal"/>
    <w:rsid w:val="0010488E"/>
    <w:pPr>
      <w:spacing w:after="120" w:line="300" w:lineRule="auto"/>
      <w:ind w:left="849"/>
      <w:contextualSpacing/>
    </w:pPr>
    <w:rPr>
      <w:rFonts w:eastAsia="Times New Roman" w:cs="Times New Roman"/>
      <w:color w:val="000000"/>
      <w:szCs w:val="20"/>
      <w:lang w:val="en-GB"/>
    </w:rPr>
  </w:style>
  <w:style w:type="paragraph" w:styleId="ListContinue4">
    <w:name w:val="List Continue 4"/>
    <w:basedOn w:val="Normal"/>
    <w:rsid w:val="0010488E"/>
    <w:pPr>
      <w:spacing w:after="120" w:line="300" w:lineRule="auto"/>
      <w:ind w:left="1132"/>
      <w:contextualSpacing/>
    </w:pPr>
    <w:rPr>
      <w:rFonts w:eastAsia="Times New Roman" w:cs="Times New Roman"/>
      <w:color w:val="000000"/>
      <w:szCs w:val="20"/>
      <w:lang w:val="en-GB"/>
    </w:rPr>
  </w:style>
  <w:style w:type="paragraph" w:styleId="ListContinue5">
    <w:name w:val="List Continue 5"/>
    <w:basedOn w:val="Normal"/>
    <w:rsid w:val="0010488E"/>
    <w:pPr>
      <w:spacing w:after="120" w:line="300" w:lineRule="auto"/>
      <w:ind w:left="1415"/>
      <w:contextualSpacing/>
    </w:pPr>
    <w:rPr>
      <w:rFonts w:eastAsia="Times New Roman" w:cs="Times New Roman"/>
      <w:color w:val="000000"/>
      <w:szCs w:val="20"/>
      <w:lang w:val="en-GB"/>
    </w:rPr>
  </w:style>
  <w:style w:type="paragraph" w:styleId="ListNumber">
    <w:name w:val="List Number"/>
    <w:basedOn w:val="Normal"/>
    <w:rsid w:val="0010488E"/>
    <w:pPr>
      <w:numPr>
        <w:numId w:val="54"/>
      </w:numPr>
      <w:spacing w:line="300" w:lineRule="auto"/>
      <w:contextualSpacing/>
    </w:pPr>
    <w:rPr>
      <w:rFonts w:eastAsia="Times New Roman" w:cs="Times New Roman"/>
      <w:color w:val="000000"/>
      <w:szCs w:val="20"/>
      <w:lang w:val="en-GB"/>
    </w:rPr>
  </w:style>
  <w:style w:type="paragraph" w:styleId="ListNumber2">
    <w:name w:val="List Number 2"/>
    <w:basedOn w:val="Normal"/>
    <w:rsid w:val="0010488E"/>
    <w:pPr>
      <w:numPr>
        <w:numId w:val="55"/>
      </w:numPr>
      <w:spacing w:line="300" w:lineRule="auto"/>
      <w:contextualSpacing/>
    </w:pPr>
    <w:rPr>
      <w:rFonts w:eastAsia="Times New Roman" w:cs="Times New Roman"/>
      <w:color w:val="000000"/>
      <w:szCs w:val="20"/>
      <w:lang w:val="en-GB"/>
    </w:rPr>
  </w:style>
  <w:style w:type="paragraph" w:styleId="ListNumber3">
    <w:name w:val="List Number 3"/>
    <w:basedOn w:val="Normal"/>
    <w:uiPriority w:val="99"/>
    <w:rsid w:val="0010488E"/>
    <w:pPr>
      <w:numPr>
        <w:numId w:val="56"/>
      </w:numPr>
      <w:spacing w:line="300" w:lineRule="auto"/>
      <w:contextualSpacing/>
    </w:pPr>
    <w:rPr>
      <w:rFonts w:eastAsia="Times New Roman" w:cs="Times New Roman"/>
      <w:color w:val="000000"/>
      <w:szCs w:val="20"/>
      <w:lang w:val="en-GB"/>
    </w:rPr>
  </w:style>
  <w:style w:type="paragraph" w:styleId="ListNumber4">
    <w:name w:val="List Number 4"/>
    <w:basedOn w:val="Normal"/>
    <w:rsid w:val="0010488E"/>
    <w:pPr>
      <w:numPr>
        <w:numId w:val="57"/>
      </w:numPr>
      <w:spacing w:line="300" w:lineRule="auto"/>
      <w:contextualSpacing/>
    </w:pPr>
    <w:rPr>
      <w:rFonts w:eastAsia="Times New Roman" w:cs="Times New Roman"/>
      <w:color w:val="000000"/>
      <w:szCs w:val="20"/>
      <w:lang w:val="en-GB"/>
    </w:rPr>
  </w:style>
  <w:style w:type="paragraph" w:styleId="ListNumber5">
    <w:name w:val="List Number 5"/>
    <w:basedOn w:val="Normal"/>
    <w:rsid w:val="0010488E"/>
    <w:pPr>
      <w:numPr>
        <w:numId w:val="58"/>
      </w:numPr>
      <w:spacing w:line="300" w:lineRule="auto"/>
      <w:contextualSpacing/>
    </w:pPr>
    <w:rPr>
      <w:rFonts w:eastAsia="Times New Roman" w:cs="Times New Roman"/>
      <w:color w:val="000000"/>
      <w:szCs w:val="20"/>
      <w:lang w:val="en-GB"/>
    </w:rPr>
  </w:style>
  <w:style w:type="paragraph" w:styleId="MacroText">
    <w:name w:val="macro"/>
    <w:link w:val="MacroTextChar"/>
    <w:rsid w:val="0010488E"/>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Times New Roman" w:hAnsi="Consolas" w:cs="Times New Roman"/>
      <w:color w:val="000000"/>
      <w:sz w:val="20"/>
      <w:szCs w:val="20"/>
      <w:lang w:val="en-GB"/>
    </w:rPr>
  </w:style>
  <w:style w:type="character" w:customStyle="1" w:styleId="MacroTextChar">
    <w:name w:val="Macro Text Char"/>
    <w:basedOn w:val="DefaultParagraphFont"/>
    <w:link w:val="MacroText"/>
    <w:rsid w:val="0010488E"/>
    <w:rPr>
      <w:rFonts w:ascii="Consolas" w:eastAsia="Times New Roman" w:hAnsi="Consolas" w:cs="Times New Roman"/>
      <w:color w:val="000000"/>
      <w:sz w:val="20"/>
      <w:szCs w:val="20"/>
      <w:lang w:val="en-GB"/>
    </w:rPr>
  </w:style>
  <w:style w:type="paragraph" w:styleId="MessageHeader">
    <w:name w:val="Message Header"/>
    <w:basedOn w:val="Normal"/>
    <w:link w:val="MessageHeaderChar"/>
    <w:rsid w:val="0010488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000000"/>
      <w:sz w:val="24"/>
      <w:lang w:val="en-GB"/>
    </w:rPr>
  </w:style>
  <w:style w:type="character" w:customStyle="1" w:styleId="MessageHeaderChar">
    <w:name w:val="Message Header Char"/>
    <w:basedOn w:val="DefaultParagraphFont"/>
    <w:link w:val="MessageHeader"/>
    <w:rsid w:val="0010488E"/>
    <w:rPr>
      <w:rFonts w:asciiTheme="majorHAnsi" w:eastAsiaTheme="majorEastAsia" w:hAnsiTheme="majorHAnsi" w:cstheme="majorBidi"/>
      <w:color w:val="000000"/>
      <w:shd w:val="pct20" w:color="auto" w:fill="auto"/>
      <w:lang w:val="en-GB"/>
    </w:rPr>
  </w:style>
  <w:style w:type="paragraph" w:styleId="NoSpacing">
    <w:name w:val="No Spacing"/>
    <w:link w:val="NoSpacingChar"/>
    <w:uiPriority w:val="99"/>
    <w:qFormat/>
    <w:rsid w:val="0010488E"/>
    <w:rPr>
      <w:rFonts w:ascii="Arial" w:eastAsia="Times New Roman" w:hAnsi="Arial" w:cs="Times New Roman"/>
      <w:color w:val="000000"/>
      <w:sz w:val="20"/>
      <w:szCs w:val="20"/>
      <w:lang w:val="en-GB"/>
    </w:rPr>
  </w:style>
  <w:style w:type="paragraph" w:styleId="NormalIndent">
    <w:name w:val="Normal Indent"/>
    <w:basedOn w:val="Normal"/>
    <w:uiPriority w:val="99"/>
    <w:rsid w:val="0010488E"/>
    <w:pPr>
      <w:spacing w:line="300" w:lineRule="auto"/>
      <w:ind w:left="720"/>
    </w:pPr>
    <w:rPr>
      <w:rFonts w:eastAsia="Times New Roman" w:cs="Times New Roman"/>
      <w:color w:val="000000"/>
      <w:szCs w:val="20"/>
      <w:lang w:val="en-GB"/>
    </w:rPr>
  </w:style>
  <w:style w:type="paragraph" w:styleId="NoteHeading">
    <w:name w:val="Note Heading"/>
    <w:basedOn w:val="Normal"/>
    <w:next w:val="Normal"/>
    <w:link w:val="NoteHeadingChar"/>
    <w:rsid w:val="0010488E"/>
    <w:pPr>
      <w:spacing w:after="0" w:line="240" w:lineRule="auto"/>
    </w:pPr>
    <w:rPr>
      <w:rFonts w:eastAsia="Times New Roman" w:cs="Times New Roman"/>
      <w:color w:val="000000"/>
      <w:szCs w:val="20"/>
      <w:lang w:val="en-GB"/>
    </w:rPr>
  </w:style>
  <w:style w:type="character" w:customStyle="1" w:styleId="NoteHeadingChar">
    <w:name w:val="Note Heading Char"/>
    <w:basedOn w:val="DefaultParagraphFont"/>
    <w:link w:val="NoteHeading"/>
    <w:rsid w:val="0010488E"/>
    <w:rPr>
      <w:rFonts w:ascii="Arial" w:eastAsia="Times New Roman" w:hAnsi="Arial" w:cs="Times New Roman"/>
      <w:color w:val="000000"/>
      <w:sz w:val="20"/>
      <w:szCs w:val="20"/>
      <w:lang w:val="en-GB"/>
    </w:rPr>
  </w:style>
  <w:style w:type="paragraph" w:styleId="PlainText">
    <w:name w:val="Plain Text"/>
    <w:basedOn w:val="Normal"/>
    <w:link w:val="PlainTextChar"/>
    <w:rsid w:val="0010488E"/>
    <w:pPr>
      <w:spacing w:after="0" w:line="240" w:lineRule="auto"/>
    </w:pPr>
    <w:rPr>
      <w:rFonts w:ascii="Consolas" w:eastAsia="Times New Roman" w:hAnsi="Consolas" w:cs="Times New Roman"/>
      <w:color w:val="000000"/>
      <w:sz w:val="21"/>
      <w:szCs w:val="21"/>
      <w:lang w:val="en-GB"/>
    </w:rPr>
  </w:style>
  <w:style w:type="character" w:customStyle="1" w:styleId="PlainTextChar">
    <w:name w:val="Plain Text Char"/>
    <w:basedOn w:val="DefaultParagraphFont"/>
    <w:link w:val="PlainText"/>
    <w:rsid w:val="0010488E"/>
    <w:rPr>
      <w:rFonts w:ascii="Consolas" w:eastAsia="Times New Roman" w:hAnsi="Consolas" w:cs="Times New Roman"/>
      <w:color w:val="000000"/>
      <w:sz w:val="21"/>
      <w:szCs w:val="21"/>
      <w:lang w:val="en-GB"/>
    </w:rPr>
  </w:style>
  <w:style w:type="paragraph" w:styleId="Salutation">
    <w:name w:val="Salutation"/>
    <w:basedOn w:val="Normal"/>
    <w:next w:val="Normal"/>
    <w:link w:val="SalutationChar"/>
    <w:rsid w:val="0010488E"/>
    <w:pPr>
      <w:spacing w:line="300" w:lineRule="auto"/>
    </w:pPr>
    <w:rPr>
      <w:rFonts w:eastAsia="Times New Roman" w:cs="Times New Roman"/>
      <w:color w:val="000000"/>
      <w:szCs w:val="20"/>
      <w:lang w:val="en-GB"/>
    </w:rPr>
  </w:style>
  <w:style w:type="character" w:customStyle="1" w:styleId="SalutationChar">
    <w:name w:val="Salutation Char"/>
    <w:basedOn w:val="DefaultParagraphFont"/>
    <w:link w:val="Salutation"/>
    <w:rsid w:val="0010488E"/>
    <w:rPr>
      <w:rFonts w:ascii="Arial" w:eastAsia="Times New Roman" w:hAnsi="Arial" w:cs="Times New Roman"/>
      <w:color w:val="000000"/>
      <w:sz w:val="20"/>
      <w:szCs w:val="20"/>
      <w:lang w:val="en-GB"/>
    </w:rPr>
  </w:style>
  <w:style w:type="paragraph" w:styleId="Signature">
    <w:name w:val="Signature"/>
    <w:basedOn w:val="Normal"/>
    <w:link w:val="SignatureChar"/>
    <w:rsid w:val="0010488E"/>
    <w:pPr>
      <w:spacing w:after="0" w:line="240" w:lineRule="auto"/>
      <w:ind w:left="4252"/>
    </w:pPr>
    <w:rPr>
      <w:rFonts w:eastAsia="Times New Roman" w:cs="Times New Roman"/>
      <w:color w:val="000000"/>
      <w:szCs w:val="20"/>
      <w:lang w:val="en-GB"/>
    </w:rPr>
  </w:style>
  <w:style w:type="character" w:customStyle="1" w:styleId="SignatureChar">
    <w:name w:val="Signature Char"/>
    <w:basedOn w:val="DefaultParagraphFont"/>
    <w:link w:val="Signature"/>
    <w:rsid w:val="0010488E"/>
    <w:rPr>
      <w:rFonts w:ascii="Arial" w:eastAsia="Times New Roman" w:hAnsi="Arial" w:cs="Times New Roman"/>
      <w:color w:val="000000"/>
      <w:sz w:val="20"/>
      <w:szCs w:val="20"/>
      <w:lang w:val="en-GB"/>
    </w:rPr>
  </w:style>
  <w:style w:type="table" w:styleId="MediumShading1-Accent4">
    <w:name w:val="Medium Shading 1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E640" w:themeColor="accent4" w:themeTint="BF"/>
        <w:left w:val="single" w:sz="8" w:space="0" w:color="FFE640" w:themeColor="accent4" w:themeTint="BF"/>
        <w:bottom w:val="single" w:sz="8" w:space="0" w:color="FFE640" w:themeColor="accent4" w:themeTint="BF"/>
        <w:right w:val="single" w:sz="8" w:space="0" w:color="FFE640" w:themeColor="accent4" w:themeTint="BF"/>
        <w:insideH w:val="single" w:sz="8" w:space="0" w:color="FFE640" w:themeColor="accent4" w:themeTint="BF"/>
      </w:tblBorders>
    </w:tblPr>
    <w:tblStylePr w:type="firstRow">
      <w:pPr>
        <w:spacing w:before="0" w:after="0" w:line="240" w:lineRule="auto"/>
      </w:pPr>
      <w:rPr>
        <w:b/>
        <w:bCs/>
        <w:color w:val="FFFFFF" w:themeColor="background1"/>
      </w:rPr>
      <w:tblPr/>
      <w:tcPr>
        <w:tcBorders>
          <w:top w:val="single" w:sz="8" w:space="0" w:color="FFE640" w:themeColor="accent4" w:themeTint="BF"/>
          <w:left w:val="single" w:sz="8" w:space="0" w:color="FFE640" w:themeColor="accent4" w:themeTint="BF"/>
          <w:bottom w:val="single" w:sz="8" w:space="0" w:color="FFE640" w:themeColor="accent4" w:themeTint="BF"/>
          <w:right w:val="single" w:sz="8" w:space="0" w:color="FFE640" w:themeColor="accent4" w:themeTint="BF"/>
          <w:insideH w:val="nil"/>
          <w:insideV w:val="nil"/>
        </w:tcBorders>
        <w:shd w:val="clear" w:color="auto" w:fill="FFDE00" w:themeFill="accent4"/>
      </w:tcPr>
    </w:tblStylePr>
    <w:tblStylePr w:type="lastRow">
      <w:pPr>
        <w:spacing w:before="0" w:after="0" w:line="240" w:lineRule="auto"/>
      </w:pPr>
      <w:rPr>
        <w:b/>
        <w:bCs/>
      </w:rPr>
      <w:tblPr/>
      <w:tcPr>
        <w:tcBorders>
          <w:top w:val="double" w:sz="6" w:space="0" w:color="FFE640" w:themeColor="accent4" w:themeTint="BF"/>
          <w:left w:val="single" w:sz="8" w:space="0" w:color="FFE640" w:themeColor="accent4" w:themeTint="BF"/>
          <w:bottom w:val="single" w:sz="8" w:space="0" w:color="FFE640" w:themeColor="accent4" w:themeTint="BF"/>
          <w:right w:val="single" w:sz="8" w:space="0" w:color="FFE6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C0" w:themeFill="accent4" w:themeFillTint="3F"/>
      </w:tcPr>
    </w:tblStylePr>
    <w:tblStylePr w:type="band1Horz">
      <w:tblPr/>
      <w:tcPr>
        <w:tcBorders>
          <w:insideH w:val="nil"/>
          <w:insideV w:val="nil"/>
        </w:tcBorders>
        <w:shd w:val="clear" w:color="auto" w:fill="FFF6C0" w:themeFill="accent4" w:themeFillTint="3F"/>
      </w:tcPr>
    </w:tblStylePr>
    <w:tblStylePr w:type="band2Horz">
      <w:tblPr/>
      <w:tcPr>
        <w:tcBorders>
          <w:insideH w:val="nil"/>
          <w:insideV w:val="nil"/>
        </w:tcBorders>
      </w:tcPr>
    </w:tblStylePr>
  </w:style>
  <w:style w:type="table" w:styleId="MediumGrid3-Accent4">
    <w:name w:val="Medium Grid 3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E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E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E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E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0" w:themeFill="accent4" w:themeFillTint="7F"/>
      </w:tcPr>
    </w:tblStylePr>
  </w:style>
  <w:style w:type="table" w:styleId="ColorfulGrid-Accent4">
    <w:name w:val="Colorful Grid Accent 4"/>
    <w:basedOn w:val="TableNormal"/>
    <w:uiPriority w:val="73"/>
    <w:rsid w:val="0010488E"/>
    <w:rPr>
      <w:rFonts w:ascii="Times New Roman" w:eastAsia="Times New Roman" w:hAnsi="Times New Roman" w:cs="Times New Roman"/>
      <w:color w:val="000000" w:themeColor="text1"/>
      <w:sz w:val="20"/>
      <w:szCs w:val="20"/>
      <w:lang w:val="en-AU" w:eastAsia="en-AU"/>
    </w:rPr>
    <w:tblPr>
      <w:tblStyleRowBandSize w:val="1"/>
      <w:tblStyleColBandSize w:val="1"/>
      <w:tblBorders>
        <w:insideH w:val="single" w:sz="4" w:space="0" w:color="FFFFFF" w:themeColor="background1"/>
      </w:tblBorders>
    </w:tblPr>
    <w:tcPr>
      <w:shd w:val="clear" w:color="auto" w:fill="FFF8CC" w:themeFill="accent4" w:themeFillTint="33"/>
    </w:tcPr>
    <w:tblStylePr w:type="firstRow">
      <w:rPr>
        <w:b/>
        <w:bCs/>
      </w:rPr>
      <w:tblPr/>
      <w:tcPr>
        <w:shd w:val="clear" w:color="auto" w:fill="FFF199" w:themeFill="accent4" w:themeFillTint="66"/>
      </w:tcPr>
    </w:tblStylePr>
    <w:tblStylePr w:type="lastRow">
      <w:rPr>
        <w:b/>
        <w:bCs/>
        <w:color w:val="000000" w:themeColor="text1"/>
      </w:rPr>
      <w:tblPr/>
      <w:tcPr>
        <w:shd w:val="clear" w:color="auto" w:fill="FFF199" w:themeFill="accent4" w:themeFillTint="66"/>
      </w:tcPr>
    </w:tblStylePr>
    <w:tblStylePr w:type="firstCol">
      <w:rPr>
        <w:color w:val="FFFFFF" w:themeColor="background1"/>
      </w:rPr>
      <w:tblPr/>
      <w:tcPr>
        <w:shd w:val="clear" w:color="auto" w:fill="BFA600" w:themeFill="accent4" w:themeFillShade="BF"/>
      </w:tcPr>
    </w:tblStylePr>
    <w:tblStylePr w:type="lastCol">
      <w:rPr>
        <w:color w:val="FFFFFF" w:themeColor="background1"/>
      </w:rPr>
      <w:tblPr/>
      <w:tcPr>
        <w:shd w:val="clear" w:color="auto" w:fill="BFA600" w:themeFill="accent4" w:themeFillShade="BF"/>
      </w:tcPr>
    </w:tblStylePr>
    <w:tblStylePr w:type="band1Vert">
      <w:tblPr/>
      <w:tcPr>
        <w:shd w:val="clear" w:color="auto" w:fill="FFEE80" w:themeFill="accent4" w:themeFillTint="7F"/>
      </w:tcPr>
    </w:tblStylePr>
    <w:tblStylePr w:type="band1Horz">
      <w:tblPr/>
      <w:tcPr>
        <w:shd w:val="clear" w:color="auto" w:fill="FFEE80" w:themeFill="accent4" w:themeFillTint="7F"/>
      </w:tcPr>
    </w:tblStylePr>
  </w:style>
  <w:style w:type="table" w:styleId="TableColumns2">
    <w:name w:val="Table Columns 2"/>
    <w:basedOn w:val="TableNormal"/>
    <w:rsid w:val="0010488E"/>
    <w:pPr>
      <w:spacing w:after="220" w:line="300" w:lineRule="auto"/>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488E"/>
    <w:rPr>
      <w:rFonts w:ascii="Times New Roman" w:eastAsia="Times New Roman" w:hAnsi="Times New Roman" w:cs="Times New Roman"/>
      <w:sz w:val="20"/>
      <w:szCs w:val="20"/>
      <w:lang w:val="en-AU" w:eastAsia="en-AU"/>
    </w:rPr>
    <w:tblPr/>
  </w:style>
  <w:style w:type="character" w:customStyle="1" w:styleId="Heading2Char14">
    <w:name w:val="Heading 2 Char14"/>
    <w:aliases w:val="h2 main heading Char14,Heading 2 Main Heading Char14,heading 2body Char14,h2 Char14,Attribute Heading 2 Char14,body Char14,test Char14,H2 Char14,l2 Char14,list 2 Char14,list 2 Char14,heading 2TOC Char14,Head 2 Char14,2 Char14,2m Cha"/>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3">
    <w:name w:val="Heading 5 Char113"/>
    <w:aliases w:val="H5 Char14,Appendix Char14,Heading 5 StGeorge Char14,Level 3 - i Char14,Level 5 Char14,L5 Char14,l5+toc5 Char14,(A) Char14,h5 Char14,Sub4Para Char14,Sub-Para a. Char14,h51 Char14,h52 Char14,hd5 Char14,Section Sub Point Char14"/>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3">
    <w:name w:val="Heading 2 Char13"/>
    <w:aliases w:val="h2 main heading Char13,Heading 2 Main Heading Char13,heading 2body Char13,h2 Char13,Attribute Heading 2 Char13,body Char13,test Char13,H2 Char13,l2 Char13,list 2 Char13,list 2 Char13,heading 2TOC Char13,Head 2 Char13,2 Char13,2m Cha4"/>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2">
    <w:name w:val="Heading 5 Char112"/>
    <w:aliases w:val="H5 Char13,Appendix Char13,Heading 5 StGeorge Char13,Level 3 - i Char13,Level 5 Char13,L5 Char13,l5+toc5 Char13,(A) Char13,h5 Char13,Sub4Para Char13,Sub-Para a. Char13,h51 Char13,h52 Char13,hd5 Char13,Section Sub Point Char13"/>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2">
    <w:name w:val="Heading 2 Char12"/>
    <w:aliases w:val="h2 main heading Char12,Heading 2 Main Heading Char12,heading 2body Char12,h2 Char12,Attribute Heading 2 Char12,body Char12,test Char12,H2 Char12,l2 Char12,list 2 Char12,list 2 Char12,heading 2TOC Char12,Head 2 Char12,2 Char12,2m Cha3"/>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1">
    <w:name w:val="Heading 5 Char111"/>
    <w:aliases w:val="H5 Char12,Appendix Char12,Heading 5 StGeorge Char12,Level 3 - i Char12,Level 5 Char12,L5 Char12,l5+toc5 Char12,(A) Char12,h5 Char12,Sub4Para Char12,Sub-Para a. Char12,h51 Char12,h52 Char12,hd5 Char12,Section Sub Point Char12"/>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1">
    <w:name w:val="Heading 2 Char11"/>
    <w:aliases w:val="h2 main heading Char11,Heading 2 Main Heading Char11,heading 2body Char11,h2 Char11,Attribute Heading 2 Char11,body Char11,test Char11,H2 Char11,l2 Char11,list 2 Char11,list 2 Char11,heading 2TOC Char11,Head 2 Char11,2 Char11,2m Cha2"/>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0">
    <w:name w:val="Heading 5 Char110"/>
    <w:aliases w:val="H5 Char11,Appendix Char11,Heading 5 StGeorge Char11,Level 3 - i Char11,Level 5 Char11,L5 Char11,l5+toc5 Char11,(A) Char11,h5 Char11,Sub4Para Char11,Sub-Para a. Char11,h51 Char11,h52 Char11,hd5 Char11,Section Sub Point Char11"/>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0">
    <w:name w:val="Heading 2 Char10"/>
    <w:aliases w:val="h2 main heading Char10,Heading 2 Main Heading Char10,heading 2body Char10,h2 Char10,Attribute Heading 2 Char10,body Char10,test Char10,H2 Char10,l2 Char10,list 2 Char10,list 2 Char10,heading 2TOC Char10,Head 2 Char10,2 Char10,2m Cha1"/>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9">
    <w:name w:val="Heading 5 Char19"/>
    <w:aliases w:val="H5 Char10,Appendix Char10,Heading 5 StGeorge Char10,Level 3 - i Char10,Level 5 Char10,L5 Char10,l5+toc5 Char10,(A) Char10,h5 Char10,Sub4Para Char10,Sub-Para a. Char10,h51 Char10,h52 Char10,hd5 Char10,Section Sub Point Char10"/>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9">
    <w:name w:val="Heading 2 Char9"/>
    <w:aliases w:val="h2 main heading Char9,Heading 2 Main Heading Char9,heading 2body Char9,h2 Char9,Attribute Heading 2 Char9,body Char9,test Char9,H2 Char9,l2 Char9,list 2 Char9,list 2 Char9,heading 2TOC Char9,Head 2 Char9,List level 2 Char9,2 Char9"/>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8">
    <w:name w:val="Heading 5 Char18"/>
    <w:aliases w:val="H5 Char9,Appendix Char9,Heading 5 StGeorge Char9,Level 3 - i Char9,Level 5 Char9,L5 Char9,l5+toc5 Char9,(A) Char9,h5 Char9,Sub4Para Char9,Sub-Para a. Char9,h51 Char9,h52 Char9,hd5 Char9,Section Sub Point Char9,Contents Sub Char9"/>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8">
    <w:name w:val="Heading 2 Char8"/>
    <w:aliases w:val="h2 main heading Char8,Heading 2 Main Heading Char8,heading 2body Char8,h2 Char8,Attribute Heading 2 Char8,body Char8,test Char8,H2 Char8,l2 Char8,list 2 Char8,list 2 Char8,heading 2TOC Char8,Head 2 Char8,List level 2 Char8,2 Char8"/>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7">
    <w:name w:val="Heading 5 Char17"/>
    <w:aliases w:val="H5 Char8,Appendix Char8,Heading 5 StGeorge Char8,Level 3 - i Char8,Level 5 Char8,L5 Char8,l5+toc5 Char8,(A) Char8,h5 Char8,Sub4Para Char8,Sub-Para a. Char8,h51 Char8,h52 Char8,hd5 Char8,Section Sub Point Char8,Contents Sub Char8"/>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7">
    <w:name w:val="Heading 2 Char7"/>
    <w:aliases w:val="h2 main heading Char7,Heading 2 Main Heading Char7,heading 2body Char7,h2 Char7,Attribute Heading 2 Char7,body Char7,test Char7,H2 Char7,l2 Char7,list 2 Char7,list 2 Char7,heading 2TOC Char7,Head 2 Char7,List level 2 Char7,2 Char7"/>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6">
    <w:name w:val="Heading 5 Char16"/>
    <w:aliases w:val="H5 Char7,Appendix Char7,Heading 5 StGeorge Char7,Level 3 - i Char7,Level 5 Char7,L5 Char7,l5+toc5 Char7,(A) Char7,h5 Char7,Sub4Para Char7,Sub-Para a. Char7,h51 Char7,h52 Char7,hd5 Char7,Section Sub Point Char7,Contents Sub Char7"/>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6">
    <w:name w:val="Heading 2 Char6"/>
    <w:aliases w:val="h2 main heading Char6,Heading 2 Main Heading Char6,heading 2body Char6,h2 Char6,Attribute Heading 2 Char6,body Char6,test Char6,H2 Char6,l2 Char6,list 2 Char6,list 2 Char6,heading 2TOC Char6,Head 2 Char6,List level 2 Char6,2 Char6"/>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5">
    <w:name w:val="Heading 5 Char15"/>
    <w:aliases w:val="H5 Char6,Appendix Char6,Heading 5 StGeorge Char6,Level 3 - i Char6,Level 5 Char6,L5 Char6,l5+toc5 Char6,(A) Char6,h5 Char6,Sub4Para Char6,Sub-Para a. Char6,h51 Char6,h52 Char6,hd5 Char6,Section Sub Point Char6,Contents Sub Char6"/>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5">
    <w:name w:val="Heading 2 Char5"/>
    <w:aliases w:val="h2 main heading Char5,Heading 2 Main Heading Char5,heading 2body Char5,h2 Char5,Attribute Heading 2 Char5,body Char5,test Char5,H2 Char5,l2 Char5,list 2 Char5,list 2 Char5,heading 2TOC Char5,Head 2 Char5,List level 2 Char5,2 Char5"/>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4">
    <w:name w:val="Heading 5 Char14"/>
    <w:aliases w:val="H5 Char5,Appendix Char5,Heading 5 StGeorge Char5,Level 3 - i Char5,Level 5 Char5,L5 Char5,l5+toc5 Char5,(A) Char5,h5 Char5,Sub4Para Char5,Sub-Para a. Char5,h51 Char5,h52 Char5,hd5 Char5,Section Sub Point Char5,Contents Sub Char5"/>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4">
    <w:name w:val="Heading 2 Char4"/>
    <w:aliases w:val="h2 main heading Char4,Heading 2 Main Heading Char4,heading 2body Char4,h2 Char4,Attribute Heading 2 Char4,body Char4,test Char4,H2 Char4,l2 Char4,list 2 Char4,list 2 Char4,heading 2TOC Char4,Head 2 Char4,List level 2 Char4,2 Char4"/>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3">
    <w:name w:val="Heading 5 Char13"/>
    <w:aliases w:val="H5 Char4,Appendix Char4,Heading 5 StGeorge Char4,Level 3 - i Char4,Level 5 Char4,L5 Char4,l5+toc5 Char4,(A) Char4,h5 Char4,Sub4Para Char4,Sub-Para a. Char4,h51 Char4,h52 Char4,hd5 Char4,Section Sub Point Char4,Contents Sub Char4"/>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3">
    <w:name w:val="Heading 2 Char3"/>
    <w:aliases w:val="h2 main heading Char3,Heading 2 Main Heading Char3,heading 2body Char3,h2 Char3,Attribute Heading 2 Char3,body Char3,test Char3,H2 Char3,l2 Char3,list 2 Char3,list 2 Char3,heading 2TOC Char3,Head 2 Char3,List level 2 Char3,2 Char3"/>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2">
    <w:name w:val="Heading 5 Char12"/>
    <w:aliases w:val="H5 Char3,Appendix Char3,Heading 5 StGeorge Char3,Level 3 - i Char3,Level 5 Char3,L5 Char3,l5+toc5 Char3,(A) Char3,h5 Char3,Sub4Para Char3,Sub-Para a. Char3,h51 Char3,h52 Char3,hd5 Char3,Section Sub Point Char3,Contents Sub Char3"/>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2">
    <w:name w:val="Heading 2 Char2"/>
    <w:aliases w:val="h2 main heading Char2,Heading 2 Main Heading Char2,heading 2body Char2,h2 Char2,Attribute Heading 2 Char2,body Char2,test Char2,H2 Char2,l2 Char2,list 2 Char2,list 2 Char2,heading 2TOC Char2,Head 2 Char2,List level 2 Char2,2 Char2"/>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
    <w:name w:val="Heading 5 Char11"/>
    <w:aliases w:val="H5 Char2,Appendix Char2,Heading 5 StGeorge Char2,Level 3 - i Char2,Level 5 Char2,L5 Char2,l5+toc5 Char2,(A) Char2,h5 Char2,Sub4Para Char2,Sub-Para a. Char2,h51 Char2,h52 Char2,hd5 Char2,Section Sub Point Char2,Contents Sub Char2"/>
    <w:basedOn w:val="DefaultParagraphFont"/>
    <w:uiPriority w:val="99"/>
    <w:semiHidden/>
    <w:locked/>
    <w:rsid w:val="0010488E"/>
    <w:rPr>
      <w:rFonts w:ascii="Calibri" w:hAnsi="Calibri" w:cs="Times New Roman"/>
      <w:b/>
      <w:bCs/>
      <w:i/>
      <w:iCs/>
      <w:color w:val="000000"/>
      <w:sz w:val="26"/>
      <w:szCs w:val="26"/>
      <w:lang w:val="en-GB" w:eastAsia="en-US"/>
    </w:rPr>
  </w:style>
  <w:style w:type="paragraph" w:customStyle="1" w:styleId="BasicParagraph">
    <w:name w:val="[Basic Paragraph]"/>
    <w:basedOn w:val="Normal"/>
    <w:uiPriority w:val="99"/>
    <w:rsid w:val="0010488E"/>
    <w:pPr>
      <w:autoSpaceDE w:val="0"/>
      <w:autoSpaceDN w:val="0"/>
      <w:adjustRightInd w:val="0"/>
      <w:spacing w:after="0" w:line="288" w:lineRule="auto"/>
      <w:textAlignment w:val="center"/>
    </w:pPr>
    <w:rPr>
      <w:rFonts w:ascii="Times New Roman" w:eastAsia="Times New Roman" w:hAnsi="Times New Roman" w:cs="Times New Roman"/>
      <w:color w:val="000000"/>
      <w:sz w:val="24"/>
      <w:lang w:val="en-GB" w:eastAsia="en-AU"/>
    </w:rPr>
  </w:style>
  <w:style w:type="character" w:customStyle="1" w:styleId="StyleArialBlack9ptCustomColorRGB0176202">
    <w:name w:val="Style Arial Black 9 pt Custom Color(RGB(0176202))"/>
    <w:basedOn w:val="DefaultParagraphFont"/>
    <w:uiPriority w:val="99"/>
    <w:rsid w:val="0010488E"/>
    <w:rPr>
      <w:rFonts w:ascii="Arial Black" w:hAnsi="Arial Black" w:cs="Times New Roman"/>
      <w:color w:val="E36C0A"/>
      <w:sz w:val="18"/>
    </w:rPr>
  </w:style>
  <w:style w:type="paragraph" w:customStyle="1" w:styleId="FormText">
    <w:name w:val="FormText"/>
    <w:basedOn w:val="Normal"/>
    <w:link w:val="FormTextChar"/>
    <w:uiPriority w:val="99"/>
    <w:rsid w:val="0010488E"/>
    <w:pPr>
      <w:spacing w:after="0" w:line="240" w:lineRule="auto"/>
    </w:pPr>
    <w:rPr>
      <w:rFonts w:eastAsia="Times New Roman" w:cs="Times New Roman"/>
      <w:szCs w:val="20"/>
      <w:lang w:eastAsia="en-AU"/>
    </w:rPr>
  </w:style>
  <w:style w:type="character" w:customStyle="1" w:styleId="FormTextChar">
    <w:name w:val="FormText Char"/>
    <w:basedOn w:val="DefaultParagraphFont"/>
    <w:link w:val="FormText"/>
    <w:uiPriority w:val="99"/>
    <w:locked/>
    <w:rsid w:val="0010488E"/>
    <w:rPr>
      <w:rFonts w:ascii="Arial" w:eastAsia="Times New Roman" w:hAnsi="Arial" w:cs="Times New Roman"/>
      <w:sz w:val="20"/>
      <w:szCs w:val="20"/>
      <w:lang w:val="en-AU" w:eastAsia="en-AU"/>
    </w:rPr>
  </w:style>
  <w:style w:type="paragraph" w:customStyle="1" w:styleId="RSHeader">
    <w:name w:val="RS Header"/>
    <w:basedOn w:val="Heading1"/>
    <w:uiPriority w:val="99"/>
    <w:rsid w:val="0010488E"/>
    <w:pPr>
      <w:pageBreakBefore w:val="0"/>
      <w:numPr>
        <w:numId w:val="0"/>
      </w:numPr>
      <w:tabs>
        <w:tab w:val="right" w:pos="360"/>
      </w:tabs>
      <w:spacing w:before="120" w:line="240" w:lineRule="auto"/>
      <w:jc w:val="center"/>
    </w:pPr>
    <w:rPr>
      <w:rFonts w:eastAsia="Times New Roman" w:cs="Times New Roman"/>
      <w:bCs w:val="0"/>
      <w:caps/>
      <w:color w:val="auto"/>
      <w:kern w:val="28"/>
      <w:sz w:val="26"/>
      <w:szCs w:val="20"/>
    </w:rPr>
  </w:style>
  <w:style w:type="paragraph" w:customStyle="1" w:styleId="BodyTextTable">
    <w:name w:val="Body Text Table"/>
    <w:uiPriority w:val="99"/>
    <w:rsid w:val="0010488E"/>
    <w:pPr>
      <w:spacing w:before="120" w:after="120"/>
    </w:pPr>
    <w:rPr>
      <w:rFonts w:ascii="Arial" w:eastAsia="Times New Roman" w:hAnsi="Arial" w:cs="Times New Roman"/>
      <w:sz w:val="20"/>
      <w:szCs w:val="20"/>
      <w:lang w:val="en-AU" w:eastAsia="en-AU"/>
    </w:rPr>
  </w:style>
  <w:style w:type="paragraph" w:customStyle="1" w:styleId="RFQTableHeading2">
    <w:name w:val="RFQ Table Heading 2"/>
    <w:next w:val="BodyText"/>
    <w:uiPriority w:val="99"/>
    <w:rsid w:val="0010488E"/>
    <w:pPr>
      <w:spacing w:before="20" w:after="20"/>
    </w:pPr>
    <w:rPr>
      <w:rFonts w:ascii="Arial" w:eastAsia="Times New Roman" w:hAnsi="Arial" w:cs="Times New Roman"/>
      <w:b/>
      <w:sz w:val="20"/>
      <w:szCs w:val="20"/>
      <w:lang w:val="en-AU" w:eastAsia="en-AU"/>
    </w:rPr>
  </w:style>
  <w:style w:type="paragraph" w:customStyle="1" w:styleId="RFQTableHeading1">
    <w:name w:val="RFQ Table Heading 1"/>
    <w:next w:val="BodyText"/>
    <w:uiPriority w:val="99"/>
    <w:rsid w:val="0010488E"/>
    <w:pPr>
      <w:spacing w:before="60" w:after="60"/>
    </w:pPr>
    <w:rPr>
      <w:rFonts w:ascii="Arial" w:eastAsia="Times New Roman" w:hAnsi="Arial" w:cs="Times New Roman"/>
      <w:b/>
      <w:i/>
      <w:szCs w:val="20"/>
      <w:lang w:val="en-AU"/>
    </w:rPr>
  </w:style>
  <w:style w:type="paragraph" w:customStyle="1" w:styleId="StyleSCHEDULECentre">
    <w:name w:val="Style SCHEDULE + Centre"/>
    <w:basedOn w:val="Normal"/>
    <w:link w:val="StyleSCHEDULECentreChar"/>
    <w:uiPriority w:val="99"/>
    <w:rsid w:val="0010488E"/>
    <w:pPr>
      <w:numPr>
        <w:numId w:val="59"/>
      </w:numPr>
      <w:spacing w:before="60" w:after="60" w:line="240" w:lineRule="auto"/>
      <w:jc w:val="center"/>
    </w:pPr>
    <w:rPr>
      <w:rFonts w:ascii="Tahoma" w:eastAsia="Times New Roman" w:hAnsi="Tahoma" w:cs="Times New Roman"/>
      <w:b/>
      <w:bCs/>
      <w:spacing w:val="-2"/>
      <w:szCs w:val="20"/>
      <w:lang w:eastAsia="en-AU"/>
    </w:rPr>
  </w:style>
  <w:style w:type="character" w:customStyle="1" w:styleId="StyleSCHEDULECentreChar">
    <w:name w:val="Style SCHEDULE + Centre Char"/>
    <w:basedOn w:val="DefaultParagraphFont"/>
    <w:link w:val="StyleSCHEDULECentre"/>
    <w:uiPriority w:val="99"/>
    <w:locked/>
    <w:rsid w:val="0010488E"/>
    <w:rPr>
      <w:rFonts w:ascii="Tahoma" w:eastAsia="Times New Roman" w:hAnsi="Tahoma" w:cs="Times New Roman"/>
      <w:b/>
      <w:bCs/>
      <w:spacing w:val="-2"/>
      <w:sz w:val="20"/>
      <w:szCs w:val="20"/>
      <w:lang w:val="en-AU" w:eastAsia="en-AU"/>
    </w:rPr>
  </w:style>
  <w:style w:type="paragraph" w:customStyle="1" w:styleId="Schedule2">
    <w:name w:val="Schedule 2"/>
    <w:basedOn w:val="Heading2"/>
    <w:next w:val="Normal"/>
    <w:link w:val="Schedule2Char"/>
    <w:uiPriority w:val="99"/>
    <w:rsid w:val="0010488E"/>
    <w:pPr>
      <w:keepLines w:val="0"/>
      <w:numPr>
        <w:numId w:val="59"/>
      </w:numPr>
      <w:tabs>
        <w:tab w:val="left" w:pos="567"/>
        <w:tab w:val="num" w:pos="1440"/>
      </w:tabs>
      <w:spacing w:after="60" w:line="240" w:lineRule="auto"/>
      <w:ind w:left="0" w:firstLine="0"/>
    </w:pPr>
    <w:rPr>
      <w:rFonts w:ascii="Tahoma" w:eastAsia="Times New Roman" w:hAnsi="Tahoma" w:cs="Tahoma"/>
      <w:bCs w:val="0"/>
      <w:color w:val="auto"/>
      <w:sz w:val="20"/>
      <w:szCs w:val="20"/>
      <w:lang w:eastAsia="en-AU"/>
    </w:rPr>
  </w:style>
  <w:style w:type="character" w:customStyle="1" w:styleId="Schedule2Char">
    <w:name w:val="Schedule 2 Char"/>
    <w:basedOn w:val="DefaultParagraphFont"/>
    <w:link w:val="Schedule2"/>
    <w:uiPriority w:val="99"/>
    <w:locked/>
    <w:rsid w:val="0010488E"/>
    <w:rPr>
      <w:rFonts w:ascii="Tahoma" w:eastAsia="Times New Roman" w:hAnsi="Tahoma" w:cs="Tahoma"/>
      <w:b/>
      <w:sz w:val="20"/>
      <w:szCs w:val="20"/>
      <w:lang w:val="en-AU" w:eastAsia="en-AU"/>
    </w:rPr>
  </w:style>
  <w:style w:type="table" w:styleId="LightList-Accent4">
    <w:name w:val="Light List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Bullet">
    <w:name w:val="Bullet"/>
    <w:basedOn w:val="Normal"/>
    <w:link w:val="BulletChar"/>
    <w:rsid w:val="0010488E"/>
    <w:pPr>
      <w:suppressAutoHyphens/>
      <w:spacing w:after="80" w:line="210" w:lineRule="exact"/>
      <w:ind w:left="227" w:hanging="227"/>
    </w:pPr>
    <w:rPr>
      <w:rFonts w:ascii="Arial Narrow" w:eastAsia="Times New Roman" w:hAnsi="Arial Narrow" w:cs="Times New Roman"/>
      <w:szCs w:val="20"/>
      <w:lang w:eastAsia="en-AU"/>
    </w:rPr>
  </w:style>
  <w:style w:type="character" w:customStyle="1" w:styleId="BulletChar">
    <w:name w:val="Bullet Char"/>
    <w:basedOn w:val="DefaultParagraphFont"/>
    <w:link w:val="Bullet"/>
    <w:uiPriority w:val="99"/>
    <w:locked/>
    <w:rsid w:val="0010488E"/>
    <w:rPr>
      <w:rFonts w:ascii="Arial Narrow" w:eastAsia="Times New Roman" w:hAnsi="Arial Narrow" w:cs="Times New Roman"/>
      <w:sz w:val="20"/>
      <w:szCs w:val="20"/>
      <w:lang w:val="en-AU" w:eastAsia="en-AU"/>
    </w:rPr>
  </w:style>
  <w:style w:type="paragraph" w:customStyle="1" w:styleId="BHPKeySkillsHdg">
    <w:name w:val="BHP Key Skills Hdg"/>
    <w:basedOn w:val="Normal"/>
    <w:uiPriority w:val="99"/>
    <w:rsid w:val="0010488E"/>
    <w:pPr>
      <w:keepNext/>
      <w:suppressAutoHyphens/>
      <w:spacing w:before="1080" w:after="140" w:line="280" w:lineRule="atLeast"/>
    </w:pPr>
    <w:rPr>
      <w:rFonts w:ascii="Arial Narrow" w:eastAsia="Times New Roman" w:hAnsi="Arial Narrow" w:cs="Times New Roman"/>
      <w:b/>
      <w:bCs/>
      <w:spacing w:val="10"/>
      <w:szCs w:val="20"/>
      <w:lang w:eastAsia="en-AU"/>
    </w:rPr>
  </w:style>
  <w:style w:type="paragraph" w:customStyle="1" w:styleId="BHPKeySkillsText">
    <w:name w:val="BHP Key Skills Text"/>
    <w:basedOn w:val="Normal"/>
    <w:uiPriority w:val="99"/>
    <w:rsid w:val="0010488E"/>
    <w:pPr>
      <w:spacing w:after="140" w:line="300" w:lineRule="atLeast"/>
    </w:pPr>
    <w:rPr>
      <w:rFonts w:ascii="Arial Narrow" w:eastAsia="Times New Roman" w:hAnsi="Arial Narrow" w:cs="Times New Roman"/>
      <w:szCs w:val="20"/>
      <w:lang w:eastAsia="en-AU"/>
    </w:rPr>
  </w:style>
  <w:style w:type="paragraph" w:customStyle="1" w:styleId="BHPColHeading">
    <w:name w:val="BHP Col Heading"/>
    <w:basedOn w:val="Normal"/>
    <w:uiPriority w:val="99"/>
    <w:rsid w:val="0010488E"/>
    <w:pPr>
      <w:suppressAutoHyphens/>
      <w:spacing w:before="160" w:after="140" w:line="240" w:lineRule="exact"/>
      <w:ind w:right="11"/>
    </w:pPr>
    <w:rPr>
      <w:rFonts w:ascii="Arial Narrow" w:eastAsia="Times New Roman" w:hAnsi="Arial Narrow" w:cs="Times New Roman"/>
      <w:b/>
      <w:spacing w:val="10"/>
      <w:szCs w:val="20"/>
      <w:lang w:eastAsia="en-AU"/>
    </w:rPr>
  </w:style>
  <w:style w:type="paragraph" w:customStyle="1" w:styleId="BHPColText">
    <w:name w:val="BHP Col Text"/>
    <w:basedOn w:val="Bullet"/>
    <w:link w:val="BHPColTextChar"/>
    <w:uiPriority w:val="99"/>
    <w:rsid w:val="0010488E"/>
  </w:style>
  <w:style w:type="character" w:customStyle="1" w:styleId="BHPColTextChar">
    <w:name w:val="BHP Col Text Char"/>
    <w:basedOn w:val="BulletChar"/>
    <w:link w:val="BHPColText"/>
    <w:uiPriority w:val="99"/>
    <w:locked/>
    <w:rsid w:val="0010488E"/>
    <w:rPr>
      <w:rFonts w:ascii="Arial Narrow" w:eastAsia="Times New Roman" w:hAnsi="Arial Narrow" w:cs="Times New Roman"/>
      <w:sz w:val="20"/>
      <w:szCs w:val="20"/>
      <w:lang w:val="en-AU" w:eastAsia="en-AU"/>
    </w:rPr>
  </w:style>
  <w:style w:type="character" w:styleId="Emphasis">
    <w:name w:val="Emphasis"/>
    <w:basedOn w:val="DefaultParagraphFont"/>
    <w:uiPriority w:val="99"/>
    <w:qFormat/>
    <w:rsid w:val="0010488E"/>
    <w:rPr>
      <w:rFonts w:cs="Times New Roman"/>
      <w:i/>
      <w:iCs/>
    </w:rPr>
  </w:style>
  <w:style w:type="paragraph" w:customStyle="1" w:styleId="IndentafterHeading12">
    <w:name w:val="Indent after Heading 1 &amp; 2"/>
    <w:uiPriority w:val="99"/>
    <w:rsid w:val="0010488E"/>
    <w:pPr>
      <w:spacing w:after="240"/>
      <w:ind w:left="709"/>
      <w:jc w:val="both"/>
    </w:pPr>
    <w:rPr>
      <w:rFonts w:ascii="Times New Roman" w:eastAsia="Times New Roman" w:hAnsi="Times New Roman" w:cs="Times New Roman"/>
      <w:lang w:eastAsia="en-AU"/>
    </w:rPr>
  </w:style>
  <w:style w:type="paragraph" w:customStyle="1" w:styleId="HeadingSchedule">
    <w:name w:val="Heading Schedule"/>
    <w:basedOn w:val="Heading1"/>
    <w:uiPriority w:val="99"/>
    <w:rsid w:val="0010488E"/>
    <w:pPr>
      <w:keepLines w:val="0"/>
      <w:pageBreakBefore w:val="0"/>
      <w:numPr>
        <w:numId w:val="0"/>
      </w:numPr>
      <w:overflowPunct w:val="0"/>
      <w:autoSpaceDE w:val="0"/>
      <w:autoSpaceDN w:val="0"/>
      <w:adjustRightInd w:val="0"/>
      <w:spacing w:before="0" w:after="1000" w:line="240" w:lineRule="auto"/>
      <w:jc w:val="both"/>
      <w:textAlignment w:val="baseline"/>
    </w:pPr>
    <w:rPr>
      <w:rFonts w:eastAsia="Times New Roman" w:cs="Times New Roman"/>
      <w:b w:val="0"/>
      <w:color w:val="auto"/>
      <w:sz w:val="36"/>
      <w:szCs w:val="20"/>
    </w:rPr>
  </w:style>
  <w:style w:type="paragraph" w:customStyle="1" w:styleId="Indent2">
    <w:name w:val="Indent 2"/>
    <w:basedOn w:val="Normal"/>
    <w:uiPriority w:val="99"/>
    <w:rsid w:val="0010488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NormalBold">
    <w:name w:val="Normal Bold"/>
    <w:basedOn w:val="Normal"/>
    <w:uiPriority w:val="99"/>
    <w:rsid w:val="0010488E"/>
    <w:pPr>
      <w:overflowPunct w:val="0"/>
      <w:autoSpaceDE w:val="0"/>
      <w:autoSpaceDN w:val="0"/>
      <w:adjustRightInd w:val="0"/>
      <w:spacing w:after="0" w:line="240" w:lineRule="auto"/>
      <w:textAlignment w:val="baseline"/>
    </w:pPr>
    <w:rPr>
      <w:rFonts w:eastAsia="Times New Roman" w:cs="Times New Roman"/>
      <w:b/>
      <w:bCs/>
      <w:sz w:val="24"/>
      <w:szCs w:val="20"/>
    </w:rPr>
  </w:style>
  <w:style w:type="paragraph" w:customStyle="1" w:styleId="Title-Section">
    <w:name w:val="Title - Section"/>
    <w:basedOn w:val="Normal"/>
    <w:uiPriority w:val="99"/>
    <w:rsid w:val="0010488E"/>
    <w:pPr>
      <w:widowControl w:val="0"/>
      <w:overflowPunct w:val="0"/>
      <w:autoSpaceDE w:val="0"/>
      <w:autoSpaceDN w:val="0"/>
      <w:adjustRightInd w:val="0"/>
      <w:spacing w:before="120" w:after="0" w:line="320" w:lineRule="exact"/>
      <w:jc w:val="center"/>
      <w:textAlignment w:val="baseline"/>
    </w:pPr>
    <w:rPr>
      <w:rFonts w:eastAsia="Times New Roman" w:cs="Times New Roman"/>
      <w:b/>
      <w:caps/>
      <w:szCs w:val="20"/>
    </w:rPr>
  </w:style>
  <w:style w:type="paragraph" w:customStyle="1" w:styleId="Headersub">
    <w:name w:val="Header sub"/>
    <w:basedOn w:val="Normal"/>
    <w:uiPriority w:val="99"/>
    <w:rsid w:val="0010488E"/>
    <w:pPr>
      <w:overflowPunct w:val="0"/>
      <w:autoSpaceDE w:val="0"/>
      <w:autoSpaceDN w:val="0"/>
      <w:adjustRightInd w:val="0"/>
      <w:spacing w:after="1240" w:line="240" w:lineRule="auto"/>
      <w:textAlignment w:val="baseline"/>
    </w:pPr>
    <w:rPr>
      <w:rFonts w:eastAsia="Times New Roman" w:cs="Times New Roman"/>
      <w:sz w:val="36"/>
      <w:szCs w:val="20"/>
    </w:rPr>
  </w:style>
  <w:style w:type="character" w:customStyle="1" w:styleId="TableTextChar0">
    <w:name w:val="Table Text Char"/>
    <w:basedOn w:val="DefaultParagraphFont"/>
    <w:link w:val="TableText0"/>
    <w:uiPriority w:val="99"/>
    <w:locked/>
    <w:rsid w:val="0010488E"/>
    <w:rPr>
      <w:rFonts w:ascii="Arial" w:hAnsi="Arial" w:cs="Arial"/>
    </w:rPr>
  </w:style>
  <w:style w:type="paragraph" w:customStyle="1" w:styleId="TableText0">
    <w:name w:val="Table Text"/>
    <w:basedOn w:val="Normal"/>
    <w:link w:val="TableTextChar0"/>
    <w:uiPriority w:val="99"/>
    <w:rsid w:val="0010488E"/>
    <w:pPr>
      <w:spacing w:before="120" w:after="120" w:line="240" w:lineRule="auto"/>
    </w:pPr>
    <w:rPr>
      <w:rFonts w:cs="Arial"/>
      <w:sz w:val="24"/>
      <w:lang w:val="en-US"/>
    </w:rPr>
  </w:style>
  <w:style w:type="paragraph" w:customStyle="1" w:styleId="TableBullet">
    <w:name w:val="Table Bullet"/>
    <w:basedOn w:val="Normal"/>
    <w:uiPriority w:val="99"/>
    <w:rsid w:val="0010488E"/>
    <w:pPr>
      <w:numPr>
        <w:numId w:val="60"/>
      </w:numPr>
      <w:spacing w:before="120" w:after="120" w:line="240" w:lineRule="auto"/>
    </w:pPr>
    <w:rPr>
      <w:rFonts w:ascii="SKM Helv Light" w:eastAsia="Times New Roman" w:hAnsi="SKM Helv Light" w:cs="Times New Roman"/>
      <w:sz w:val="18"/>
      <w:szCs w:val="18"/>
      <w:lang w:eastAsia="en-AU"/>
    </w:rPr>
  </w:style>
  <w:style w:type="paragraph" w:customStyle="1" w:styleId="Style2">
    <w:name w:val="Style2"/>
    <w:basedOn w:val="Normal"/>
    <w:link w:val="Style2Char"/>
    <w:uiPriority w:val="99"/>
    <w:rsid w:val="0010488E"/>
    <w:pPr>
      <w:suppressAutoHyphens/>
      <w:spacing w:before="180" w:after="120" w:line="220" w:lineRule="exact"/>
    </w:pPr>
    <w:rPr>
      <w:rFonts w:ascii="Arial Narrow" w:eastAsia="Times New Roman" w:hAnsi="Arial Narrow" w:cs="Times New Roman"/>
      <w:color w:val="000000"/>
      <w:sz w:val="19"/>
      <w:szCs w:val="22"/>
    </w:rPr>
  </w:style>
  <w:style w:type="character" w:customStyle="1" w:styleId="Style2Char">
    <w:name w:val="Style2 Char"/>
    <w:basedOn w:val="DefaultParagraphFont"/>
    <w:link w:val="Style2"/>
    <w:uiPriority w:val="99"/>
    <w:locked/>
    <w:rsid w:val="0010488E"/>
    <w:rPr>
      <w:rFonts w:ascii="Arial Narrow" w:eastAsia="Times New Roman" w:hAnsi="Arial Narrow" w:cs="Times New Roman"/>
      <w:color w:val="000000"/>
      <w:sz w:val="19"/>
      <w:szCs w:val="22"/>
      <w:lang w:val="en-AU"/>
    </w:rPr>
  </w:style>
  <w:style w:type="paragraph" w:customStyle="1" w:styleId="Qualifications">
    <w:name w:val="Qualifications"/>
    <w:basedOn w:val="Style2"/>
    <w:link w:val="QualificationsChar"/>
    <w:uiPriority w:val="99"/>
    <w:rsid w:val="0010488E"/>
    <w:pPr>
      <w:spacing w:before="60" w:after="60"/>
    </w:pPr>
  </w:style>
  <w:style w:type="character" w:customStyle="1" w:styleId="QualificationsChar">
    <w:name w:val="Qualifications Char"/>
    <w:basedOn w:val="Style2Char"/>
    <w:link w:val="Qualifications"/>
    <w:uiPriority w:val="99"/>
    <w:locked/>
    <w:rsid w:val="0010488E"/>
    <w:rPr>
      <w:rFonts w:ascii="Arial Narrow" w:eastAsia="Times New Roman" w:hAnsi="Arial Narrow" w:cs="Times New Roman"/>
      <w:color w:val="000000"/>
      <w:sz w:val="19"/>
      <w:szCs w:val="22"/>
      <w:lang w:val="en-AU"/>
    </w:rPr>
  </w:style>
  <w:style w:type="paragraph" w:customStyle="1" w:styleId="PAEHD2NUMBERED">
    <w:name w:val="PAE HD2 NUMBERED"/>
    <w:basedOn w:val="Heading2"/>
    <w:next w:val="PAEPARA0"/>
    <w:uiPriority w:val="99"/>
    <w:rsid w:val="0010488E"/>
    <w:pPr>
      <w:numPr>
        <w:numId w:val="0"/>
      </w:numPr>
      <w:tabs>
        <w:tab w:val="left" w:pos="680"/>
        <w:tab w:val="num" w:pos="851"/>
      </w:tabs>
      <w:spacing w:before="0" w:line="276" w:lineRule="auto"/>
      <w:ind w:left="851" w:hanging="851"/>
    </w:pPr>
    <w:rPr>
      <w:rFonts w:ascii="Arial Bold" w:eastAsia="Times New Roman" w:hAnsi="Arial Bold" w:cs="Times New Roman"/>
      <w:color w:val="646464"/>
      <w:sz w:val="28"/>
    </w:rPr>
  </w:style>
  <w:style w:type="paragraph" w:customStyle="1" w:styleId="PAEPARA0BULLET">
    <w:name w:val="PAE PARA 0 BULLET"/>
    <w:basedOn w:val="PAEPARA0"/>
    <w:uiPriority w:val="99"/>
    <w:rsid w:val="0010488E"/>
    <w:pPr>
      <w:tabs>
        <w:tab w:val="left" w:pos="284"/>
      </w:tabs>
      <w:spacing w:before="0" w:after="60"/>
    </w:pPr>
    <w:rPr>
      <w:rFonts w:eastAsia="Times New Roman" w:cs="Times New Roman"/>
    </w:rPr>
  </w:style>
  <w:style w:type="paragraph" w:customStyle="1" w:styleId="AppHeading2">
    <w:name w:val="App Heading 2"/>
    <w:basedOn w:val="AppHeading"/>
    <w:next w:val="Normal"/>
    <w:rsid w:val="0010488E"/>
    <w:pPr>
      <w:pageBreakBefore w:val="0"/>
      <w:numPr>
        <w:ilvl w:val="1"/>
      </w:numPr>
      <w:spacing w:before="240" w:line="320" w:lineRule="atLeast"/>
      <w:ind w:left="714" w:hanging="714"/>
    </w:pPr>
    <w:rPr>
      <w:caps w:val="0"/>
      <w:sz w:val="24"/>
    </w:rPr>
  </w:style>
  <w:style w:type="paragraph" w:customStyle="1" w:styleId="AppHeading">
    <w:name w:val="App Heading"/>
    <w:basedOn w:val="Normal"/>
    <w:next w:val="Normal"/>
    <w:autoRedefine/>
    <w:rsid w:val="0010488E"/>
    <w:pPr>
      <w:pageBreakBefore/>
      <w:numPr>
        <w:numId w:val="61"/>
      </w:numPr>
      <w:spacing w:before="80" w:after="240" w:line="340" w:lineRule="atLeast"/>
      <w:ind w:left="357" w:hanging="357"/>
      <w:outlineLvl w:val="0"/>
    </w:pPr>
    <w:rPr>
      <w:rFonts w:ascii="Book Antiqua" w:eastAsia="Times New Roman" w:hAnsi="Book Antiqua" w:cs="Times New Roman"/>
      <w:b/>
      <w:caps/>
      <w:color w:val="008000"/>
      <w:sz w:val="28"/>
      <w:szCs w:val="20"/>
    </w:rPr>
  </w:style>
  <w:style w:type="paragraph" w:customStyle="1" w:styleId="AppHeading3">
    <w:name w:val="App Heading 3"/>
    <w:basedOn w:val="AppHeading"/>
    <w:next w:val="Normal"/>
    <w:autoRedefine/>
    <w:rsid w:val="0010488E"/>
    <w:pPr>
      <w:pageBreakBefore w:val="0"/>
      <w:numPr>
        <w:numId w:val="0"/>
      </w:numPr>
      <w:tabs>
        <w:tab w:val="num" w:pos="720"/>
      </w:tabs>
      <w:spacing w:before="240"/>
      <w:ind w:left="357" w:hanging="357"/>
      <w:outlineLvl w:val="9"/>
    </w:pPr>
    <w:rPr>
      <w:i/>
      <w:caps w:val="0"/>
      <w:sz w:val="24"/>
    </w:rPr>
  </w:style>
  <w:style w:type="paragraph" w:customStyle="1" w:styleId="Para03pt">
    <w:name w:val="Para 0 (3pt)"/>
    <w:basedOn w:val="Para0"/>
    <w:uiPriority w:val="99"/>
    <w:rsid w:val="0010488E"/>
    <w:pPr>
      <w:spacing w:before="0" w:after="60" w:line="240" w:lineRule="auto"/>
    </w:pPr>
    <w:rPr>
      <w:rFonts w:ascii="Times New Roman" w:eastAsia="Times New Roman" w:hAnsi="Times New Roman" w:cs="Times New Roman"/>
      <w:color w:val="000000"/>
      <w:szCs w:val="20"/>
    </w:rPr>
  </w:style>
  <w:style w:type="paragraph" w:customStyle="1" w:styleId="Note">
    <w:name w:val="Note"/>
    <w:next w:val="Normal"/>
    <w:link w:val="NoteChar"/>
    <w:rsid w:val="0010488E"/>
    <w:pPr>
      <w:spacing w:after="120"/>
    </w:pPr>
    <w:rPr>
      <w:rFonts w:ascii="Book Antiqua" w:eastAsia="Times New Roman" w:hAnsi="Book Antiqua" w:cs="Times New Roman"/>
      <w:sz w:val="16"/>
      <w:szCs w:val="16"/>
      <w:lang w:val="en-AU"/>
    </w:rPr>
  </w:style>
  <w:style w:type="character" w:customStyle="1" w:styleId="NoteChar">
    <w:name w:val="Note Char"/>
    <w:basedOn w:val="DefaultParagraphFont"/>
    <w:link w:val="Note"/>
    <w:locked/>
    <w:rsid w:val="0010488E"/>
    <w:rPr>
      <w:rFonts w:ascii="Book Antiqua" w:eastAsia="Times New Roman" w:hAnsi="Book Antiqua" w:cs="Times New Roman"/>
      <w:sz w:val="16"/>
      <w:szCs w:val="16"/>
      <w:lang w:val="en-AU"/>
    </w:rPr>
  </w:style>
  <w:style w:type="paragraph" w:customStyle="1" w:styleId="SingleSpacing">
    <w:name w:val="Single Spacing"/>
    <w:basedOn w:val="Normal"/>
    <w:link w:val="SingleSpacingChar"/>
    <w:rsid w:val="0010488E"/>
    <w:pPr>
      <w:spacing w:after="0" w:line="240" w:lineRule="auto"/>
      <w:jc w:val="both"/>
    </w:pPr>
    <w:rPr>
      <w:rFonts w:ascii="Book Antiqua" w:eastAsia="Times New Roman" w:hAnsi="Book Antiqua" w:cs="Times New Roman"/>
      <w:sz w:val="22"/>
      <w:szCs w:val="22"/>
      <w:lang w:eastAsia="en-AU"/>
    </w:rPr>
  </w:style>
  <w:style w:type="character" w:customStyle="1" w:styleId="SingleSpacingChar">
    <w:name w:val="Single Spacing Char"/>
    <w:basedOn w:val="DefaultParagraphFont"/>
    <w:link w:val="SingleSpacing"/>
    <w:locked/>
    <w:rsid w:val="0010488E"/>
    <w:rPr>
      <w:rFonts w:ascii="Book Antiqua" w:eastAsia="Times New Roman" w:hAnsi="Book Antiqua" w:cs="Times New Roman"/>
      <w:sz w:val="22"/>
      <w:szCs w:val="22"/>
      <w:lang w:val="en-AU" w:eastAsia="en-AU"/>
    </w:rPr>
  </w:style>
  <w:style w:type="paragraph" w:customStyle="1" w:styleId="ExecSumHeading">
    <w:name w:val="Exec Sum Heading"/>
    <w:basedOn w:val="Heading1"/>
    <w:next w:val="Normal"/>
    <w:uiPriority w:val="99"/>
    <w:rsid w:val="0010488E"/>
    <w:pPr>
      <w:numPr>
        <w:numId w:val="0"/>
      </w:numPr>
      <w:spacing w:after="360" w:line="320" w:lineRule="atLeast"/>
      <w:jc w:val="both"/>
    </w:pPr>
    <w:rPr>
      <w:rFonts w:ascii="Bookman Old Style" w:eastAsia="Times New Roman" w:hAnsi="Bookman Old Style" w:cs="Times New Roman"/>
      <w:caps/>
      <w:color w:val="008000"/>
      <w:sz w:val="28"/>
      <w:szCs w:val="28"/>
      <w:lang w:eastAsia="en-AU"/>
    </w:rPr>
  </w:style>
  <w:style w:type="paragraph" w:customStyle="1" w:styleId="RefJobNumber">
    <w:name w:val="Ref Job Number"/>
    <w:next w:val="SingleSpacing"/>
    <w:uiPriority w:val="99"/>
    <w:rsid w:val="0010488E"/>
    <w:pPr>
      <w:spacing w:after="120"/>
    </w:pPr>
    <w:rPr>
      <w:rFonts w:ascii="Book Antiqua" w:eastAsia="Times New Roman" w:hAnsi="Book Antiqua" w:cs="Times New Roman"/>
      <w:sz w:val="16"/>
      <w:szCs w:val="16"/>
      <w:lang w:val="en-AU"/>
    </w:rPr>
  </w:style>
  <w:style w:type="paragraph" w:customStyle="1" w:styleId="TableHeading0">
    <w:name w:val="Table Heading"/>
    <w:basedOn w:val="Normal"/>
    <w:next w:val="Normal"/>
    <w:uiPriority w:val="99"/>
    <w:rsid w:val="0010488E"/>
    <w:pPr>
      <w:keepNext/>
      <w:keepLines/>
      <w:spacing w:before="60" w:after="60" w:line="240" w:lineRule="auto"/>
    </w:pPr>
    <w:rPr>
      <w:rFonts w:ascii="Book Antiqua" w:eastAsia="Times New Roman" w:hAnsi="Book Antiqua" w:cs="Times New Roman"/>
      <w:b/>
      <w:bCs/>
      <w:szCs w:val="22"/>
      <w:lang w:eastAsia="en-AU"/>
    </w:rPr>
  </w:style>
  <w:style w:type="paragraph" w:customStyle="1" w:styleId="Bullet2">
    <w:name w:val="Bullet 2"/>
    <w:basedOn w:val="Normal"/>
    <w:uiPriority w:val="99"/>
    <w:rsid w:val="0010488E"/>
    <w:pPr>
      <w:tabs>
        <w:tab w:val="num" w:pos="397"/>
      </w:tabs>
      <w:spacing w:before="60" w:after="80" w:line="320" w:lineRule="atLeast"/>
      <w:ind w:left="397" w:hanging="397"/>
      <w:jc w:val="both"/>
    </w:pPr>
    <w:rPr>
      <w:rFonts w:ascii="Book Antiqua" w:eastAsia="Times New Roman" w:hAnsi="Book Antiqua" w:cs="Times New Roman"/>
      <w:sz w:val="22"/>
      <w:szCs w:val="22"/>
      <w:lang w:eastAsia="en-AU"/>
    </w:rPr>
  </w:style>
  <w:style w:type="paragraph" w:customStyle="1" w:styleId="Exhibit">
    <w:name w:val="Exhibit"/>
    <w:basedOn w:val="Normal"/>
    <w:uiPriority w:val="99"/>
    <w:rsid w:val="0010488E"/>
    <w:pPr>
      <w:pBdr>
        <w:top w:val="single" w:sz="4" w:space="1" w:color="auto"/>
        <w:left w:val="single" w:sz="4" w:space="4" w:color="auto"/>
        <w:bottom w:val="single" w:sz="4" w:space="1" w:color="auto"/>
        <w:right w:val="single" w:sz="4" w:space="4" w:color="auto"/>
      </w:pBdr>
      <w:spacing w:before="80" w:after="80" w:line="280" w:lineRule="atLeast"/>
      <w:ind w:left="567" w:right="567"/>
      <w:jc w:val="both"/>
    </w:pPr>
    <w:rPr>
      <w:rFonts w:ascii="Book Antiqua" w:eastAsia="Times New Roman" w:hAnsi="Book Antiqua" w:cs="Times New Roman"/>
      <w:sz w:val="18"/>
      <w:szCs w:val="20"/>
      <w:lang w:eastAsia="en-AU"/>
    </w:rPr>
  </w:style>
  <w:style w:type="paragraph" w:customStyle="1" w:styleId="Bullet3">
    <w:name w:val="Bullet 3"/>
    <w:basedOn w:val="Normal"/>
    <w:uiPriority w:val="99"/>
    <w:rsid w:val="0010488E"/>
    <w:pPr>
      <w:spacing w:before="60" w:after="80" w:line="320" w:lineRule="atLeast"/>
      <w:ind w:left="360" w:hanging="360"/>
      <w:jc w:val="both"/>
    </w:pPr>
    <w:rPr>
      <w:rFonts w:ascii="Book Antiqua" w:eastAsia="Times New Roman" w:hAnsi="Book Antiqua" w:cs="Times New Roman"/>
      <w:sz w:val="22"/>
      <w:szCs w:val="22"/>
      <w:lang w:eastAsia="en-AU"/>
    </w:rPr>
  </w:style>
  <w:style w:type="paragraph" w:customStyle="1" w:styleId="CV1stHeadline">
    <w:name w:val="CV 1st Headline"/>
    <w:uiPriority w:val="99"/>
    <w:rsid w:val="0010488E"/>
    <w:pPr>
      <w:keepNext/>
      <w:keepLines/>
      <w:tabs>
        <w:tab w:val="left" w:pos="2880"/>
      </w:tabs>
    </w:pPr>
    <w:rPr>
      <w:rFonts w:ascii="Book Antiqua" w:eastAsia="Times New Roman" w:hAnsi="Book Antiqua" w:cs="Times New Roman"/>
      <w:b/>
      <w:bCs/>
      <w:caps/>
      <w:noProof/>
      <w:sz w:val="22"/>
      <w:szCs w:val="22"/>
    </w:rPr>
  </w:style>
  <w:style w:type="paragraph" w:customStyle="1" w:styleId="CV2ndHeadline">
    <w:name w:val="CV 2nd Headline"/>
    <w:basedOn w:val="CV1stHeadline"/>
    <w:uiPriority w:val="99"/>
    <w:rsid w:val="0010488E"/>
  </w:style>
  <w:style w:type="paragraph" w:customStyle="1" w:styleId="SideQuote">
    <w:name w:val="Side Quote"/>
    <w:basedOn w:val="Normal"/>
    <w:next w:val="Normal"/>
    <w:uiPriority w:val="99"/>
    <w:rsid w:val="0010488E"/>
    <w:pPr>
      <w:framePr w:w="1701" w:h="1247" w:hSpace="181" w:vSpace="181" w:wrap="around" w:vAnchor="text" w:hAnchor="page" w:y="307"/>
      <w:numPr>
        <w:numId w:val="62"/>
      </w:numPr>
      <w:pBdr>
        <w:top w:val="single" w:sz="6" w:space="4" w:color="auto"/>
        <w:left w:val="single" w:sz="6" w:space="3" w:color="auto"/>
        <w:bottom w:val="single" w:sz="6" w:space="4" w:color="auto"/>
        <w:right w:val="single" w:sz="6" w:space="3" w:color="auto"/>
      </w:pBdr>
      <w:tabs>
        <w:tab w:val="clear" w:pos="360"/>
      </w:tabs>
      <w:spacing w:after="0" w:line="240" w:lineRule="auto"/>
      <w:ind w:left="0" w:right="113" w:firstLine="0"/>
    </w:pPr>
    <w:rPr>
      <w:rFonts w:ascii="Book Antiqua" w:eastAsia="Times New Roman" w:hAnsi="Book Antiqua" w:cs="Times New Roman"/>
      <w:i/>
      <w:iCs/>
      <w:sz w:val="18"/>
      <w:szCs w:val="20"/>
      <w:lang w:eastAsia="en-AU"/>
    </w:rPr>
  </w:style>
  <w:style w:type="paragraph" w:customStyle="1" w:styleId="TableofContents">
    <w:name w:val="Table of Contents"/>
    <w:basedOn w:val="Normal"/>
    <w:next w:val="SingleSpacing"/>
    <w:uiPriority w:val="99"/>
    <w:rsid w:val="0010488E"/>
    <w:pPr>
      <w:tabs>
        <w:tab w:val="right" w:pos="8505"/>
      </w:tabs>
      <w:spacing w:after="0" w:line="240" w:lineRule="auto"/>
      <w:jc w:val="both"/>
    </w:pPr>
    <w:rPr>
      <w:rFonts w:ascii="Bookman Old Style" w:eastAsia="Times New Roman" w:hAnsi="Bookman Old Style" w:cs="Times New Roman"/>
      <w:b/>
      <w:bCs/>
      <w:caps/>
      <w:color w:val="008000"/>
      <w:sz w:val="24"/>
      <w:szCs w:val="28"/>
      <w:lang w:eastAsia="en-AU"/>
    </w:rPr>
  </w:style>
  <w:style w:type="paragraph" w:customStyle="1" w:styleId="bulletalpha">
    <w:name w:val="bullet alpha"/>
    <w:basedOn w:val="Normal"/>
    <w:uiPriority w:val="99"/>
    <w:rsid w:val="0010488E"/>
    <w:pPr>
      <w:tabs>
        <w:tab w:val="num" w:pos="397"/>
        <w:tab w:val="left" w:pos="567"/>
      </w:tabs>
      <w:spacing w:before="60" w:after="80" w:line="320" w:lineRule="atLeast"/>
      <w:ind w:left="567" w:hanging="567"/>
      <w:jc w:val="both"/>
    </w:pPr>
    <w:rPr>
      <w:rFonts w:ascii="Book Antiqua" w:eastAsia="Times New Roman" w:hAnsi="Book Antiqua" w:cs="Times New Roman"/>
      <w:sz w:val="22"/>
      <w:szCs w:val="22"/>
      <w:lang w:eastAsia="en-AU"/>
    </w:rPr>
  </w:style>
  <w:style w:type="paragraph" w:customStyle="1" w:styleId="Client">
    <w:name w:val="Client"/>
    <w:basedOn w:val="Normal"/>
    <w:uiPriority w:val="99"/>
    <w:rsid w:val="0010488E"/>
    <w:pPr>
      <w:spacing w:before="80" w:after="80"/>
      <w:jc w:val="right"/>
    </w:pPr>
    <w:rPr>
      <w:rFonts w:ascii="Book Antiqua" w:eastAsia="Times New Roman" w:hAnsi="Book Antiqua" w:cs="Times New Roman"/>
      <w:b/>
      <w:sz w:val="40"/>
      <w:szCs w:val="32"/>
      <w:lang w:eastAsia="en-AU"/>
    </w:rPr>
  </w:style>
  <w:style w:type="paragraph" w:customStyle="1" w:styleId="bulletnumbered">
    <w:name w:val="bullet numbered"/>
    <w:basedOn w:val="Bullet"/>
    <w:uiPriority w:val="99"/>
    <w:rsid w:val="0010488E"/>
  </w:style>
  <w:style w:type="paragraph" w:customStyle="1" w:styleId="bulletroman">
    <w:name w:val="bullet roman"/>
    <w:basedOn w:val="Normal"/>
    <w:uiPriority w:val="99"/>
    <w:rsid w:val="0010488E"/>
    <w:pPr>
      <w:tabs>
        <w:tab w:val="num" w:pos="397"/>
        <w:tab w:val="num" w:pos="567"/>
      </w:tabs>
      <w:spacing w:before="60" w:after="80" w:line="320" w:lineRule="atLeast"/>
      <w:ind w:left="567" w:hanging="567"/>
      <w:jc w:val="both"/>
    </w:pPr>
    <w:rPr>
      <w:rFonts w:ascii="Book Antiqua" w:eastAsia="Times New Roman" w:hAnsi="Book Antiqua" w:cs="Times New Roman"/>
      <w:sz w:val="22"/>
      <w:szCs w:val="22"/>
      <w:lang w:eastAsia="en-AU"/>
    </w:rPr>
  </w:style>
  <w:style w:type="paragraph" w:customStyle="1" w:styleId="ExecSumsub-heading1">
    <w:name w:val="Exec Sum sub-heading 1"/>
    <w:basedOn w:val="Normal"/>
    <w:next w:val="Normal"/>
    <w:uiPriority w:val="99"/>
    <w:rsid w:val="0010488E"/>
    <w:pPr>
      <w:spacing w:before="240" w:after="240" w:line="320" w:lineRule="atLeast"/>
      <w:jc w:val="both"/>
    </w:pPr>
    <w:rPr>
      <w:rFonts w:ascii="Book Antiqua" w:eastAsia="Times New Roman" w:hAnsi="Book Antiqua" w:cs="Times New Roman"/>
      <w:b/>
      <w:bCs/>
      <w:color w:val="008000"/>
      <w:sz w:val="24"/>
      <w:lang w:eastAsia="en-AU"/>
    </w:rPr>
  </w:style>
  <w:style w:type="paragraph" w:customStyle="1" w:styleId="ExecSumsub-heading2">
    <w:name w:val="Exec Sum sub-heading 2"/>
    <w:basedOn w:val="ExecSumsub-heading1"/>
    <w:next w:val="Normal"/>
    <w:uiPriority w:val="99"/>
    <w:rsid w:val="0010488E"/>
  </w:style>
  <w:style w:type="paragraph" w:customStyle="1" w:styleId="Version">
    <w:name w:val="Version"/>
    <w:basedOn w:val="Normal"/>
    <w:uiPriority w:val="99"/>
    <w:rsid w:val="0010488E"/>
    <w:pPr>
      <w:tabs>
        <w:tab w:val="num" w:pos="2160"/>
      </w:tabs>
      <w:spacing w:after="120" w:line="240" w:lineRule="auto"/>
      <w:ind w:left="360" w:hanging="360"/>
      <w:jc w:val="both"/>
    </w:pPr>
    <w:rPr>
      <w:rFonts w:ascii="Book Antiqua" w:eastAsia="Times New Roman" w:hAnsi="Book Antiqua" w:cs="Times New Roman"/>
      <w:b/>
      <w:bCs/>
      <w:color w:val="008000"/>
      <w:sz w:val="24"/>
      <w:lang w:eastAsia="en-AU"/>
    </w:rPr>
  </w:style>
  <w:style w:type="paragraph" w:customStyle="1" w:styleId="ContentsHead">
    <w:name w:val="Contents Head"/>
    <w:basedOn w:val="Normal"/>
    <w:uiPriority w:val="99"/>
    <w:rsid w:val="0010488E"/>
    <w:pPr>
      <w:tabs>
        <w:tab w:val="right" w:pos="8505"/>
      </w:tabs>
      <w:spacing w:after="0" w:line="360" w:lineRule="atLeast"/>
      <w:jc w:val="both"/>
    </w:pPr>
    <w:rPr>
      <w:rFonts w:ascii="Book Antiqua" w:eastAsia="Times New Roman" w:hAnsi="Book Antiqua" w:cs="Times New Roman"/>
      <w:b/>
      <w:bCs/>
      <w:caps/>
      <w:color w:val="008000"/>
      <w:sz w:val="28"/>
      <w:szCs w:val="28"/>
      <w:lang w:eastAsia="en-AU"/>
    </w:rPr>
  </w:style>
  <w:style w:type="paragraph" w:customStyle="1" w:styleId="Customer">
    <w:name w:val="Customer"/>
    <w:basedOn w:val="Normal"/>
    <w:uiPriority w:val="99"/>
    <w:rsid w:val="0010488E"/>
    <w:pPr>
      <w:spacing w:before="120" w:after="120" w:line="320" w:lineRule="atLeast"/>
      <w:jc w:val="both"/>
    </w:pPr>
    <w:rPr>
      <w:rFonts w:ascii="Book Antiqua" w:eastAsia="Times New Roman" w:hAnsi="Book Antiqua" w:cs="Times New Roman"/>
      <w:sz w:val="32"/>
      <w:szCs w:val="32"/>
      <w:lang w:eastAsia="en-AU"/>
    </w:rPr>
  </w:style>
  <w:style w:type="paragraph" w:customStyle="1" w:styleId="Heading">
    <w:name w:val="Heading"/>
    <w:basedOn w:val="Normal"/>
    <w:uiPriority w:val="99"/>
    <w:rsid w:val="0010488E"/>
    <w:pPr>
      <w:keepNext/>
      <w:keepLines/>
      <w:pageBreakBefore/>
      <w:spacing w:before="240" w:after="360" w:line="320" w:lineRule="atLeast"/>
      <w:jc w:val="both"/>
      <w:outlineLvl w:val="0"/>
    </w:pPr>
    <w:rPr>
      <w:rFonts w:ascii="Bookman Old Style" w:eastAsia="Times New Roman" w:hAnsi="Bookman Old Style" w:cs="Times New Roman"/>
      <w:b/>
      <w:bCs/>
      <w:caps/>
      <w:color w:val="008000"/>
      <w:sz w:val="28"/>
      <w:szCs w:val="28"/>
      <w:lang w:eastAsia="en-AU"/>
    </w:rPr>
  </w:style>
  <w:style w:type="paragraph" w:customStyle="1" w:styleId="Fax">
    <w:name w:val="Fax"/>
    <w:next w:val="Normal"/>
    <w:rsid w:val="0010488E"/>
    <w:pPr>
      <w:spacing w:line="240" w:lineRule="atLeast"/>
      <w:jc w:val="center"/>
    </w:pPr>
    <w:rPr>
      <w:rFonts w:ascii="Swis721 BT" w:eastAsia="Times New Roman" w:hAnsi="Swis721 BT" w:cs="Times New Roman"/>
      <w:szCs w:val="20"/>
      <w:lang w:val="en-AU"/>
    </w:rPr>
  </w:style>
  <w:style w:type="paragraph" w:customStyle="1" w:styleId="CaptionFig">
    <w:name w:val="Caption Fig"/>
    <w:basedOn w:val="Caption"/>
    <w:rsid w:val="0010488E"/>
    <w:pPr>
      <w:keepLines/>
      <w:tabs>
        <w:tab w:val="num" w:pos="397"/>
      </w:tabs>
      <w:spacing w:before="0" w:after="120" w:line="240" w:lineRule="auto"/>
      <w:ind w:left="397" w:hanging="397"/>
    </w:pPr>
    <w:rPr>
      <w:rFonts w:ascii="Arial" w:eastAsia="Times New Roman" w:hAnsi="Arial" w:cs="Times New Roman"/>
      <w:color w:val="808000"/>
      <w:szCs w:val="20"/>
    </w:rPr>
  </w:style>
  <w:style w:type="paragraph" w:customStyle="1" w:styleId="headingTable">
    <w:name w:val="heading Table"/>
    <w:basedOn w:val="Normal"/>
    <w:next w:val="Normal"/>
    <w:uiPriority w:val="99"/>
    <w:rsid w:val="0010488E"/>
    <w:pPr>
      <w:keepNext/>
      <w:keepLines/>
      <w:spacing w:after="60"/>
      <w:jc w:val="both"/>
    </w:pPr>
    <w:rPr>
      <w:rFonts w:ascii="Swis721 BT" w:eastAsia="Times New Roman" w:hAnsi="Swis721 BT" w:cs="Times New Roman"/>
      <w:b/>
      <w:sz w:val="24"/>
      <w:szCs w:val="20"/>
    </w:rPr>
  </w:style>
  <w:style w:type="paragraph" w:customStyle="1" w:styleId="StandardParaChar1">
    <w:name w:val="Standard Para Char1"/>
    <w:uiPriority w:val="99"/>
    <w:rsid w:val="0010488E"/>
    <w:pPr>
      <w:spacing w:after="120" w:line="340" w:lineRule="atLeast"/>
      <w:jc w:val="both"/>
    </w:pPr>
    <w:rPr>
      <w:rFonts w:ascii="Arial Narrow" w:eastAsia="Times New Roman" w:hAnsi="Arial Narrow" w:cs="Times New Roman"/>
      <w:szCs w:val="20"/>
      <w:lang w:val="en-AU"/>
    </w:rPr>
  </w:style>
  <w:style w:type="paragraph" w:customStyle="1" w:styleId="StandardPara">
    <w:name w:val="Standard Para"/>
    <w:uiPriority w:val="99"/>
    <w:rsid w:val="0010488E"/>
    <w:pPr>
      <w:spacing w:after="120" w:line="340" w:lineRule="atLeast"/>
      <w:jc w:val="both"/>
    </w:pPr>
    <w:rPr>
      <w:rFonts w:ascii="Arial Narrow" w:eastAsia="Times New Roman" w:hAnsi="Arial Narrow" w:cs="Times New Roman"/>
      <w:szCs w:val="20"/>
      <w:lang w:val="en-AU" w:eastAsia="en-AU"/>
    </w:rPr>
  </w:style>
  <w:style w:type="paragraph" w:customStyle="1" w:styleId="Let-StdPara">
    <w:name w:val="Let-Std Para"/>
    <w:basedOn w:val="Normal"/>
    <w:uiPriority w:val="99"/>
    <w:rsid w:val="0010488E"/>
    <w:pPr>
      <w:spacing w:after="0" w:line="240" w:lineRule="auto"/>
      <w:jc w:val="both"/>
    </w:pPr>
    <w:rPr>
      <w:rFonts w:ascii="Swis721 BT" w:eastAsia="Times New Roman" w:hAnsi="Swis721 BT" w:cs="Times New Roman"/>
      <w:sz w:val="24"/>
      <w:szCs w:val="20"/>
      <w:lang w:val="en-GB"/>
    </w:rPr>
  </w:style>
  <w:style w:type="paragraph" w:customStyle="1" w:styleId="FigureHeading">
    <w:name w:val="Figure Heading"/>
    <w:basedOn w:val="Normal"/>
    <w:next w:val="Normal"/>
    <w:uiPriority w:val="99"/>
    <w:rsid w:val="0010488E"/>
    <w:pPr>
      <w:keepNext/>
      <w:keepLines/>
      <w:spacing w:after="60"/>
      <w:ind w:left="1134" w:hanging="1134"/>
      <w:jc w:val="both"/>
    </w:pPr>
    <w:rPr>
      <w:rFonts w:ascii="Arial Narrow" w:eastAsia="Times New Roman" w:hAnsi="Arial Narrow" w:cs="Times New Roman"/>
      <w:b/>
      <w:sz w:val="24"/>
      <w:szCs w:val="20"/>
    </w:rPr>
  </w:style>
  <w:style w:type="paragraph" w:customStyle="1" w:styleId="AppHeadingChar">
    <w:name w:val="App Heading Char"/>
    <w:basedOn w:val="Normal"/>
    <w:next w:val="StandardParaChar1"/>
    <w:autoRedefine/>
    <w:uiPriority w:val="99"/>
    <w:rsid w:val="0010488E"/>
    <w:pPr>
      <w:tabs>
        <w:tab w:val="num" w:pos="360"/>
      </w:tabs>
      <w:spacing w:after="120" w:line="340" w:lineRule="atLeast"/>
      <w:ind w:left="360" w:hanging="360"/>
      <w:outlineLvl w:val="0"/>
    </w:pPr>
    <w:rPr>
      <w:rFonts w:ascii="Arial Narrow" w:eastAsia="Times New Roman" w:hAnsi="Arial Narrow" w:cs="Times New Roman"/>
      <w:b/>
      <w:caps/>
      <w:sz w:val="24"/>
      <w:szCs w:val="20"/>
    </w:rPr>
  </w:style>
  <w:style w:type="paragraph" w:customStyle="1" w:styleId="Table10">
    <w:name w:val="Table10"/>
    <w:basedOn w:val="Normal"/>
    <w:uiPriority w:val="99"/>
    <w:rsid w:val="0010488E"/>
    <w:pPr>
      <w:spacing w:before="60" w:after="60"/>
      <w:jc w:val="both"/>
    </w:pPr>
    <w:rPr>
      <w:rFonts w:ascii="Swis721 BT" w:eastAsia="Times New Roman" w:hAnsi="Swis721 BT" w:cs="Times New Roman"/>
      <w:color w:val="000000"/>
      <w:szCs w:val="20"/>
      <w:lang w:val="en-US"/>
    </w:rPr>
  </w:style>
  <w:style w:type="paragraph" w:customStyle="1" w:styleId="Question">
    <w:name w:val="Question"/>
    <w:basedOn w:val="Bullet2"/>
    <w:uiPriority w:val="99"/>
    <w:rsid w:val="0010488E"/>
    <w:pPr>
      <w:tabs>
        <w:tab w:val="clear" w:pos="397"/>
        <w:tab w:val="num" w:pos="360"/>
      </w:tabs>
      <w:spacing w:after="120" w:line="340" w:lineRule="atLeast"/>
      <w:ind w:left="340" w:hanging="340"/>
    </w:pPr>
    <w:rPr>
      <w:rFonts w:ascii="Arial Narrow" w:hAnsi="Arial Narrow"/>
      <w:sz w:val="24"/>
      <w:szCs w:val="20"/>
      <w:lang w:val="en-US" w:eastAsia="en-US"/>
    </w:rPr>
  </w:style>
  <w:style w:type="paragraph" w:customStyle="1" w:styleId="NameAddress">
    <w:name w:val="Name &amp; Address"/>
    <w:uiPriority w:val="99"/>
    <w:rsid w:val="0010488E"/>
    <w:pPr>
      <w:spacing w:line="240" w:lineRule="atLeast"/>
    </w:pPr>
    <w:rPr>
      <w:rFonts w:ascii="Swis721 BT" w:eastAsia="Times New Roman" w:hAnsi="Swis721 BT" w:cs="Times New Roman"/>
      <w:szCs w:val="20"/>
      <w:lang w:val="en-AU"/>
    </w:rPr>
  </w:style>
  <w:style w:type="paragraph" w:customStyle="1" w:styleId="headingxx">
    <w:name w:val="heading x.x"/>
    <w:basedOn w:val="headingx"/>
    <w:next w:val="Normal"/>
    <w:uiPriority w:val="99"/>
    <w:rsid w:val="0010488E"/>
  </w:style>
  <w:style w:type="paragraph" w:customStyle="1" w:styleId="headingx">
    <w:name w:val="heading x"/>
    <w:next w:val="Normal"/>
    <w:uiPriority w:val="99"/>
    <w:rsid w:val="0010488E"/>
    <w:pPr>
      <w:keepNext/>
      <w:keepLines/>
      <w:spacing w:after="240" w:line="240" w:lineRule="atLeast"/>
      <w:jc w:val="both"/>
    </w:pPr>
    <w:rPr>
      <w:rFonts w:ascii="Swis721 BT" w:eastAsia="Times New Roman" w:hAnsi="Swis721 BT" w:cs="Times New Roman"/>
      <w:b/>
      <w:szCs w:val="20"/>
      <w:lang w:val="en-AU"/>
    </w:rPr>
  </w:style>
  <w:style w:type="paragraph" w:customStyle="1" w:styleId="TableTextHead">
    <w:name w:val="Table Text Head"/>
    <w:basedOn w:val="TableText0"/>
    <w:uiPriority w:val="99"/>
    <w:rsid w:val="0010488E"/>
    <w:pPr>
      <w:spacing w:line="240" w:lineRule="atLeast"/>
      <w:jc w:val="center"/>
    </w:pPr>
    <w:rPr>
      <w:rFonts w:ascii="Swis721 BT" w:hAnsi="Swis721 BT" w:cs="Times New Roman"/>
      <w:lang w:val="en-GB"/>
    </w:rPr>
  </w:style>
  <w:style w:type="paragraph" w:customStyle="1" w:styleId="standard">
    <w:name w:val="standard"/>
    <w:basedOn w:val="Normal"/>
    <w:next w:val="Normal"/>
    <w:uiPriority w:val="99"/>
    <w:rsid w:val="0010488E"/>
    <w:pPr>
      <w:spacing w:after="120" w:line="340" w:lineRule="atLeast"/>
      <w:jc w:val="both"/>
    </w:pPr>
    <w:rPr>
      <w:rFonts w:ascii="Arial Narrow" w:eastAsia="Times New Roman" w:hAnsi="Arial Narrow" w:cs="Times New Roman"/>
      <w:sz w:val="24"/>
      <w:szCs w:val="20"/>
      <w:lang w:val="en-US"/>
    </w:rPr>
  </w:style>
  <w:style w:type="paragraph" w:customStyle="1" w:styleId="NumStandardPara">
    <w:name w:val="Num Standard Para"/>
    <w:basedOn w:val="Normal"/>
    <w:uiPriority w:val="99"/>
    <w:rsid w:val="0010488E"/>
    <w:pPr>
      <w:tabs>
        <w:tab w:val="num" w:pos="720"/>
      </w:tabs>
      <w:spacing w:after="120" w:line="340" w:lineRule="atLeast"/>
      <w:ind w:left="720" w:hanging="360"/>
      <w:jc w:val="both"/>
    </w:pPr>
    <w:rPr>
      <w:rFonts w:ascii="Arial Narrow" w:eastAsia="Times New Roman" w:hAnsi="Arial Narrow" w:cs="Times New Roman"/>
      <w:sz w:val="24"/>
      <w:szCs w:val="20"/>
      <w:lang w:eastAsia="en-AU"/>
    </w:rPr>
  </w:style>
  <w:style w:type="character" w:customStyle="1" w:styleId="Heading3Char1">
    <w:name w:val="Heading 3 Char1"/>
    <w:aliases w:val="h3 Char1,Underavsn. Char,H3 Char1,h3 sub heading Char1,C Sub-Sub/Italic Char1,3 Char1,Normal + num Char,hd3 Char,1st sub-clause Char,Para3 Char,EOI - Heading 3 Char,Head 3 Char1,subhead Char,Heading 3 Char1 Char,Level 3 Head Char"/>
    <w:basedOn w:val="DefaultParagraphFont"/>
    <w:uiPriority w:val="99"/>
    <w:rsid w:val="0010488E"/>
    <w:rPr>
      <w:rFonts w:ascii="Arial Narrow" w:hAnsi="Arial Narrow" w:cs="Times New Roman"/>
      <w:i/>
      <w:sz w:val="24"/>
      <w:lang w:val="en-AU" w:eastAsia="en-US" w:bidi="ar-SA"/>
    </w:rPr>
  </w:style>
  <w:style w:type="character" w:customStyle="1" w:styleId="StandardParaChar1Char">
    <w:name w:val="Standard Para Char1 Char"/>
    <w:basedOn w:val="DefaultParagraphFont"/>
    <w:uiPriority w:val="99"/>
    <w:rsid w:val="0010488E"/>
    <w:rPr>
      <w:rFonts w:ascii="Arial Narrow" w:hAnsi="Arial Narrow" w:cs="Times New Roman"/>
      <w:sz w:val="24"/>
      <w:lang w:val="en-AU" w:eastAsia="en-US" w:bidi="ar-SA"/>
    </w:rPr>
  </w:style>
  <w:style w:type="character" w:customStyle="1" w:styleId="AppHeadingCharChar">
    <w:name w:val="App Heading Char Char"/>
    <w:basedOn w:val="DefaultParagraphFont"/>
    <w:uiPriority w:val="99"/>
    <w:rsid w:val="0010488E"/>
    <w:rPr>
      <w:rFonts w:ascii="Arial Narrow" w:hAnsi="Arial Narrow" w:cs="Times New Roman"/>
      <w:b/>
      <w:caps/>
      <w:sz w:val="24"/>
      <w:lang w:val="en-AU" w:eastAsia="en-US" w:bidi="ar-SA"/>
    </w:rPr>
  </w:style>
  <w:style w:type="character" w:customStyle="1" w:styleId="AppHeading3Char">
    <w:name w:val="App Heading 3 Char"/>
    <w:uiPriority w:val="99"/>
    <w:rsid w:val="0010488E"/>
    <w:rPr>
      <w:rFonts w:ascii="Arial Narrow" w:hAnsi="Arial Narrow"/>
      <w:b/>
      <w:caps/>
      <w:sz w:val="24"/>
      <w:lang w:val="en-AU" w:eastAsia="en-US"/>
    </w:rPr>
  </w:style>
  <w:style w:type="character" w:customStyle="1" w:styleId="CaptionFigChar">
    <w:name w:val="Caption Fig Char"/>
    <w:basedOn w:val="CaptionChar"/>
    <w:uiPriority w:val="99"/>
    <w:rsid w:val="0010488E"/>
    <w:rPr>
      <w:rFonts w:ascii="Arial Narrow" w:hAnsi="Arial Narrow" w:cs="Times New Roman"/>
      <w:b/>
      <w:sz w:val="22"/>
      <w:szCs w:val="22"/>
      <w:lang w:val="en-AU" w:eastAsia="en-US" w:bidi="ar-SA"/>
    </w:rPr>
  </w:style>
  <w:style w:type="paragraph" w:customStyle="1" w:styleId="xl24">
    <w:name w:val="xl24"/>
    <w:basedOn w:val="Normal"/>
    <w:uiPriority w:val="99"/>
    <w:rsid w:val="0010488E"/>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4"/>
      <w:lang w:val="en-US"/>
    </w:rPr>
  </w:style>
  <w:style w:type="paragraph" w:customStyle="1" w:styleId="xl25">
    <w:name w:val="xl25"/>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26">
    <w:name w:val="xl26"/>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27">
    <w:name w:val="xl27"/>
    <w:basedOn w:val="Normal"/>
    <w:uiPriority w:val="99"/>
    <w:rsid w:val="001048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lang w:val="en-US"/>
    </w:rPr>
  </w:style>
  <w:style w:type="paragraph" w:customStyle="1" w:styleId="xl28">
    <w:name w:val="xl28"/>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29">
    <w:name w:val="xl29"/>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30">
    <w:name w:val="xl30"/>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31">
    <w:name w:val="xl31"/>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32">
    <w:name w:val="xl32"/>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head1text">
    <w:name w:val="head 1 text"/>
    <w:basedOn w:val="Normal"/>
    <w:uiPriority w:val="99"/>
    <w:rsid w:val="0010488E"/>
    <w:pPr>
      <w:spacing w:after="240"/>
      <w:ind w:left="1077"/>
    </w:pPr>
    <w:rPr>
      <w:rFonts w:eastAsia="Times New Roman" w:cs="Times New Roman"/>
      <w:sz w:val="22"/>
      <w:szCs w:val="20"/>
    </w:rPr>
  </w:style>
  <w:style w:type="paragraph" w:customStyle="1" w:styleId="Heading3docChar">
    <w:name w:val="Heading 3 doc Char"/>
    <w:basedOn w:val="Normal"/>
    <w:autoRedefine/>
    <w:uiPriority w:val="99"/>
    <w:rsid w:val="0010488E"/>
    <w:pPr>
      <w:spacing w:after="160" w:line="240" w:lineRule="exact"/>
      <w:jc w:val="center"/>
    </w:pPr>
    <w:rPr>
      <w:rFonts w:ascii="Times New Roman" w:eastAsia="MS Mincho" w:hAnsi="Times New Roman" w:cs="Times New Roman"/>
      <w:b/>
      <w:sz w:val="28"/>
      <w:szCs w:val="28"/>
      <w:lang w:val="en-US"/>
    </w:rPr>
  </w:style>
  <w:style w:type="paragraph" w:customStyle="1" w:styleId="StyleHeading2h2After6pt">
    <w:name w:val="Style Heading 2h2 + After:  6 pt"/>
    <w:basedOn w:val="Heading2"/>
    <w:uiPriority w:val="99"/>
    <w:rsid w:val="0010488E"/>
    <w:pPr>
      <w:numPr>
        <w:numId w:val="0"/>
      </w:numPr>
      <w:tabs>
        <w:tab w:val="left" w:pos="851"/>
      </w:tabs>
      <w:spacing w:line="320" w:lineRule="atLeast"/>
      <w:ind w:left="2846" w:hanging="578"/>
      <w:jc w:val="both"/>
    </w:pPr>
    <w:rPr>
      <w:rFonts w:ascii="Book Antiqua" w:eastAsia="Times New Roman" w:hAnsi="Book Antiqua" w:cs="Times New Roman"/>
      <w:color w:val="008000"/>
      <w:szCs w:val="20"/>
      <w:lang w:eastAsia="en-AU"/>
    </w:rPr>
  </w:style>
  <w:style w:type="paragraph" w:customStyle="1" w:styleId="xl64">
    <w:name w:val="xl64"/>
    <w:basedOn w:val="Normal"/>
    <w:rsid w:val="0010488E"/>
    <w:pPr>
      <w:pBdr>
        <w:top w:val="single" w:sz="4" w:space="0" w:color="auto"/>
        <w:right w:val="single" w:sz="4" w:space="0" w:color="auto"/>
      </w:pBdr>
      <w:shd w:val="pct12" w:color="000000" w:fill="C0C0C0"/>
      <w:spacing w:before="100" w:beforeAutospacing="1" w:after="100" w:afterAutospacing="1" w:line="240" w:lineRule="auto"/>
      <w:jc w:val="center"/>
      <w:textAlignment w:val="top"/>
    </w:pPr>
    <w:rPr>
      <w:rFonts w:ascii="Arial Narrow" w:eastAsia="Times New Roman" w:hAnsi="Arial Narrow" w:cs="Times New Roman"/>
      <w:b/>
      <w:bCs/>
      <w:sz w:val="24"/>
      <w:lang w:eastAsia="en-AU"/>
    </w:rPr>
  </w:style>
  <w:style w:type="paragraph" w:customStyle="1" w:styleId="xl65">
    <w:name w:val="xl65"/>
    <w:basedOn w:val="Normal"/>
    <w:rsid w:val="0010488E"/>
    <w:pPr>
      <w:pBdr>
        <w:top w:val="single" w:sz="4" w:space="0" w:color="auto"/>
        <w:right w:val="single" w:sz="4" w:space="0" w:color="auto"/>
      </w:pBdr>
      <w:shd w:val="pct12" w:color="000000" w:fill="C0C0C0"/>
      <w:spacing w:before="100" w:beforeAutospacing="1" w:after="100" w:afterAutospacing="1" w:line="240" w:lineRule="auto"/>
      <w:textAlignment w:val="top"/>
    </w:pPr>
    <w:rPr>
      <w:rFonts w:ascii="Arial Narrow" w:eastAsia="Times New Roman" w:hAnsi="Arial Narrow" w:cs="Times New Roman"/>
      <w:b/>
      <w:bCs/>
      <w:sz w:val="24"/>
      <w:lang w:eastAsia="en-AU"/>
    </w:rPr>
  </w:style>
  <w:style w:type="paragraph" w:customStyle="1" w:styleId="xl66">
    <w:name w:val="xl66"/>
    <w:basedOn w:val="Normal"/>
    <w:rsid w:val="001048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4"/>
      <w:lang w:eastAsia="en-AU"/>
    </w:rPr>
  </w:style>
  <w:style w:type="paragraph" w:customStyle="1" w:styleId="xl67">
    <w:name w:val="xl67"/>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lang w:eastAsia="en-AU"/>
    </w:rPr>
  </w:style>
  <w:style w:type="paragraph" w:customStyle="1" w:styleId="xl68">
    <w:name w:val="xl68"/>
    <w:basedOn w:val="Normal"/>
    <w:rsid w:val="0010488E"/>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4"/>
      <w:lang w:eastAsia="en-AU"/>
    </w:rPr>
  </w:style>
  <w:style w:type="paragraph" w:customStyle="1" w:styleId="xl69">
    <w:name w:val="xl69"/>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0">
    <w:name w:val="xl70"/>
    <w:basedOn w:val="Normal"/>
    <w:rsid w:val="001048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lang w:eastAsia="en-AU"/>
    </w:rPr>
  </w:style>
  <w:style w:type="paragraph" w:customStyle="1" w:styleId="xl71">
    <w:name w:val="xl71"/>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2">
    <w:name w:val="xl72"/>
    <w:basedOn w:val="Normal"/>
    <w:rsid w:val="0010488E"/>
    <w:pPr>
      <w:pBdr>
        <w:top w:val="single" w:sz="4" w:space="0" w:color="auto"/>
        <w:left w:val="single" w:sz="4" w:space="0" w:color="auto"/>
        <w:right w:val="single" w:sz="4" w:space="0" w:color="auto"/>
      </w:pBdr>
      <w:shd w:val="pct12" w:color="000000" w:fill="C0C0C0"/>
      <w:spacing w:before="100" w:beforeAutospacing="1" w:after="100" w:afterAutospacing="1" w:line="240" w:lineRule="auto"/>
      <w:textAlignment w:val="top"/>
    </w:pPr>
    <w:rPr>
      <w:rFonts w:ascii="Arial Narrow" w:eastAsia="Times New Roman" w:hAnsi="Arial Narrow" w:cs="Times New Roman"/>
      <w:b/>
      <w:bCs/>
      <w:sz w:val="24"/>
      <w:lang w:eastAsia="en-AU"/>
    </w:rPr>
  </w:style>
  <w:style w:type="paragraph" w:customStyle="1" w:styleId="xl73">
    <w:name w:val="xl73"/>
    <w:basedOn w:val="Normal"/>
    <w:rsid w:val="0010488E"/>
    <w:pPr>
      <w:pBdr>
        <w:top w:val="single" w:sz="4" w:space="0" w:color="auto"/>
        <w:left w:val="single" w:sz="4" w:space="0" w:color="auto"/>
        <w:right w:val="single" w:sz="4" w:space="0" w:color="auto"/>
      </w:pBdr>
      <w:shd w:val="pct12" w:color="000000" w:fill="C0C0C0"/>
      <w:spacing w:before="100" w:beforeAutospacing="1" w:after="100" w:afterAutospacing="1" w:line="240" w:lineRule="auto"/>
      <w:jc w:val="center"/>
      <w:textAlignment w:val="top"/>
    </w:pPr>
    <w:rPr>
      <w:rFonts w:ascii="Arial Narrow" w:eastAsia="Times New Roman" w:hAnsi="Arial Narrow" w:cs="Times New Roman"/>
      <w:b/>
      <w:bCs/>
      <w:sz w:val="24"/>
      <w:lang w:eastAsia="en-AU"/>
    </w:rPr>
  </w:style>
  <w:style w:type="paragraph" w:customStyle="1" w:styleId="xl74">
    <w:name w:val="xl74"/>
    <w:basedOn w:val="Normal"/>
    <w:rsid w:val="0010488E"/>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75">
    <w:name w:val="xl75"/>
    <w:basedOn w:val="Normal"/>
    <w:rsid w:val="0010488E"/>
    <w:pPr>
      <w:pBdr>
        <w:left w:val="single" w:sz="4" w:space="0" w:color="000000"/>
      </w:pBd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76">
    <w:name w:val="xl76"/>
    <w:basedOn w:val="Normal"/>
    <w:rsid w:val="0010488E"/>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Narrow" w:eastAsia="Times New Roman" w:hAnsi="Arial Narrow" w:cs="Times New Roman"/>
      <w:sz w:val="24"/>
      <w:lang w:eastAsia="en-AU"/>
    </w:rPr>
  </w:style>
  <w:style w:type="paragraph" w:customStyle="1" w:styleId="xl77">
    <w:name w:val="xl77"/>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8">
    <w:name w:val="xl78"/>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9">
    <w:name w:val="xl79"/>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80">
    <w:name w:val="xl80"/>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81">
    <w:name w:val="xl81"/>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82">
    <w:name w:val="xl82"/>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i/>
      <w:iCs/>
      <w:sz w:val="24"/>
      <w:lang w:eastAsia="en-AU"/>
    </w:rPr>
  </w:style>
  <w:style w:type="paragraph" w:customStyle="1" w:styleId="xl83">
    <w:name w:val="xl83"/>
    <w:basedOn w:val="Normal"/>
    <w:rsid w:val="0010488E"/>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top"/>
    </w:pPr>
    <w:rPr>
      <w:rFonts w:ascii="Arial Narrow" w:eastAsia="Times New Roman" w:hAnsi="Arial Narrow" w:cs="Times New Roman"/>
      <w:sz w:val="24"/>
      <w:lang w:eastAsia="en-AU"/>
    </w:rPr>
  </w:style>
  <w:style w:type="paragraph" w:customStyle="1" w:styleId="xl84">
    <w:name w:val="xl84"/>
    <w:basedOn w:val="Normal"/>
    <w:rsid w:val="0010488E"/>
    <w:pPr>
      <w:pBdr>
        <w:lef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85">
    <w:name w:val="xl85"/>
    <w:basedOn w:val="Normal"/>
    <w:rsid w:val="0010488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86">
    <w:name w:val="xl86"/>
    <w:basedOn w:val="Normal"/>
    <w:rsid w:val="0010488E"/>
    <w:pPr>
      <w:pBdr>
        <w:left w:val="single" w:sz="4" w:space="0" w:color="000000"/>
      </w:pBdr>
      <w:spacing w:before="100" w:beforeAutospacing="1" w:after="100" w:afterAutospacing="1" w:line="240" w:lineRule="auto"/>
    </w:pPr>
    <w:rPr>
      <w:rFonts w:eastAsia="Times New Roman" w:cs="Arial"/>
      <w:sz w:val="24"/>
      <w:lang w:eastAsia="en-AU"/>
    </w:rPr>
  </w:style>
  <w:style w:type="paragraph" w:customStyle="1" w:styleId="xl87">
    <w:name w:val="xl87"/>
    <w:basedOn w:val="Normal"/>
    <w:rsid w:val="0010488E"/>
    <w:pPr>
      <w:spacing w:before="100" w:beforeAutospacing="1" w:after="100" w:afterAutospacing="1" w:line="240" w:lineRule="auto"/>
    </w:pPr>
    <w:rPr>
      <w:rFonts w:eastAsia="Times New Roman" w:cs="Arial"/>
      <w:sz w:val="24"/>
      <w:lang w:eastAsia="en-AU"/>
    </w:rPr>
  </w:style>
  <w:style w:type="paragraph" w:customStyle="1" w:styleId="xl88">
    <w:name w:val="xl88"/>
    <w:basedOn w:val="Normal"/>
    <w:rsid w:val="0010488E"/>
    <w:pPr>
      <w:pBdr>
        <w:top w:val="single" w:sz="4" w:space="0" w:color="000000"/>
        <w:left w:val="single" w:sz="4" w:space="0" w:color="000000"/>
      </w:pBdr>
      <w:spacing w:before="100" w:beforeAutospacing="1" w:after="100" w:afterAutospacing="1" w:line="240" w:lineRule="auto"/>
    </w:pPr>
    <w:rPr>
      <w:rFonts w:eastAsia="Times New Roman" w:cs="Arial"/>
      <w:sz w:val="24"/>
      <w:lang w:eastAsia="en-AU"/>
    </w:rPr>
  </w:style>
  <w:style w:type="table" w:customStyle="1" w:styleId="TableGrid11">
    <w:name w:val="Table Grid11"/>
    <w:uiPriority w:val="99"/>
    <w:rsid w:val="0010488E"/>
    <w:pPr>
      <w:spacing w:before="80" w:after="80" w:line="320" w:lineRule="atLeast"/>
      <w:jc w:val="both"/>
    </w:pPr>
    <w:rPr>
      <w:rFonts w:ascii="CG Times (W1)" w:eastAsia="Times New Roman" w:hAnsi="CG Times (W1)"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uiPriority w:val="99"/>
    <w:rsid w:val="0010488E"/>
    <w:rPr>
      <w:rFonts w:ascii="Times New Roman" w:eastAsia="Times New Roman" w:hAnsi="Times New Roman" w:cs="Times New Roman"/>
      <w:sz w:val="20"/>
      <w:szCs w:val="20"/>
      <w:lang w:val="en-AU"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Grid3-Accent1">
    <w:name w:val="Medium Grid 3 Accent 1"/>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Classic2">
    <w:name w:val="Table Classic 2"/>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ightList">
    <w:name w:val="Light List"/>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ListBullet"/>
    <w:link w:val="BulletedlistChar"/>
    <w:uiPriority w:val="99"/>
    <w:rsid w:val="0010488E"/>
    <w:pPr>
      <w:tabs>
        <w:tab w:val="clear" w:pos="370"/>
        <w:tab w:val="num" w:pos="360"/>
        <w:tab w:val="num" w:pos="720"/>
      </w:tabs>
      <w:spacing w:after="120" w:line="240" w:lineRule="auto"/>
      <w:ind w:left="360"/>
      <w:contextualSpacing w:val="0"/>
      <w:jc w:val="both"/>
    </w:pPr>
    <w:rPr>
      <w:rFonts w:ascii="Garamond" w:eastAsia="Times New Roman" w:hAnsi="Garamond" w:cs="Times New Roman"/>
      <w:sz w:val="24"/>
    </w:rPr>
  </w:style>
  <w:style w:type="character" w:customStyle="1" w:styleId="BulletedlistChar">
    <w:name w:val="Bulleted list Char"/>
    <w:basedOn w:val="DefaultParagraphFont"/>
    <w:link w:val="Bulletedlist"/>
    <w:uiPriority w:val="99"/>
    <w:locked/>
    <w:rsid w:val="0010488E"/>
    <w:rPr>
      <w:rFonts w:ascii="Garamond" w:eastAsia="Times New Roman" w:hAnsi="Garamond" w:cs="Times New Roman"/>
      <w:lang w:val="en-AU"/>
    </w:rPr>
  </w:style>
  <w:style w:type="character" w:customStyle="1" w:styleId="Para0Char2">
    <w:name w:val="Para 0 Char2"/>
    <w:basedOn w:val="DefaultParagraphFont"/>
    <w:uiPriority w:val="99"/>
    <w:rsid w:val="0010488E"/>
    <w:rPr>
      <w:rFonts w:cs="Times New Roman"/>
      <w:color w:val="000000"/>
      <w:sz w:val="22"/>
      <w:lang w:val="en-GB" w:eastAsia="en-US"/>
    </w:rPr>
  </w:style>
  <w:style w:type="character" w:customStyle="1" w:styleId="Para0Char1">
    <w:name w:val="Para 0 Char1"/>
    <w:basedOn w:val="DefaultParagraphFont"/>
    <w:rsid w:val="0010488E"/>
    <w:rPr>
      <w:rFonts w:cs="Times New Roman"/>
      <w:color w:val="000000"/>
      <w:sz w:val="22"/>
      <w:lang w:val="en-GB" w:eastAsia="en-US"/>
    </w:rPr>
  </w:style>
  <w:style w:type="paragraph" w:customStyle="1" w:styleId="AttachmentHeading">
    <w:name w:val="Attachment Heading"/>
    <w:basedOn w:val="Para0"/>
    <w:uiPriority w:val="99"/>
    <w:rsid w:val="0010488E"/>
    <w:pPr>
      <w:spacing w:before="0" w:after="220" w:line="300" w:lineRule="auto"/>
    </w:pPr>
    <w:rPr>
      <w:rFonts w:ascii="Arial Narrow Bold" w:eastAsia="Times New Roman" w:hAnsi="Arial Narrow Bold" w:cs="Times New Roman"/>
      <w:b/>
      <w:spacing w:val="20"/>
      <w:szCs w:val="20"/>
    </w:rPr>
  </w:style>
  <w:style w:type="paragraph" w:customStyle="1" w:styleId="SKMbodytext">
    <w:name w:val="SKM body text"/>
    <w:basedOn w:val="Normal"/>
    <w:uiPriority w:val="99"/>
    <w:rsid w:val="0010488E"/>
    <w:pPr>
      <w:spacing w:after="200" w:line="240" w:lineRule="auto"/>
    </w:pPr>
    <w:rPr>
      <w:rFonts w:eastAsia="Times New Roman" w:cs="Times New Roman"/>
    </w:rPr>
  </w:style>
  <w:style w:type="paragraph" w:customStyle="1" w:styleId="BHPJobTitle">
    <w:name w:val="BHP Job Title"/>
    <w:basedOn w:val="Normal"/>
    <w:uiPriority w:val="99"/>
    <w:rsid w:val="0010488E"/>
    <w:pPr>
      <w:suppressAutoHyphens/>
      <w:spacing w:after="0"/>
    </w:pPr>
    <w:rPr>
      <w:rFonts w:ascii="Arial Narrow" w:eastAsia="Times New Roman" w:hAnsi="Arial Narrow" w:cs="Times New Roman"/>
      <w:spacing w:val="10"/>
      <w:szCs w:val="20"/>
      <w:lang w:eastAsia="en-AU"/>
    </w:rPr>
  </w:style>
  <w:style w:type="paragraph" w:customStyle="1" w:styleId="Tabletextleft">
    <w:name w:val="Table text left"/>
    <w:basedOn w:val="Para0new"/>
    <w:uiPriority w:val="99"/>
    <w:rsid w:val="0010488E"/>
    <w:pPr>
      <w:spacing w:after="240" w:line="360" w:lineRule="auto"/>
    </w:pPr>
    <w:rPr>
      <w:rFonts w:ascii="Arial Narrow" w:eastAsia="Times New Roman" w:hAnsi="Arial Narrow" w:cs="Times New Roman"/>
      <w:sz w:val="20"/>
      <w:szCs w:val="20"/>
      <w:lang w:eastAsia="en-AU"/>
    </w:rPr>
  </w:style>
  <w:style w:type="paragraph" w:customStyle="1" w:styleId="ProjectExperienceBullet">
    <w:name w:val="Project Experience Bullet"/>
    <w:basedOn w:val="Para0"/>
    <w:uiPriority w:val="99"/>
    <w:rsid w:val="0010488E"/>
    <w:pPr>
      <w:numPr>
        <w:numId w:val="64"/>
      </w:numPr>
      <w:tabs>
        <w:tab w:val="clear" w:pos="720"/>
        <w:tab w:val="num" w:pos="426"/>
      </w:tabs>
      <w:spacing w:before="0" w:line="240" w:lineRule="auto"/>
      <w:ind w:left="425" w:hanging="425"/>
      <w:jc w:val="both"/>
    </w:pPr>
    <w:rPr>
      <w:rFonts w:ascii="Arial Narrow" w:eastAsia="SimSun" w:hAnsi="Arial Narrow" w:cs="Arial"/>
      <w:color w:val="000000"/>
      <w:szCs w:val="20"/>
      <w:lang w:val="en-GB"/>
    </w:rPr>
  </w:style>
  <w:style w:type="character" w:customStyle="1" w:styleId="TableFontChar">
    <w:name w:val="TableFont Char"/>
    <w:basedOn w:val="DefaultParagraphFont"/>
    <w:link w:val="TableFont"/>
    <w:locked/>
    <w:rsid w:val="0010488E"/>
    <w:rPr>
      <w:rFonts w:ascii="Arial" w:eastAsia="Times New Roman" w:hAnsi="Arial" w:cs="Times New Roman"/>
      <w:color w:val="000000"/>
      <w:sz w:val="18"/>
      <w:szCs w:val="20"/>
      <w:lang w:val="en-GB"/>
    </w:rPr>
  </w:style>
  <w:style w:type="paragraph" w:customStyle="1" w:styleId="TT">
    <w:name w:val="TT"/>
    <w:basedOn w:val="Normal"/>
    <w:uiPriority w:val="99"/>
    <w:rsid w:val="0010488E"/>
    <w:pPr>
      <w:spacing w:before="120" w:after="120" w:line="240" w:lineRule="auto"/>
      <w:jc w:val="both"/>
    </w:pPr>
    <w:rPr>
      <w:rFonts w:eastAsia="MS Mincho" w:cs="Times New Roman"/>
      <w:sz w:val="18"/>
      <w:szCs w:val="20"/>
      <w:lang w:val="en-GB"/>
    </w:rPr>
  </w:style>
  <w:style w:type="paragraph" w:customStyle="1" w:styleId="BHPKeySkillstabletextleft">
    <w:name w:val="BHP Key Skills table text left"/>
    <w:basedOn w:val="BHPKeySkillsText"/>
    <w:uiPriority w:val="99"/>
    <w:rsid w:val="0010488E"/>
    <w:pPr>
      <w:spacing w:after="0" w:line="240" w:lineRule="auto"/>
    </w:pPr>
    <w:rPr>
      <w:rFonts w:eastAsia="SimSun"/>
    </w:rPr>
  </w:style>
  <w:style w:type="paragraph" w:customStyle="1" w:styleId="StyleTableHeadingDarkBlueBold">
    <w:name w:val="Style Table Heading Dark Blue + Bold"/>
    <w:basedOn w:val="Normal"/>
    <w:uiPriority w:val="99"/>
    <w:rsid w:val="0010488E"/>
    <w:pPr>
      <w:tabs>
        <w:tab w:val="right" w:pos="9144"/>
      </w:tabs>
      <w:spacing w:before="60" w:after="60"/>
    </w:pPr>
    <w:rPr>
      <w:rFonts w:ascii="Arial Bold" w:eastAsia="Times New Roman" w:hAnsi="Arial Bold" w:cs="Arial"/>
      <w:b/>
      <w:bCs/>
      <w:color w:val="808000"/>
      <w:sz w:val="18"/>
      <w:szCs w:val="18"/>
      <w:lang w:val="en-GB"/>
    </w:rPr>
  </w:style>
  <w:style w:type="table" w:styleId="LightShading-Accent4">
    <w:name w:val="Light Shading Accent 4"/>
    <w:basedOn w:val="TableNormal"/>
    <w:uiPriority w:val="99"/>
    <w:rsid w:val="0010488E"/>
    <w:rPr>
      <w:rFonts w:ascii="Calibri" w:eastAsia="Times New Roman" w:hAnsi="Calibri" w:cs="Times New Roman"/>
      <w:color w:val="5F497A"/>
      <w:sz w:val="20"/>
      <w:szCs w:val="20"/>
      <w:lang w:val="en-A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HeadEntry">
    <w:name w:val="HeadEntry"/>
    <w:basedOn w:val="Normal"/>
    <w:uiPriority w:val="99"/>
    <w:rsid w:val="0010488E"/>
    <w:pPr>
      <w:spacing w:before="80" w:after="80" w:line="240" w:lineRule="auto"/>
    </w:pPr>
    <w:rPr>
      <w:rFonts w:eastAsia="Times New Roman" w:cs="Times New Roman"/>
      <w:color w:val="000000"/>
      <w:szCs w:val="20"/>
      <w:lang w:val="en-GB"/>
    </w:rPr>
  </w:style>
  <w:style w:type="paragraph" w:customStyle="1" w:styleId="ProjectHighlightsheadinggreen">
    <w:name w:val="Project Highlights heading green"/>
    <w:basedOn w:val="Para0new"/>
    <w:uiPriority w:val="99"/>
    <w:rsid w:val="0010488E"/>
    <w:pPr>
      <w:spacing w:after="240" w:line="240" w:lineRule="auto"/>
    </w:pPr>
    <w:rPr>
      <w:rFonts w:ascii="Arial Narrow Bold" w:eastAsia="Times New Roman" w:hAnsi="Arial Narrow Bold" w:cs="Times New Roman"/>
      <w:b/>
      <w:color w:val="69BE28"/>
      <w:spacing w:val="20"/>
      <w:sz w:val="20"/>
      <w:szCs w:val="20"/>
      <w:lang w:val="en-AU"/>
    </w:rPr>
  </w:style>
  <w:style w:type="paragraph" w:customStyle="1" w:styleId="TableTextLeftBold">
    <w:name w:val="Table Text Left Bold"/>
    <w:basedOn w:val="Tabletextleft"/>
    <w:uiPriority w:val="99"/>
    <w:rsid w:val="0010488E"/>
    <w:pPr>
      <w:spacing w:before="120" w:after="0" w:line="240" w:lineRule="atLeast"/>
    </w:pPr>
    <w:rPr>
      <w:b/>
      <w:sz w:val="18"/>
      <w:szCs w:val="18"/>
    </w:rPr>
  </w:style>
  <w:style w:type="paragraph" w:customStyle="1" w:styleId="TabletextBullet">
    <w:name w:val="Table text Bullet"/>
    <w:basedOn w:val="Tabletext"/>
    <w:qFormat/>
    <w:rsid w:val="0010488E"/>
    <w:pPr>
      <w:numPr>
        <w:numId w:val="65"/>
      </w:numPr>
      <w:spacing w:before="120" w:after="120"/>
    </w:pPr>
    <w:rPr>
      <w:rFonts w:ascii="Arial Narrow" w:eastAsia="Times New Roman" w:hAnsi="Arial Narrow" w:cs="Times New Roman"/>
      <w:bCs/>
      <w:sz w:val="18"/>
      <w:szCs w:val="18"/>
    </w:rPr>
  </w:style>
  <w:style w:type="paragraph" w:customStyle="1" w:styleId="ProjectHighlightsHeadingPurple1">
    <w:name w:val="Project Highlights Heading Purple 1"/>
    <w:basedOn w:val="Normal"/>
    <w:uiPriority w:val="99"/>
    <w:rsid w:val="0010488E"/>
    <w:pPr>
      <w:spacing w:after="0" w:line="300" w:lineRule="auto"/>
      <w:jc w:val="both"/>
    </w:pPr>
    <w:rPr>
      <w:rFonts w:ascii="Arial Narrow" w:eastAsia="Times New Roman" w:hAnsi="Arial Narrow" w:cs="Times New Roman"/>
      <w:b/>
      <w:color w:val="7030A0"/>
      <w:sz w:val="22"/>
      <w:szCs w:val="20"/>
      <w:lang w:val="en-GB"/>
    </w:rPr>
  </w:style>
  <w:style w:type="paragraph" w:customStyle="1" w:styleId="Tabletextnumbers">
    <w:name w:val="Table text numbers"/>
    <w:basedOn w:val="Tabletext"/>
    <w:uiPriority w:val="99"/>
    <w:rsid w:val="0010488E"/>
    <w:pPr>
      <w:spacing w:before="120" w:after="120"/>
    </w:pPr>
    <w:rPr>
      <w:rFonts w:ascii="Arial Narrow" w:eastAsia="Times New Roman" w:hAnsi="Arial Narrow" w:cs="Times New Roman"/>
      <w:color w:val="4D4D4D"/>
      <w:sz w:val="18"/>
      <w:szCs w:val="20"/>
    </w:rPr>
  </w:style>
  <w:style w:type="paragraph" w:customStyle="1" w:styleId="ProjectHighlightsHeadingPurple2">
    <w:name w:val="Project Highlights Heading Purple 2"/>
    <w:basedOn w:val="Para0"/>
    <w:uiPriority w:val="99"/>
    <w:rsid w:val="0010488E"/>
    <w:pPr>
      <w:spacing w:before="0" w:after="220" w:line="240" w:lineRule="auto"/>
    </w:pPr>
    <w:rPr>
      <w:rFonts w:ascii="Arial Narrow" w:eastAsia="Times New Roman" w:hAnsi="Arial Narrow" w:cs="Times New Roman"/>
      <w:b/>
      <w:bCs/>
      <w:color w:val="7030A0"/>
      <w:sz w:val="18"/>
      <w:szCs w:val="18"/>
      <w:lang w:val="en-GB"/>
    </w:rPr>
  </w:style>
  <w:style w:type="paragraph" w:customStyle="1" w:styleId="Tabletextcentred">
    <w:name w:val="Table text centred"/>
    <w:basedOn w:val="Tabletextleft"/>
    <w:uiPriority w:val="99"/>
    <w:rsid w:val="0010488E"/>
    <w:pPr>
      <w:jc w:val="center"/>
    </w:pPr>
    <w:rPr>
      <w:bCs/>
      <w:noProof/>
      <w:lang w:val="en-AU"/>
    </w:rPr>
  </w:style>
  <w:style w:type="paragraph" w:customStyle="1" w:styleId="PenpicName">
    <w:name w:val="Penpic Name"/>
    <w:basedOn w:val="Normal"/>
    <w:uiPriority w:val="99"/>
    <w:rsid w:val="0010488E"/>
    <w:pPr>
      <w:spacing w:before="120" w:after="120" w:line="240" w:lineRule="auto"/>
    </w:pPr>
    <w:rPr>
      <w:rFonts w:ascii="Arial Narrow" w:eastAsia="Times New Roman" w:hAnsi="Arial Narrow" w:cs="Times New Roman"/>
      <w:b/>
      <w:bCs/>
      <w:color w:val="42145F"/>
      <w:spacing w:val="100"/>
      <w:sz w:val="24"/>
      <w:szCs w:val="20"/>
      <w:lang w:val="en-GB"/>
    </w:rPr>
  </w:style>
  <w:style w:type="paragraph" w:customStyle="1" w:styleId="PenpicHeading">
    <w:name w:val="Penpic Heading"/>
    <w:basedOn w:val="Normal"/>
    <w:uiPriority w:val="99"/>
    <w:rsid w:val="0010488E"/>
    <w:pPr>
      <w:framePr w:hSpace="180" w:wrap="around" w:vAnchor="text" w:hAnchor="text" w:x="7" w:y="1"/>
      <w:spacing w:before="120" w:after="60" w:line="240" w:lineRule="auto"/>
      <w:suppressOverlap/>
    </w:pPr>
    <w:rPr>
      <w:rFonts w:ascii="Arial Narrow Bold" w:eastAsia="Times New Roman" w:hAnsi="Arial Narrow Bold" w:cs="Times New Roman"/>
      <w:b/>
      <w:bCs/>
      <w:color w:val="42145F"/>
      <w:spacing w:val="20"/>
      <w:sz w:val="21"/>
      <w:szCs w:val="20"/>
      <w:lang w:eastAsia="en-AU"/>
    </w:rPr>
  </w:style>
  <w:style w:type="paragraph" w:customStyle="1" w:styleId="parabulletwhitetext">
    <w:name w:val="para bullet white text"/>
    <w:basedOn w:val="Para0bullet"/>
    <w:uiPriority w:val="99"/>
    <w:rsid w:val="0010488E"/>
    <w:pPr>
      <w:numPr>
        <w:numId w:val="0"/>
      </w:numPr>
      <w:tabs>
        <w:tab w:val="clear" w:pos="851"/>
      </w:tabs>
      <w:spacing w:after="60" w:line="300" w:lineRule="auto"/>
    </w:pPr>
    <w:rPr>
      <w:rFonts w:ascii="Arial Narrow" w:eastAsia="Times New Roman" w:hAnsi="Arial Narrow" w:cs="Times New Roman"/>
      <w:color w:val="FFFFFF"/>
      <w:szCs w:val="20"/>
      <w:lang w:val="en-GB"/>
    </w:rPr>
  </w:style>
  <w:style w:type="paragraph" w:customStyle="1" w:styleId="Parabulletpurpletext">
    <w:name w:val="Para bullet purple text"/>
    <w:basedOn w:val="Para0bullet"/>
    <w:uiPriority w:val="99"/>
    <w:rsid w:val="0010488E"/>
    <w:pPr>
      <w:numPr>
        <w:numId w:val="0"/>
      </w:numPr>
      <w:tabs>
        <w:tab w:val="clear" w:pos="851"/>
      </w:tabs>
      <w:spacing w:after="60" w:line="300" w:lineRule="auto"/>
      <w:ind w:hanging="425"/>
    </w:pPr>
    <w:rPr>
      <w:rFonts w:ascii="Arial Narrow" w:eastAsia="Times New Roman" w:hAnsi="Arial Narrow" w:cs="Times New Roman"/>
      <w:color w:val="7030A0"/>
      <w:szCs w:val="20"/>
      <w:lang w:val="en-GB"/>
    </w:rPr>
  </w:style>
  <w:style w:type="paragraph" w:customStyle="1" w:styleId="Tabletextpurple">
    <w:name w:val="Table text purple"/>
    <w:basedOn w:val="Normal"/>
    <w:uiPriority w:val="99"/>
    <w:rsid w:val="0010488E"/>
    <w:pPr>
      <w:tabs>
        <w:tab w:val="right" w:pos="3828"/>
      </w:tabs>
      <w:spacing w:after="60" w:line="300" w:lineRule="auto"/>
    </w:pPr>
    <w:rPr>
      <w:rFonts w:ascii="Arial Narrow" w:eastAsia="Times New Roman" w:hAnsi="Arial Narrow" w:cs="Arial"/>
      <w:color w:val="42145F"/>
      <w:sz w:val="18"/>
      <w:szCs w:val="18"/>
      <w:lang w:val="en-GB"/>
    </w:rPr>
  </w:style>
  <w:style w:type="paragraph" w:customStyle="1" w:styleId="ProjectHighlightsheadinggreen2">
    <w:name w:val="Project Highlights heading green 2"/>
    <w:basedOn w:val="ProjectHighlightsheadinggreen"/>
    <w:uiPriority w:val="99"/>
    <w:rsid w:val="0010488E"/>
    <w:rPr>
      <w:sz w:val="18"/>
      <w:szCs w:val="18"/>
    </w:rPr>
  </w:style>
  <w:style w:type="paragraph" w:customStyle="1" w:styleId="ProjectHighlightsheadingblack">
    <w:name w:val="Project Highlights heading black"/>
    <w:basedOn w:val="TableTextLeftBold"/>
    <w:uiPriority w:val="99"/>
    <w:rsid w:val="0010488E"/>
  </w:style>
  <w:style w:type="character" w:customStyle="1" w:styleId="NoSpacingChar">
    <w:name w:val="No Spacing Char"/>
    <w:basedOn w:val="DefaultParagraphFont"/>
    <w:link w:val="NoSpacing"/>
    <w:uiPriority w:val="99"/>
    <w:locked/>
    <w:rsid w:val="0010488E"/>
    <w:rPr>
      <w:rFonts w:ascii="Arial" w:eastAsia="Times New Roman" w:hAnsi="Arial" w:cs="Times New Roman"/>
      <w:color w:val="000000"/>
      <w:sz w:val="20"/>
      <w:szCs w:val="20"/>
      <w:lang w:val="en-GB"/>
    </w:rPr>
  </w:style>
  <w:style w:type="table" w:customStyle="1" w:styleId="LightList-Accent11">
    <w:name w:val="Light List - Accent 11"/>
    <w:uiPriority w:val="99"/>
    <w:rsid w:val="0010488E"/>
    <w:rPr>
      <w:rFonts w:ascii="Times New Roman" w:eastAsia="Times New Roman" w:hAnsi="Times New Roman"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ash">
    <w:name w:val="Dash"/>
    <w:basedOn w:val="Normal"/>
    <w:link w:val="DashChar"/>
    <w:uiPriority w:val="99"/>
    <w:rsid w:val="0010488E"/>
    <w:pPr>
      <w:tabs>
        <w:tab w:val="num" w:pos="-3355"/>
      </w:tabs>
      <w:spacing w:before="140" w:after="140" w:line="280" w:lineRule="atLeast"/>
      <w:ind w:left="-3355" w:hanging="520"/>
    </w:pPr>
    <w:rPr>
      <w:rFonts w:eastAsia="Times New Roman" w:cs="Arial"/>
      <w:sz w:val="22"/>
      <w:szCs w:val="22"/>
      <w:lang w:eastAsia="en-AU"/>
    </w:rPr>
  </w:style>
  <w:style w:type="paragraph" w:customStyle="1" w:styleId="DoubleDot">
    <w:name w:val="Double Dot"/>
    <w:basedOn w:val="Normal"/>
    <w:uiPriority w:val="99"/>
    <w:rsid w:val="0010488E"/>
    <w:pPr>
      <w:tabs>
        <w:tab w:val="num" w:pos="-2835"/>
      </w:tabs>
      <w:spacing w:before="140" w:after="140" w:line="280" w:lineRule="atLeast"/>
      <w:ind w:left="-2835" w:hanging="520"/>
    </w:pPr>
    <w:rPr>
      <w:rFonts w:eastAsia="Times New Roman" w:cs="Arial"/>
      <w:sz w:val="22"/>
      <w:szCs w:val="22"/>
      <w:lang w:eastAsia="en-AU"/>
    </w:rPr>
  </w:style>
  <w:style w:type="table" w:styleId="MediumShading2-Accent4">
    <w:name w:val="Medium Shading 2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MediumList11">
    <w:name w:val="Medium List 11"/>
    <w:uiPriority w:val="99"/>
    <w:rsid w:val="0010488E"/>
    <w:rPr>
      <w:rFonts w:ascii="Times New Roman" w:eastAsia="Times New Roman" w:hAnsi="Times New Roman" w:cs="Times New Roman"/>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Heading2Char1">
    <w:name w:val="Heading 2 Char1"/>
    <w:aliases w:val="h2 main heading Char1,Heading 2 Main Heading Char1,heading 2body Char1,h2 Char1,Attribute Heading 2 Char1,body Char1,test Char1,H2 Char1,l2 Char1,list 2 Char1,list 2 Char1,heading 2TOC Char1,Head 2 Char1,List level 2 Char1,2 Char1"/>
    <w:basedOn w:val="DefaultParagraphFont"/>
    <w:uiPriority w:val="99"/>
    <w:locked/>
    <w:rsid w:val="0010488E"/>
    <w:rPr>
      <w:rFonts w:ascii="Arial" w:hAnsi="Arial"/>
      <w:b/>
      <w:color w:val="42145F"/>
      <w:lang w:val="en-GB" w:eastAsia="en-US"/>
    </w:rPr>
  </w:style>
  <w:style w:type="character" w:customStyle="1" w:styleId="Heading7Char1">
    <w:name w:val="Heading 7 Char1"/>
    <w:aliases w:val="Sub-Heading Char1,Legal Level 1.1. Char1,hd7 Char1,h7 Char1,i. Char1,DO NOT USE 7 Char1,not Kinhill1 Char1,. [(1)] Char1"/>
    <w:basedOn w:val="DefaultParagraphFont"/>
    <w:uiPriority w:val="99"/>
    <w:locked/>
    <w:rsid w:val="0010488E"/>
    <w:rPr>
      <w:rFonts w:ascii="Arial" w:hAnsi="Arial" w:cs="Times New Roman"/>
      <w:b/>
      <w:color w:val="42145F"/>
      <w:sz w:val="22"/>
      <w:szCs w:val="22"/>
      <w:lang w:val="en-GB" w:eastAsia="en-US" w:bidi="ar-SA"/>
    </w:rPr>
  </w:style>
  <w:style w:type="table" w:styleId="MediumShading2-Accent3">
    <w:name w:val="Medium Shading 2 Accent 3"/>
    <w:basedOn w:val="TableNormal"/>
    <w:uiPriority w:val="99"/>
    <w:rsid w:val="0010488E"/>
    <w:rPr>
      <w:rFonts w:ascii="Calibri" w:eastAsia="Times New Roman" w:hAnsi="Calibri" w:cs="Times New Roman"/>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99"/>
    <w:rsid w:val="0010488E"/>
    <w:rPr>
      <w:rFonts w:ascii="Cambria" w:eastAsia="Times New Roman" w:hAnsi="Cambria" w:cs="Times New Roman"/>
      <w:color w:val="000000"/>
      <w:sz w:val="20"/>
      <w:szCs w:val="20"/>
      <w:lang w:val="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Heading5Char2">
    <w:name w:val="Heading 5 Char2"/>
    <w:aliases w:val="H5 Char1,Appendix Char1,Heading 5 StGeorge Char1,Level 3 - i Char1,Level 5 Char1,L5 Char1,l5+toc5 Char1,(A) Char1,h5 Char1,Sub4Para Char1,Sub-Para a. Char1,h51 Char1,h52 Char1,hd5 Char1,Section Sub Point Char1,Contents Sub Char1,(i) Char"/>
    <w:basedOn w:val="DefaultParagraphFont"/>
    <w:uiPriority w:val="99"/>
    <w:locked/>
    <w:rsid w:val="0010488E"/>
    <w:rPr>
      <w:rFonts w:ascii="Arial" w:hAnsi="Arial" w:cs="Times New Roman"/>
      <w:b/>
      <w:color w:val="42145F"/>
      <w:sz w:val="22"/>
      <w:szCs w:val="22"/>
      <w:lang w:val="en-GB" w:eastAsia="en-US" w:bidi="ar-SA"/>
    </w:rPr>
  </w:style>
  <w:style w:type="table" w:customStyle="1" w:styleId="MediumGrid2-Accent51">
    <w:name w:val="Medium Grid 2 - Accent 51"/>
    <w:uiPriority w:val="99"/>
    <w:rsid w:val="0010488E"/>
    <w:rPr>
      <w:rFonts w:ascii="Cambria" w:eastAsia="Times New Roman" w:hAnsi="Cambria" w:cs="Cambria"/>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paragraph" w:customStyle="1" w:styleId="ReferenceCharChar">
    <w:name w:val="Reference Char Char"/>
    <w:next w:val="Normal"/>
    <w:uiPriority w:val="99"/>
    <w:rsid w:val="0010488E"/>
    <w:rPr>
      <w:rFonts w:ascii="Book Antiqua" w:eastAsia="Times New Roman" w:hAnsi="Book Antiqua" w:cs="Book Antiqua"/>
      <w:sz w:val="16"/>
      <w:szCs w:val="16"/>
      <w:lang w:val="en-AU"/>
    </w:rPr>
  </w:style>
  <w:style w:type="character" w:customStyle="1" w:styleId="BulletCharChar">
    <w:name w:val="Bullet Char Char"/>
    <w:basedOn w:val="DefaultParagraphFont"/>
    <w:uiPriority w:val="99"/>
    <w:rsid w:val="0010488E"/>
    <w:rPr>
      <w:rFonts w:ascii="Book Antiqua" w:hAnsi="Book Antiqua" w:cs="Book Antiqua"/>
      <w:sz w:val="22"/>
      <w:szCs w:val="22"/>
      <w:lang w:val="en-AU" w:eastAsia="en-AU"/>
    </w:rPr>
  </w:style>
  <w:style w:type="paragraph" w:customStyle="1" w:styleId="TextChar">
    <w:name w:val="Text Char"/>
    <w:basedOn w:val="Normal"/>
    <w:uiPriority w:val="99"/>
    <w:rsid w:val="0010488E"/>
    <w:pPr>
      <w:keepLines/>
      <w:spacing w:after="180" w:line="270" w:lineRule="exact"/>
      <w:jc w:val="both"/>
    </w:pPr>
    <w:rPr>
      <w:rFonts w:eastAsia="Times New Roman" w:cs="Times New Roman"/>
      <w:szCs w:val="20"/>
    </w:rPr>
  </w:style>
  <w:style w:type="paragraph" w:customStyle="1" w:styleId="Char">
    <w:name w:val="Char"/>
    <w:basedOn w:val="Normal"/>
    <w:uiPriority w:val="99"/>
    <w:rsid w:val="0010488E"/>
    <w:pPr>
      <w:spacing w:after="160" w:line="240" w:lineRule="exact"/>
    </w:pPr>
    <w:rPr>
      <w:rFonts w:ascii="Verdana" w:eastAsia="Times New Roman" w:hAnsi="Verdana" w:cs="Verdana"/>
      <w:szCs w:val="20"/>
      <w:lang w:val="en-US"/>
    </w:rPr>
  </w:style>
  <w:style w:type="paragraph" w:customStyle="1" w:styleId="Appendixheading">
    <w:name w:val="Appendix heading"/>
    <w:basedOn w:val="Heading1"/>
    <w:link w:val="AppendixheadingChar"/>
    <w:uiPriority w:val="99"/>
    <w:rsid w:val="0010488E"/>
    <w:pPr>
      <w:keepLines w:val="0"/>
      <w:numPr>
        <w:numId w:val="0"/>
      </w:numPr>
      <w:tabs>
        <w:tab w:val="num" w:pos="397"/>
        <w:tab w:val="num" w:pos="851"/>
      </w:tabs>
      <w:spacing w:before="0" w:after="240" w:line="240" w:lineRule="auto"/>
      <w:ind w:left="851" w:hanging="851"/>
    </w:pPr>
    <w:rPr>
      <w:rFonts w:eastAsia="Times New Roman" w:cs="Times New Roman"/>
      <w:bCs w:val="0"/>
      <w:color w:val="000000"/>
      <w:sz w:val="36"/>
      <w:szCs w:val="20"/>
      <w:lang w:val="en-GB"/>
    </w:rPr>
  </w:style>
  <w:style w:type="character" w:customStyle="1" w:styleId="AppendixheadingChar">
    <w:name w:val="Appendix heading Char"/>
    <w:basedOn w:val="Heading1Char"/>
    <w:link w:val="Appendixheading"/>
    <w:uiPriority w:val="99"/>
    <w:locked/>
    <w:rsid w:val="0010488E"/>
    <w:rPr>
      <w:rFonts w:ascii="Arial" w:eastAsia="Times New Roman" w:hAnsi="Arial" w:cs="Times New Roman"/>
      <w:b/>
      <w:bCs w:val="0"/>
      <w:color w:val="000000"/>
      <w:sz w:val="36"/>
      <w:szCs w:val="20"/>
      <w:lang w:val="en-GB"/>
    </w:rPr>
  </w:style>
  <w:style w:type="character" w:styleId="PlaceholderText">
    <w:name w:val="Placeholder Text"/>
    <w:basedOn w:val="DefaultParagraphFont"/>
    <w:uiPriority w:val="99"/>
    <w:semiHidden/>
    <w:rsid w:val="0010488E"/>
    <w:rPr>
      <w:rFonts w:cs="Times New Roman"/>
      <w:color w:val="808080"/>
    </w:rPr>
  </w:style>
  <w:style w:type="character" w:customStyle="1" w:styleId="DashChar">
    <w:name w:val="Dash Char"/>
    <w:basedOn w:val="DefaultParagraphFont"/>
    <w:link w:val="Dash"/>
    <w:uiPriority w:val="99"/>
    <w:locked/>
    <w:rsid w:val="0010488E"/>
    <w:rPr>
      <w:rFonts w:ascii="Arial" w:eastAsia="Times New Roman" w:hAnsi="Arial" w:cs="Arial"/>
      <w:sz w:val="22"/>
      <w:szCs w:val="22"/>
      <w:lang w:val="en-AU" w:eastAsia="en-AU"/>
    </w:rPr>
  </w:style>
  <w:style w:type="character" w:customStyle="1" w:styleId="FootnoteCharacters">
    <w:name w:val="Footnote Characters"/>
    <w:basedOn w:val="DefaultParagraphFont"/>
    <w:uiPriority w:val="99"/>
    <w:rsid w:val="0010488E"/>
    <w:rPr>
      <w:rFonts w:cs="Times New Roman"/>
      <w:vertAlign w:val="superscript"/>
    </w:rPr>
  </w:style>
  <w:style w:type="paragraph" w:customStyle="1" w:styleId="WW-Default">
    <w:name w:val="WW-Default"/>
    <w:uiPriority w:val="99"/>
    <w:rsid w:val="0010488E"/>
    <w:pPr>
      <w:suppressAutoHyphens/>
      <w:overflowPunct w:val="0"/>
      <w:autoSpaceDE w:val="0"/>
      <w:autoSpaceDN w:val="0"/>
      <w:adjustRightInd w:val="0"/>
      <w:textAlignment w:val="baseline"/>
    </w:pPr>
    <w:rPr>
      <w:rFonts w:ascii="MOMBKL+TimesNewRoman" w:eastAsia="Times New Roman" w:hAnsi="MOMBKL+TimesNewRoman" w:cs="MOMBKL+TimesNewRoman"/>
      <w:color w:val="000000"/>
    </w:rPr>
  </w:style>
  <w:style w:type="table" w:customStyle="1" w:styleId="LightGrid-Accent51">
    <w:name w:val="Light Grid - Accent 5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MediumGrid1-Accent51">
    <w:name w:val="Medium Grid 1 - Accent 5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List1-Accent51">
    <w:name w:val="Medium List 1 - Accent 51"/>
    <w:uiPriority w:val="99"/>
    <w:rsid w:val="0010488E"/>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MediumShading1-Accent51">
    <w:name w:val="Medium Shading 1 - Accent 5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CABNETParagraphAtt">
    <w:name w:val="CABNET Paragraph Att"/>
    <w:basedOn w:val="Normal"/>
    <w:link w:val="CABNETParagraphAttChar"/>
    <w:uiPriority w:val="99"/>
    <w:rsid w:val="0010488E"/>
    <w:pPr>
      <w:spacing w:before="120" w:after="120" w:line="240" w:lineRule="auto"/>
    </w:pPr>
    <w:rPr>
      <w:rFonts w:ascii="Verdana" w:eastAsia="Times New Roman" w:hAnsi="Verdana" w:cs="Verdana"/>
      <w:szCs w:val="20"/>
      <w:lang w:eastAsia="en-AU"/>
    </w:rPr>
  </w:style>
  <w:style w:type="character" w:customStyle="1" w:styleId="CABNETParagraphAttChar">
    <w:name w:val="CABNET Paragraph Att Char"/>
    <w:basedOn w:val="DefaultParagraphFont"/>
    <w:link w:val="CABNETParagraphAtt"/>
    <w:uiPriority w:val="99"/>
    <w:locked/>
    <w:rsid w:val="0010488E"/>
    <w:rPr>
      <w:rFonts w:ascii="Verdana" w:eastAsia="Times New Roman" w:hAnsi="Verdana" w:cs="Verdana"/>
      <w:sz w:val="20"/>
      <w:szCs w:val="20"/>
      <w:lang w:val="en-AU" w:eastAsia="en-AU"/>
    </w:rPr>
  </w:style>
  <w:style w:type="table" w:styleId="TableColumns4">
    <w:name w:val="Table Columns 4"/>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List4">
    <w:name w:val="Table List 4"/>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1">
    <w:name w:val="Table Simple 1"/>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MediumList2-Accent51">
    <w:name w:val="Medium List 2 - Accent 51"/>
    <w:uiPriority w:val="99"/>
    <w:rsid w:val="0010488E"/>
    <w:rPr>
      <w:rFonts w:ascii="Cambria" w:eastAsia="Times New Roman" w:hAnsi="Cambria" w:cs="Cambria"/>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Grid3-Accent41">
    <w:name w:val="Medium Grid 3 - Accent 4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MediumGrid2-Accent41">
    <w:name w:val="Medium Grid 2 - Accent 41"/>
    <w:uiPriority w:val="99"/>
    <w:rsid w:val="0010488E"/>
    <w:rPr>
      <w:rFonts w:ascii="Cambria" w:eastAsia="Times New Roman" w:hAnsi="Cambria" w:cs="Cambria"/>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styleId="MediumGrid2-Accent4">
    <w:name w:val="Medium Grid 2 Accent 4"/>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character" w:styleId="IntenseEmphasis">
    <w:name w:val="Intense Emphasis"/>
    <w:basedOn w:val="DefaultParagraphFont"/>
    <w:uiPriority w:val="99"/>
    <w:qFormat/>
    <w:rsid w:val="0010488E"/>
    <w:rPr>
      <w:rFonts w:cs="Times New Roman"/>
      <w:b/>
      <w:bCs/>
      <w:i/>
      <w:iCs/>
      <w:color w:val="4F81BD"/>
    </w:rPr>
  </w:style>
  <w:style w:type="table" w:styleId="MediumList2-Accent5">
    <w:name w:val="Medium List 2 Accent 5"/>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5">
    <w:name w:val="Light Shading Accent 5"/>
    <w:basedOn w:val="TableNormal"/>
    <w:uiPriority w:val="99"/>
    <w:rsid w:val="0010488E"/>
    <w:rPr>
      <w:rFonts w:ascii="Times New Roman" w:eastAsia="Times New Roman" w:hAnsi="Times New Roman" w:cs="Times New Roman"/>
      <w:color w:val="31849B"/>
      <w:sz w:val="20"/>
      <w:szCs w:val="20"/>
      <w:lang w:val="en-AU" w:eastAsia="en-A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ont5">
    <w:name w:val="font5"/>
    <w:basedOn w:val="Normal"/>
    <w:uiPriority w:val="99"/>
    <w:rsid w:val="0010488E"/>
    <w:pPr>
      <w:spacing w:before="100" w:beforeAutospacing="1" w:after="100" w:afterAutospacing="1" w:line="240" w:lineRule="auto"/>
    </w:pPr>
    <w:rPr>
      <w:rFonts w:ascii="Calibri" w:eastAsia="Times New Roman" w:hAnsi="Calibri" w:cs="Times New Roman"/>
      <w:b/>
      <w:bCs/>
      <w:i/>
      <w:iCs/>
      <w:color w:val="F79646"/>
      <w:sz w:val="22"/>
      <w:szCs w:val="22"/>
      <w:lang w:eastAsia="en-AU"/>
    </w:rPr>
  </w:style>
  <w:style w:type="paragraph" w:customStyle="1" w:styleId="font6">
    <w:name w:val="font6"/>
    <w:basedOn w:val="Normal"/>
    <w:uiPriority w:val="99"/>
    <w:rsid w:val="0010488E"/>
    <w:pPr>
      <w:spacing w:before="100" w:beforeAutospacing="1" w:after="100" w:afterAutospacing="1" w:line="240" w:lineRule="auto"/>
    </w:pPr>
    <w:rPr>
      <w:rFonts w:ascii="Tahoma" w:eastAsia="Times New Roman" w:hAnsi="Tahoma" w:cs="Tahoma"/>
      <w:b/>
      <w:bCs/>
      <w:color w:val="000000"/>
      <w:sz w:val="16"/>
      <w:szCs w:val="16"/>
      <w:lang w:eastAsia="en-AU"/>
    </w:rPr>
  </w:style>
  <w:style w:type="paragraph" w:customStyle="1" w:styleId="font7">
    <w:name w:val="font7"/>
    <w:basedOn w:val="Normal"/>
    <w:uiPriority w:val="99"/>
    <w:rsid w:val="0010488E"/>
    <w:pPr>
      <w:spacing w:before="100" w:beforeAutospacing="1" w:after="100" w:afterAutospacing="1" w:line="240" w:lineRule="auto"/>
    </w:pPr>
    <w:rPr>
      <w:rFonts w:ascii="Tahoma" w:eastAsia="Times New Roman" w:hAnsi="Tahoma" w:cs="Tahoma"/>
      <w:color w:val="000000"/>
      <w:sz w:val="16"/>
      <w:szCs w:val="16"/>
      <w:lang w:eastAsia="en-AU"/>
    </w:rPr>
  </w:style>
  <w:style w:type="paragraph" w:customStyle="1" w:styleId="font8">
    <w:name w:val="font8"/>
    <w:basedOn w:val="Normal"/>
    <w:uiPriority w:val="99"/>
    <w:rsid w:val="0010488E"/>
    <w:pPr>
      <w:spacing w:before="100" w:beforeAutospacing="1" w:after="100" w:afterAutospacing="1" w:line="240" w:lineRule="auto"/>
    </w:pPr>
    <w:rPr>
      <w:rFonts w:ascii="Tahoma" w:eastAsia="Times New Roman" w:hAnsi="Tahoma" w:cs="Tahoma"/>
      <w:b/>
      <w:bCs/>
      <w:color w:val="000000"/>
      <w:sz w:val="28"/>
      <w:szCs w:val="28"/>
      <w:lang w:eastAsia="en-AU"/>
    </w:rPr>
  </w:style>
  <w:style w:type="paragraph" w:customStyle="1" w:styleId="font9">
    <w:name w:val="font9"/>
    <w:basedOn w:val="Normal"/>
    <w:uiPriority w:val="99"/>
    <w:rsid w:val="0010488E"/>
    <w:pPr>
      <w:spacing w:before="100" w:beforeAutospacing="1" w:after="100" w:afterAutospacing="1" w:line="240" w:lineRule="auto"/>
    </w:pPr>
    <w:rPr>
      <w:rFonts w:ascii="Tahoma" w:eastAsia="Times New Roman" w:hAnsi="Tahoma" w:cs="Tahoma"/>
      <w:color w:val="000000"/>
      <w:sz w:val="28"/>
      <w:szCs w:val="28"/>
      <w:lang w:eastAsia="en-AU"/>
    </w:rPr>
  </w:style>
  <w:style w:type="paragraph" w:customStyle="1" w:styleId="xl274">
    <w:name w:val="xl274"/>
    <w:basedOn w:val="Normal"/>
    <w:uiPriority w:val="99"/>
    <w:rsid w:val="0010488E"/>
    <w:pPr>
      <w:spacing w:before="100" w:beforeAutospacing="1" w:after="100" w:afterAutospacing="1" w:line="240" w:lineRule="auto"/>
      <w:jc w:val="center"/>
    </w:pPr>
    <w:rPr>
      <w:rFonts w:ascii="Times New Roman" w:eastAsia="Times New Roman" w:hAnsi="Times New Roman" w:cs="Times New Roman"/>
      <w:sz w:val="24"/>
      <w:lang w:eastAsia="en-AU"/>
    </w:rPr>
  </w:style>
  <w:style w:type="paragraph" w:customStyle="1" w:styleId="xl275">
    <w:name w:val="xl275"/>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76">
    <w:name w:val="xl276"/>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77">
    <w:name w:val="xl277"/>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78">
    <w:name w:val="xl278"/>
    <w:basedOn w:val="Normal"/>
    <w:uiPriority w:val="99"/>
    <w:rsid w:val="0010488E"/>
    <w:pPr>
      <w:shd w:val="clear" w:color="4F81BD" w:fill="4F81BD"/>
      <w:spacing w:before="100" w:beforeAutospacing="1" w:after="100" w:afterAutospacing="1" w:line="240" w:lineRule="auto"/>
    </w:pPr>
    <w:rPr>
      <w:rFonts w:ascii="Times New Roman" w:eastAsia="Times New Roman" w:hAnsi="Times New Roman" w:cs="Times New Roman"/>
      <w:b/>
      <w:bCs/>
      <w:i/>
      <w:iCs/>
      <w:color w:val="FFFFFF"/>
      <w:sz w:val="24"/>
      <w:lang w:eastAsia="en-AU"/>
    </w:rPr>
  </w:style>
  <w:style w:type="paragraph" w:customStyle="1" w:styleId="xl279">
    <w:name w:val="xl279"/>
    <w:basedOn w:val="Normal"/>
    <w:uiPriority w:val="99"/>
    <w:rsid w:val="0010488E"/>
    <w:pPr>
      <w:shd w:val="clear" w:color="4F81BD" w:fill="4F81BD"/>
      <w:spacing w:before="100" w:beforeAutospacing="1" w:after="100" w:afterAutospacing="1" w:line="240" w:lineRule="auto"/>
    </w:pPr>
    <w:rPr>
      <w:rFonts w:ascii="Times New Roman" w:eastAsia="Times New Roman" w:hAnsi="Times New Roman" w:cs="Times New Roman"/>
      <w:b/>
      <w:bCs/>
      <w:i/>
      <w:iCs/>
      <w:color w:val="FFFFFF"/>
      <w:sz w:val="24"/>
      <w:lang w:eastAsia="en-AU"/>
    </w:rPr>
  </w:style>
  <w:style w:type="paragraph" w:customStyle="1" w:styleId="xl280">
    <w:name w:val="xl280"/>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81">
    <w:name w:val="xl281"/>
    <w:basedOn w:val="Normal"/>
    <w:uiPriority w:val="99"/>
    <w:rsid w:val="0010488E"/>
    <w:pPr>
      <w:shd w:val="clear" w:color="4F81BD" w:fill="4F81BD"/>
      <w:spacing w:before="100" w:beforeAutospacing="1" w:after="100" w:afterAutospacing="1" w:line="240" w:lineRule="auto"/>
    </w:pPr>
    <w:rPr>
      <w:rFonts w:ascii="Times New Roman" w:eastAsia="Times New Roman" w:hAnsi="Times New Roman" w:cs="Times New Roman"/>
      <w:b/>
      <w:bCs/>
      <w:i/>
      <w:iCs/>
      <w:color w:val="FFFFFF"/>
      <w:sz w:val="24"/>
      <w:lang w:eastAsia="en-AU"/>
    </w:rPr>
  </w:style>
  <w:style w:type="paragraph" w:customStyle="1" w:styleId="xl282">
    <w:name w:val="xl282"/>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79646"/>
      <w:sz w:val="24"/>
      <w:lang w:eastAsia="en-AU"/>
    </w:rPr>
  </w:style>
  <w:style w:type="paragraph" w:customStyle="1" w:styleId="xl283">
    <w:name w:val="xl283"/>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84">
    <w:name w:val="xl284"/>
    <w:basedOn w:val="Normal"/>
    <w:uiPriority w:val="99"/>
    <w:rsid w:val="0010488E"/>
    <w:pPr>
      <w:spacing w:before="100" w:beforeAutospacing="1" w:after="100" w:afterAutospacing="1" w:line="240" w:lineRule="auto"/>
      <w:jc w:val="center"/>
    </w:pPr>
    <w:rPr>
      <w:rFonts w:ascii="Courier" w:eastAsia="Times New Roman" w:hAnsi="Courier" w:cs="Times New Roman"/>
      <w:sz w:val="24"/>
      <w:lang w:eastAsia="en-AU"/>
    </w:rPr>
  </w:style>
  <w:style w:type="paragraph" w:customStyle="1" w:styleId="xl285">
    <w:name w:val="xl285"/>
    <w:basedOn w:val="Normal"/>
    <w:uiPriority w:val="99"/>
    <w:rsid w:val="0010488E"/>
    <w:pPr>
      <w:shd w:val="clear" w:color="000000" w:fill="FFFFFF"/>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86">
    <w:name w:val="xl286"/>
    <w:basedOn w:val="Normal"/>
    <w:uiPriority w:val="99"/>
    <w:rsid w:val="0010488E"/>
    <w:pPr>
      <w:spacing w:before="100" w:beforeAutospacing="1" w:after="100" w:afterAutospacing="1" w:line="240" w:lineRule="auto"/>
    </w:pPr>
    <w:rPr>
      <w:rFonts w:ascii="Courier" w:eastAsia="Times New Roman" w:hAnsi="Courier" w:cs="Times New Roman"/>
      <w:sz w:val="24"/>
      <w:lang w:eastAsia="en-AU"/>
    </w:rPr>
  </w:style>
  <w:style w:type="paragraph" w:customStyle="1" w:styleId="xl287">
    <w:name w:val="xl287"/>
    <w:basedOn w:val="Normal"/>
    <w:uiPriority w:val="99"/>
    <w:rsid w:val="0010488E"/>
    <w:pPr>
      <w:spacing w:before="100" w:beforeAutospacing="1" w:after="100" w:afterAutospacing="1" w:line="240" w:lineRule="auto"/>
      <w:jc w:val="center"/>
    </w:pPr>
    <w:rPr>
      <w:rFonts w:ascii="Times New Roman" w:eastAsia="Times New Roman" w:hAnsi="Times New Roman" w:cs="Times New Roman"/>
      <w:sz w:val="24"/>
      <w:lang w:eastAsia="en-AU"/>
    </w:rPr>
  </w:style>
  <w:style w:type="paragraph" w:customStyle="1" w:styleId="xl288">
    <w:name w:val="xl288"/>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89">
    <w:name w:val="xl289"/>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0">
    <w:name w:val="xl290"/>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1">
    <w:name w:val="xl291"/>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2">
    <w:name w:val="xl292"/>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3">
    <w:name w:val="xl293"/>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4">
    <w:name w:val="xl294"/>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296">
    <w:name w:val="xl296"/>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97">
    <w:name w:val="xl297"/>
    <w:basedOn w:val="Normal"/>
    <w:uiPriority w:val="99"/>
    <w:rsid w:val="0010488E"/>
    <w:pPr>
      <w:shd w:val="clear" w:color="000000" w:fill="FFFFFF"/>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98">
    <w:name w:val="xl298"/>
    <w:basedOn w:val="Normal"/>
    <w:uiPriority w:val="99"/>
    <w:rsid w:val="0010488E"/>
    <w:pPr>
      <w:spacing w:before="100" w:beforeAutospacing="1" w:after="100" w:afterAutospacing="1" w:line="240" w:lineRule="auto"/>
    </w:pPr>
    <w:rPr>
      <w:rFonts w:ascii="Times New Roman" w:eastAsia="Times New Roman" w:hAnsi="Times New Roman" w:cs="Times New Roman"/>
      <w:b/>
      <w:bCs/>
      <w:color w:val="FF0000"/>
      <w:sz w:val="24"/>
      <w:lang w:eastAsia="en-AU"/>
    </w:rPr>
  </w:style>
  <w:style w:type="paragraph" w:customStyle="1" w:styleId="xl299">
    <w:name w:val="xl299"/>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300">
    <w:name w:val="xl300"/>
    <w:basedOn w:val="Normal"/>
    <w:uiPriority w:val="99"/>
    <w:rsid w:val="0010488E"/>
    <w:pPr>
      <w:shd w:val="clear" w:color="000000" w:fill="FFFF00"/>
      <w:spacing w:before="100" w:beforeAutospacing="1" w:after="100" w:afterAutospacing="1" w:line="240" w:lineRule="auto"/>
      <w:jc w:val="right"/>
    </w:pPr>
    <w:rPr>
      <w:rFonts w:eastAsia="Times New Roman" w:cs="Arial"/>
      <w:szCs w:val="20"/>
      <w:lang w:eastAsia="en-AU"/>
    </w:rPr>
  </w:style>
  <w:style w:type="paragraph" w:customStyle="1" w:styleId="xl301">
    <w:name w:val="xl301"/>
    <w:basedOn w:val="Normal"/>
    <w:uiPriority w:val="99"/>
    <w:rsid w:val="0010488E"/>
    <w:pPr>
      <w:shd w:val="clear" w:color="000000" w:fill="FFFF00"/>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2">
    <w:name w:val="xl302"/>
    <w:basedOn w:val="Normal"/>
    <w:uiPriority w:val="99"/>
    <w:rsid w:val="0010488E"/>
    <w:pPr>
      <w:shd w:val="clear" w:color="000000" w:fill="FFFF00"/>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3">
    <w:name w:val="xl303"/>
    <w:basedOn w:val="Normal"/>
    <w:uiPriority w:val="99"/>
    <w:rsid w:val="0010488E"/>
    <w:pPr>
      <w:shd w:val="clear" w:color="000000" w:fill="FFFFFF"/>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4">
    <w:name w:val="xl304"/>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5">
    <w:name w:val="xl305"/>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6">
    <w:name w:val="xl306"/>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307">
    <w:name w:val="xl307"/>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8">
    <w:name w:val="xl308"/>
    <w:basedOn w:val="Normal"/>
    <w:uiPriority w:val="99"/>
    <w:rsid w:val="0010488E"/>
    <w:pPr>
      <w:shd w:val="clear" w:color="000000" w:fill="FFFF00"/>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9">
    <w:name w:val="xl309"/>
    <w:basedOn w:val="Normal"/>
    <w:uiPriority w:val="99"/>
    <w:rsid w:val="0010488E"/>
    <w:pPr>
      <w:spacing w:before="100" w:beforeAutospacing="1" w:after="100" w:afterAutospacing="1" w:line="240" w:lineRule="auto"/>
      <w:jc w:val="right"/>
    </w:pPr>
    <w:rPr>
      <w:rFonts w:ascii="Book Antiqua" w:eastAsia="Times New Roman" w:hAnsi="Book Antiqua" w:cs="Times New Roman"/>
      <w:szCs w:val="20"/>
      <w:lang w:eastAsia="en-AU"/>
    </w:rPr>
  </w:style>
  <w:style w:type="paragraph" w:customStyle="1" w:styleId="xl310">
    <w:name w:val="xl310"/>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11">
    <w:name w:val="xl311"/>
    <w:basedOn w:val="Normal"/>
    <w:uiPriority w:val="99"/>
    <w:rsid w:val="0010488E"/>
    <w:pPr>
      <w:shd w:val="clear" w:color="000000" w:fill="DDD9C4"/>
      <w:spacing w:before="100" w:beforeAutospacing="1" w:after="100" w:afterAutospacing="1" w:line="240" w:lineRule="auto"/>
      <w:jc w:val="right"/>
    </w:pPr>
    <w:rPr>
      <w:rFonts w:eastAsia="Times New Roman" w:cs="Arial"/>
      <w:szCs w:val="20"/>
      <w:lang w:eastAsia="en-AU"/>
    </w:rPr>
  </w:style>
  <w:style w:type="paragraph" w:customStyle="1" w:styleId="xl312">
    <w:name w:val="xl312"/>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13">
    <w:name w:val="xl313"/>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314">
    <w:name w:val="xl314"/>
    <w:basedOn w:val="Normal"/>
    <w:uiPriority w:val="99"/>
    <w:rsid w:val="0010488E"/>
    <w:pPr>
      <w:shd w:val="clear" w:color="000000" w:fill="DDD9C4"/>
      <w:spacing w:before="100" w:beforeAutospacing="1" w:after="100" w:afterAutospacing="1" w:line="240" w:lineRule="auto"/>
      <w:jc w:val="right"/>
    </w:pPr>
    <w:rPr>
      <w:rFonts w:eastAsia="Times New Roman" w:cs="Arial"/>
      <w:szCs w:val="20"/>
      <w:lang w:eastAsia="en-AU"/>
    </w:rPr>
  </w:style>
  <w:style w:type="paragraph" w:customStyle="1" w:styleId="xl315">
    <w:name w:val="xl315"/>
    <w:basedOn w:val="Normal"/>
    <w:uiPriority w:val="99"/>
    <w:rsid w:val="0010488E"/>
    <w:pPr>
      <w:shd w:val="clear" w:color="000000" w:fill="DDD9C4"/>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18">
    <w:name w:val="xl318"/>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20">
    <w:name w:val="xl320"/>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22">
    <w:name w:val="xl322"/>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3">
    <w:name w:val="xl323"/>
    <w:basedOn w:val="Normal"/>
    <w:uiPriority w:val="99"/>
    <w:rsid w:val="0010488E"/>
    <w:pPr>
      <w:spacing w:before="100" w:beforeAutospacing="1" w:after="100" w:afterAutospacing="1" w:line="240" w:lineRule="auto"/>
      <w:jc w:val="center"/>
    </w:pPr>
    <w:rPr>
      <w:rFonts w:ascii="Courier" w:eastAsia="Times New Roman" w:hAnsi="Courier" w:cs="Times New Roman"/>
      <w:color w:val="00B050"/>
      <w:sz w:val="24"/>
      <w:lang w:eastAsia="en-AU"/>
    </w:rPr>
  </w:style>
  <w:style w:type="paragraph" w:customStyle="1" w:styleId="xl324">
    <w:name w:val="xl324"/>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5">
    <w:name w:val="xl325"/>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6">
    <w:name w:val="xl326"/>
    <w:basedOn w:val="Normal"/>
    <w:uiPriority w:val="99"/>
    <w:rsid w:val="0010488E"/>
    <w:pPr>
      <w:spacing w:before="100" w:beforeAutospacing="1" w:after="100" w:afterAutospacing="1" w:line="240" w:lineRule="auto"/>
    </w:pPr>
    <w:rPr>
      <w:rFonts w:ascii="Courier" w:eastAsia="Times New Roman" w:hAnsi="Courier" w:cs="Times New Roman"/>
      <w:color w:val="00B050"/>
      <w:sz w:val="24"/>
      <w:lang w:eastAsia="en-AU"/>
    </w:rPr>
  </w:style>
  <w:style w:type="paragraph" w:customStyle="1" w:styleId="xl327">
    <w:name w:val="xl327"/>
    <w:basedOn w:val="Normal"/>
    <w:uiPriority w:val="99"/>
    <w:rsid w:val="0010488E"/>
    <w:pPr>
      <w:spacing w:before="100" w:beforeAutospacing="1" w:after="100" w:afterAutospacing="1" w:line="240" w:lineRule="auto"/>
      <w:jc w:val="center"/>
    </w:pPr>
    <w:rPr>
      <w:rFonts w:ascii="Times New Roman" w:eastAsia="Times New Roman" w:hAnsi="Times New Roman" w:cs="Times New Roman"/>
      <w:color w:val="00B050"/>
      <w:sz w:val="24"/>
      <w:lang w:eastAsia="en-AU"/>
    </w:rPr>
  </w:style>
  <w:style w:type="paragraph" w:customStyle="1" w:styleId="xl328">
    <w:name w:val="xl328"/>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9">
    <w:name w:val="xl329"/>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0">
    <w:name w:val="xl330"/>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1">
    <w:name w:val="xl331"/>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2">
    <w:name w:val="xl332"/>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3">
    <w:name w:val="xl333"/>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4">
    <w:name w:val="xl334"/>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5">
    <w:name w:val="xl335"/>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6">
    <w:name w:val="xl336"/>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7">
    <w:name w:val="xl337"/>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8">
    <w:name w:val="xl338"/>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39">
    <w:name w:val="xl339"/>
    <w:basedOn w:val="Normal"/>
    <w:uiPriority w:val="99"/>
    <w:rsid w:val="0010488E"/>
    <w:pPr>
      <w:spacing w:before="100" w:beforeAutospacing="1" w:after="100" w:afterAutospacing="1" w:line="240" w:lineRule="auto"/>
      <w:jc w:val="center"/>
    </w:pPr>
    <w:rPr>
      <w:rFonts w:ascii="Courier" w:eastAsia="Times New Roman" w:hAnsi="Courier" w:cs="Times New Roman"/>
      <w:color w:val="F79646"/>
      <w:sz w:val="24"/>
      <w:lang w:eastAsia="en-AU"/>
    </w:rPr>
  </w:style>
  <w:style w:type="paragraph" w:customStyle="1" w:styleId="xl340">
    <w:name w:val="xl340"/>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41">
    <w:name w:val="xl341"/>
    <w:basedOn w:val="Normal"/>
    <w:uiPriority w:val="99"/>
    <w:rsid w:val="0010488E"/>
    <w:pPr>
      <w:spacing w:before="100" w:beforeAutospacing="1" w:after="100" w:afterAutospacing="1" w:line="240" w:lineRule="auto"/>
    </w:pPr>
    <w:rPr>
      <w:rFonts w:ascii="Courier" w:eastAsia="Times New Roman" w:hAnsi="Courier" w:cs="Times New Roman"/>
      <w:color w:val="F79646"/>
      <w:sz w:val="24"/>
      <w:lang w:eastAsia="en-AU"/>
    </w:rPr>
  </w:style>
  <w:style w:type="paragraph" w:customStyle="1" w:styleId="xl342">
    <w:name w:val="xl342"/>
    <w:basedOn w:val="Normal"/>
    <w:uiPriority w:val="99"/>
    <w:rsid w:val="0010488E"/>
    <w:pPr>
      <w:spacing w:before="100" w:beforeAutospacing="1" w:after="100" w:afterAutospacing="1" w:line="240" w:lineRule="auto"/>
      <w:jc w:val="center"/>
    </w:pPr>
    <w:rPr>
      <w:rFonts w:ascii="Times New Roman" w:eastAsia="Times New Roman" w:hAnsi="Times New Roman" w:cs="Times New Roman"/>
      <w:color w:val="F79646"/>
      <w:sz w:val="24"/>
      <w:lang w:eastAsia="en-AU"/>
    </w:rPr>
  </w:style>
  <w:style w:type="paragraph" w:customStyle="1" w:styleId="xl343">
    <w:name w:val="xl343"/>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44">
    <w:name w:val="xl344"/>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45">
    <w:name w:val="xl345"/>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6">
    <w:name w:val="xl346"/>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7">
    <w:name w:val="xl347"/>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8">
    <w:name w:val="xl348"/>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9">
    <w:name w:val="xl349"/>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50">
    <w:name w:val="xl350"/>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51">
    <w:name w:val="xl351"/>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52">
    <w:name w:val="xl352"/>
    <w:basedOn w:val="Normal"/>
    <w:uiPriority w:val="99"/>
    <w:rsid w:val="0010488E"/>
    <w:pPr>
      <w:shd w:val="clear" w:color="000000" w:fill="F79646"/>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53">
    <w:name w:val="xl353"/>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55">
    <w:name w:val="xl355"/>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56">
    <w:name w:val="xl356"/>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358">
    <w:name w:val="xl358"/>
    <w:basedOn w:val="Normal"/>
    <w:uiPriority w:val="99"/>
    <w:rsid w:val="0010488E"/>
    <w:pPr>
      <w:shd w:val="clear" w:color="000000" w:fill="FFFF0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359">
    <w:name w:val="xl359"/>
    <w:basedOn w:val="Normal"/>
    <w:uiPriority w:val="99"/>
    <w:rsid w:val="0010488E"/>
    <w:pPr>
      <w:shd w:val="clear" w:color="000000" w:fill="C4BD97"/>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60">
    <w:name w:val="xl360"/>
    <w:basedOn w:val="Normal"/>
    <w:uiPriority w:val="99"/>
    <w:rsid w:val="0010488E"/>
    <w:pPr>
      <w:shd w:val="clear" w:color="000000" w:fill="FFFFFF"/>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61">
    <w:name w:val="xl361"/>
    <w:basedOn w:val="Normal"/>
    <w:uiPriority w:val="99"/>
    <w:rsid w:val="0010488E"/>
    <w:pPr>
      <w:spacing w:before="100" w:beforeAutospacing="1" w:after="100" w:afterAutospacing="1" w:line="240" w:lineRule="auto"/>
    </w:pPr>
    <w:rPr>
      <w:rFonts w:eastAsia="Times New Roman" w:cs="Arial"/>
      <w:szCs w:val="20"/>
      <w:lang w:eastAsia="en-AU"/>
    </w:rPr>
  </w:style>
  <w:style w:type="paragraph" w:customStyle="1" w:styleId="xl362">
    <w:name w:val="xl362"/>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captionforfigures">
    <w:name w:val="caption for figures"/>
    <w:basedOn w:val="Caption"/>
    <w:link w:val="captionforfiguresChar"/>
    <w:uiPriority w:val="99"/>
    <w:rsid w:val="0010488E"/>
    <w:pPr>
      <w:keepLines/>
      <w:tabs>
        <w:tab w:val="num" w:pos="397"/>
      </w:tabs>
      <w:spacing w:before="0" w:after="120" w:line="240" w:lineRule="auto"/>
      <w:ind w:left="397" w:hanging="397"/>
    </w:pPr>
    <w:rPr>
      <w:rFonts w:ascii="Arial" w:eastAsia="Times New Roman" w:hAnsi="Arial" w:cs="Times New Roman"/>
      <w:color w:val="808000"/>
      <w:szCs w:val="20"/>
      <w:lang w:val="en-GB"/>
    </w:rPr>
  </w:style>
  <w:style w:type="character" w:customStyle="1" w:styleId="CaptionChar1">
    <w:name w:val="Caption Char1"/>
    <w:aliases w:val="PAE Char,Item Char,Table Caption Char,Table Caption1 Char,Figure Char,CDM B/Caption Char,TABLE Char"/>
    <w:basedOn w:val="Para0Char"/>
    <w:locked/>
    <w:rsid w:val="0010488E"/>
    <w:rPr>
      <w:rFonts w:ascii="Arial" w:hAnsi="Arial" w:cs="Times New Roman"/>
      <w:b/>
      <w:color w:val="808000"/>
      <w:sz w:val="20"/>
      <w:szCs w:val="20"/>
      <w:lang w:val="en-GB" w:eastAsia="en-US"/>
    </w:rPr>
  </w:style>
  <w:style w:type="character" w:customStyle="1" w:styleId="captionforfiguresChar">
    <w:name w:val="caption for figures Char"/>
    <w:basedOn w:val="CaptionChar1"/>
    <w:link w:val="captionforfigures"/>
    <w:uiPriority w:val="99"/>
    <w:locked/>
    <w:rsid w:val="0010488E"/>
    <w:rPr>
      <w:rFonts w:ascii="Arial" w:eastAsia="Times New Roman" w:hAnsi="Arial" w:cs="Times New Roman"/>
      <w:b/>
      <w:color w:val="808000"/>
      <w:sz w:val="20"/>
      <w:szCs w:val="20"/>
      <w:lang w:val="en-GB" w:eastAsia="en-US"/>
    </w:rPr>
  </w:style>
  <w:style w:type="paragraph" w:customStyle="1" w:styleId="StyleHeading3ArialNarrow10ptNotBold">
    <w:name w:val="Style Heading 3 + Arial Narrow 10 pt Not Bold"/>
    <w:basedOn w:val="Heading3"/>
    <w:uiPriority w:val="99"/>
    <w:rsid w:val="0010488E"/>
    <w:pPr>
      <w:keepLines w:val="0"/>
      <w:numPr>
        <w:numId w:val="63"/>
      </w:numPr>
      <w:tabs>
        <w:tab w:val="num" w:pos="851"/>
      </w:tabs>
      <w:spacing w:line="240" w:lineRule="auto"/>
    </w:pPr>
    <w:rPr>
      <w:rFonts w:ascii="Arial Narrow" w:eastAsia="Times New Roman" w:hAnsi="Arial Narrow" w:cs="Times New Roman"/>
      <w:b w:val="0"/>
      <w:bCs w:val="0"/>
      <w:color w:val="42145F"/>
      <w:szCs w:val="22"/>
      <w:lang w:val="en-GB"/>
    </w:rPr>
  </w:style>
  <w:style w:type="paragraph" w:customStyle="1" w:styleId="Source1">
    <w:name w:val="Source1"/>
    <w:basedOn w:val="Normal"/>
    <w:link w:val="Source1Char"/>
    <w:uiPriority w:val="99"/>
    <w:rsid w:val="0010488E"/>
    <w:pPr>
      <w:spacing w:line="300" w:lineRule="auto"/>
    </w:pPr>
    <w:rPr>
      <w:rFonts w:eastAsia="Times New Roman" w:cs="Arial"/>
      <w:i/>
      <w:color w:val="000000"/>
      <w:sz w:val="16"/>
      <w:szCs w:val="16"/>
      <w:lang w:val="en-GB"/>
    </w:rPr>
  </w:style>
  <w:style w:type="character" w:customStyle="1" w:styleId="Source1Char">
    <w:name w:val="Source1 Char"/>
    <w:basedOn w:val="DefaultParagraphFont"/>
    <w:link w:val="Source1"/>
    <w:uiPriority w:val="99"/>
    <w:locked/>
    <w:rsid w:val="0010488E"/>
    <w:rPr>
      <w:rFonts w:ascii="Arial" w:eastAsia="Times New Roman" w:hAnsi="Arial" w:cs="Arial"/>
      <w:i/>
      <w:color w:val="000000"/>
      <w:sz w:val="16"/>
      <w:szCs w:val="16"/>
      <w:lang w:val="en-GB"/>
    </w:rPr>
  </w:style>
  <w:style w:type="numbering" w:customStyle="1" w:styleId="Tabletextnumbered">
    <w:name w:val="Table text numbered"/>
    <w:rsid w:val="0010488E"/>
    <w:pPr>
      <w:numPr>
        <w:numId w:val="66"/>
      </w:numPr>
    </w:pPr>
  </w:style>
  <w:style w:type="table" w:styleId="ColorfulShading-Accent5">
    <w:name w:val="Colorful Shading Accent 5"/>
    <w:basedOn w:val="TableNormal"/>
    <w:uiPriority w:val="71"/>
    <w:rsid w:val="0010488E"/>
    <w:rPr>
      <w:color w:val="000000" w:themeColor="text1"/>
    </w:rPr>
    <w:tblPr>
      <w:tblStyleRowBandSize w:val="1"/>
      <w:tblStyleColBandSize w:val="1"/>
      <w:tblBorders>
        <w:top w:val="single" w:sz="24" w:space="0" w:color="00338D" w:themeColor="accent6"/>
        <w:left w:val="single" w:sz="4" w:space="0" w:color="6C6F70" w:themeColor="accent5"/>
        <w:bottom w:val="single" w:sz="4" w:space="0" w:color="6C6F70" w:themeColor="accent5"/>
        <w:right w:val="single" w:sz="4" w:space="0" w:color="6C6F70" w:themeColor="accent5"/>
        <w:insideH w:val="single" w:sz="4" w:space="0" w:color="FFFFFF" w:themeColor="background1"/>
        <w:insideV w:val="single" w:sz="4" w:space="0" w:color="FFFFFF" w:themeColor="background1"/>
      </w:tblBorders>
    </w:tblPr>
    <w:tcPr>
      <w:shd w:val="clear" w:color="auto" w:fill="F0F0F1" w:themeFill="accent5" w:themeFillTint="19"/>
    </w:tcPr>
    <w:tblStylePr w:type="firstRow">
      <w:rPr>
        <w:b/>
        <w:bCs/>
      </w:rPr>
      <w:tblPr/>
      <w:tcPr>
        <w:tcBorders>
          <w:top w:val="nil"/>
          <w:left w:val="nil"/>
          <w:bottom w:val="single" w:sz="24" w:space="0" w:color="0033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4243" w:themeFill="accent5" w:themeFillShade="99"/>
      </w:tcPr>
    </w:tblStylePr>
    <w:tblStylePr w:type="firstCol">
      <w:rPr>
        <w:color w:val="FFFFFF" w:themeColor="background1"/>
      </w:rPr>
      <w:tblPr/>
      <w:tcPr>
        <w:tcBorders>
          <w:top w:val="nil"/>
          <w:left w:val="nil"/>
          <w:bottom w:val="nil"/>
          <w:right w:val="nil"/>
          <w:insideH w:val="single" w:sz="4" w:space="0" w:color="414243" w:themeColor="accent5" w:themeShade="99"/>
          <w:insideV w:val="nil"/>
        </w:tcBorders>
        <w:shd w:val="clear" w:color="auto" w:fill="4142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14243" w:themeFill="accent5" w:themeFillShade="99"/>
      </w:tcPr>
    </w:tblStylePr>
    <w:tblStylePr w:type="band1Vert">
      <w:tblPr/>
      <w:tcPr>
        <w:shd w:val="clear" w:color="auto" w:fill="C3C5C6" w:themeFill="accent5" w:themeFillTint="66"/>
      </w:tcPr>
    </w:tblStylePr>
    <w:tblStylePr w:type="band1Horz">
      <w:tblPr/>
      <w:tcPr>
        <w:shd w:val="clear" w:color="auto" w:fill="B5B7B8" w:themeFill="accent5" w:themeFillTint="7F"/>
      </w:tcPr>
    </w:tblStylePr>
    <w:tblStylePr w:type="neCell">
      <w:rPr>
        <w:color w:val="000000" w:themeColor="text1"/>
      </w:rPr>
    </w:tblStylePr>
    <w:tblStylePr w:type="nwCell">
      <w:rPr>
        <w:color w:val="000000" w:themeColor="text1"/>
      </w:rPr>
    </w:tblStylePr>
  </w:style>
  <w:style w:type="table" w:styleId="LightList-Accent5">
    <w:name w:val="Light List Accent 5"/>
    <w:basedOn w:val="TableNormal"/>
    <w:uiPriority w:val="61"/>
    <w:rsid w:val="0010488E"/>
    <w:tblPr>
      <w:tblStyleRowBandSize w:val="1"/>
      <w:tblStyleColBandSize w:val="1"/>
      <w:tblBorders>
        <w:top w:val="single" w:sz="8" w:space="0" w:color="6C6F70" w:themeColor="accent5"/>
        <w:left w:val="single" w:sz="8" w:space="0" w:color="6C6F70" w:themeColor="accent5"/>
        <w:bottom w:val="single" w:sz="8" w:space="0" w:color="6C6F70" w:themeColor="accent5"/>
        <w:right w:val="single" w:sz="8" w:space="0" w:color="6C6F70" w:themeColor="accent5"/>
      </w:tblBorders>
    </w:tblPr>
    <w:tblStylePr w:type="firstRow">
      <w:pPr>
        <w:spacing w:before="0" w:after="0" w:line="240" w:lineRule="auto"/>
      </w:pPr>
      <w:rPr>
        <w:b/>
        <w:bCs/>
        <w:color w:val="FFFFFF" w:themeColor="background1"/>
      </w:rPr>
      <w:tblPr/>
      <w:tcPr>
        <w:shd w:val="clear" w:color="auto" w:fill="6C6F70" w:themeFill="accent5"/>
      </w:tcPr>
    </w:tblStylePr>
    <w:tblStylePr w:type="lastRow">
      <w:pPr>
        <w:spacing w:before="0" w:after="0" w:line="240" w:lineRule="auto"/>
      </w:pPr>
      <w:rPr>
        <w:b/>
        <w:bCs/>
      </w:rPr>
      <w:tblPr/>
      <w:tcPr>
        <w:tcBorders>
          <w:top w:val="double" w:sz="6" w:space="0" w:color="6C6F70" w:themeColor="accent5"/>
          <w:left w:val="single" w:sz="8" w:space="0" w:color="6C6F70" w:themeColor="accent5"/>
          <w:bottom w:val="single" w:sz="8" w:space="0" w:color="6C6F70" w:themeColor="accent5"/>
          <w:right w:val="single" w:sz="8" w:space="0" w:color="6C6F70" w:themeColor="accent5"/>
        </w:tcBorders>
      </w:tcPr>
    </w:tblStylePr>
    <w:tblStylePr w:type="firstCol">
      <w:rPr>
        <w:b/>
        <w:bCs/>
      </w:rPr>
    </w:tblStylePr>
    <w:tblStylePr w:type="lastCol">
      <w:rPr>
        <w:b/>
        <w:bCs/>
      </w:rPr>
    </w:tblStylePr>
    <w:tblStylePr w:type="band1Vert">
      <w:tblPr/>
      <w:tcPr>
        <w:tcBorders>
          <w:top w:val="single" w:sz="8" w:space="0" w:color="6C6F70" w:themeColor="accent5"/>
          <w:left w:val="single" w:sz="8" w:space="0" w:color="6C6F70" w:themeColor="accent5"/>
          <w:bottom w:val="single" w:sz="8" w:space="0" w:color="6C6F70" w:themeColor="accent5"/>
          <w:right w:val="single" w:sz="8" w:space="0" w:color="6C6F70" w:themeColor="accent5"/>
        </w:tcBorders>
      </w:tcPr>
    </w:tblStylePr>
    <w:tblStylePr w:type="band1Horz">
      <w:tblPr/>
      <w:tcPr>
        <w:tcBorders>
          <w:top w:val="single" w:sz="8" w:space="0" w:color="6C6F70" w:themeColor="accent5"/>
          <w:left w:val="single" w:sz="8" w:space="0" w:color="6C6F70" w:themeColor="accent5"/>
          <w:bottom w:val="single" w:sz="8" w:space="0" w:color="6C6F70" w:themeColor="accent5"/>
          <w:right w:val="single" w:sz="8" w:space="0" w:color="6C6F70" w:themeColor="accent5"/>
        </w:tcBorders>
      </w:tcPr>
    </w:tblStylePr>
  </w:style>
  <w:style w:type="paragraph" w:customStyle="1" w:styleId="xl167">
    <w:name w:val="xl167"/>
    <w:basedOn w:val="Normal"/>
    <w:rsid w:val="0010488E"/>
    <w:pPr>
      <w:shd w:val="clear" w:color="000000" w:fill="C0C0C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168">
    <w:name w:val="xl168"/>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69">
    <w:name w:val="xl169"/>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0">
    <w:name w:val="xl170"/>
    <w:basedOn w:val="Normal"/>
    <w:rsid w:val="0010488E"/>
    <w:pPr>
      <w:shd w:val="clear" w:color="000000" w:fill="C0C0C0"/>
      <w:spacing w:before="100" w:beforeAutospacing="1" w:after="100" w:afterAutospacing="1" w:line="240" w:lineRule="auto"/>
    </w:pPr>
    <w:rPr>
      <w:rFonts w:ascii="Cambria" w:eastAsia="Times New Roman" w:hAnsi="Cambria" w:cs="Times New Roman"/>
      <w:color w:val="0069B3"/>
      <w:sz w:val="24"/>
      <w:lang w:eastAsia="en-AU"/>
    </w:rPr>
  </w:style>
  <w:style w:type="paragraph" w:customStyle="1" w:styleId="xl171">
    <w:name w:val="xl171"/>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2">
    <w:name w:val="xl172"/>
    <w:basedOn w:val="Normal"/>
    <w:rsid w:val="0010488E"/>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3">
    <w:name w:val="xl173"/>
    <w:basedOn w:val="Normal"/>
    <w:rsid w:val="0010488E"/>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4">
    <w:name w:val="xl174"/>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5">
    <w:name w:val="xl175"/>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6">
    <w:name w:val="xl176"/>
    <w:basedOn w:val="Normal"/>
    <w:rsid w:val="0010488E"/>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7">
    <w:name w:val="xl177"/>
    <w:basedOn w:val="Normal"/>
    <w:rsid w:val="0010488E"/>
    <w:pPr>
      <w:pBdr>
        <w:top w:val="single" w:sz="4" w:space="0" w:color="C0C0C0"/>
        <w:left w:val="single" w:sz="4" w:space="0" w:color="C0C0C0"/>
        <w:bottom w:val="single" w:sz="4" w:space="0" w:color="C0C0C0"/>
        <w:right w:val="single" w:sz="4" w:space="0" w:color="C0C0C0"/>
      </w:pBdr>
      <w:shd w:val="clear" w:color="000000" w:fill="FEB80A"/>
      <w:spacing w:before="100" w:beforeAutospacing="1" w:after="100" w:afterAutospacing="1" w:line="240" w:lineRule="auto"/>
    </w:pPr>
    <w:rPr>
      <w:rFonts w:ascii="Times New Roman" w:eastAsia="Times New Roman" w:hAnsi="Times New Roman" w:cs="Times New Roman"/>
      <w:color w:val="0069B3"/>
      <w:sz w:val="24"/>
      <w:lang w:eastAsia="en-AU"/>
    </w:rPr>
  </w:style>
  <w:style w:type="table" w:customStyle="1" w:styleId="LightList-Accent121">
    <w:name w:val="Light List - Accent 121"/>
    <w:basedOn w:val="TableNormal"/>
    <w:uiPriority w:val="61"/>
    <w:rsid w:val="0010488E"/>
    <w:rPr>
      <w:rFonts w:eastAsia="Times New Roman"/>
      <w:sz w:val="22"/>
      <w:szCs w:val="22"/>
      <w:lang w:val="en-AU"/>
    </w:rPr>
    <w:tblPr>
      <w:tblStyleRowBandSize w:val="1"/>
      <w:tblStyleColBandSize w:val="1"/>
      <w:tblBorders>
        <w:top w:val="single" w:sz="8" w:space="0" w:color="597AB5" w:themeColor="accent1"/>
        <w:left w:val="single" w:sz="8" w:space="0" w:color="597AB5" w:themeColor="accent1"/>
        <w:bottom w:val="single" w:sz="8" w:space="0" w:color="597AB5" w:themeColor="accent1"/>
        <w:right w:val="single" w:sz="8" w:space="0" w:color="597AB5" w:themeColor="accent1"/>
      </w:tblBorders>
    </w:tblPr>
    <w:tblStylePr w:type="firstRow">
      <w:pPr>
        <w:spacing w:before="0" w:after="0" w:line="240" w:lineRule="auto"/>
      </w:pPr>
      <w:rPr>
        <w:b/>
        <w:bCs/>
        <w:color w:val="FFFFFF" w:themeColor="background1"/>
      </w:rPr>
      <w:tblPr/>
      <w:tcPr>
        <w:shd w:val="clear" w:color="auto" w:fill="597AB5" w:themeFill="accent1"/>
      </w:tcPr>
    </w:tblStylePr>
    <w:tblStylePr w:type="lastRow">
      <w:pPr>
        <w:spacing w:before="0" w:after="0" w:line="240" w:lineRule="auto"/>
      </w:pPr>
      <w:rPr>
        <w:b/>
        <w:bCs/>
      </w:rPr>
      <w:tblPr/>
      <w:tcPr>
        <w:tcBorders>
          <w:top w:val="double" w:sz="6" w:space="0" w:color="597AB5" w:themeColor="accent1"/>
          <w:left w:val="single" w:sz="8" w:space="0" w:color="597AB5" w:themeColor="accent1"/>
          <w:bottom w:val="single" w:sz="8" w:space="0" w:color="597AB5" w:themeColor="accent1"/>
          <w:right w:val="single" w:sz="8" w:space="0" w:color="597AB5" w:themeColor="accent1"/>
        </w:tcBorders>
      </w:tcPr>
    </w:tblStylePr>
    <w:tblStylePr w:type="firstCol">
      <w:rPr>
        <w:b/>
        <w:bCs/>
      </w:rPr>
    </w:tblStylePr>
    <w:tblStylePr w:type="lastCol">
      <w:rPr>
        <w:b/>
        <w:bCs/>
      </w:rPr>
    </w:tblStylePr>
    <w:tblStylePr w:type="band1Vert">
      <w:tblPr/>
      <w:tcPr>
        <w:tcBorders>
          <w:top w:val="single" w:sz="8" w:space="0" w:color="597AB5" w:themeColor="accent1"/>
          <w:left w:val="single" w:sz="8" w:space="0" w:color="597AB5" w:themeColor="accent1"/>
          <w:bottom w:val="single" w:sz="8" w:space="0" w:color="597AB5" w:themeColor="accent1"/>
          <w:right w:val="single" w:sz="8" w:space="0" w:color="597AB5" w:themeColor="accent1"/>
        </w:tcBorders>
      </w:tcPr>
    </w:tblStylePr>
    <w:tblStylePr w:type="band1Horz">
      <w:tblPr/>
      <w:tcPr>
        <w:tcBorders>
          <w:top w:val="single" w:sz="8" w:space="0" w:color="597AB5" w:themeColor="accent1"/>
          <w:left w:val="single" w:sz="8" w:space="0" w:color="597AB5" w:themeColor="accent1"/>
          <w:bottom w:val="single" w:sz="8" w:space="0" w:color="597AB5" w:themeColor="accent1"/>
          <w:right w:val="single" w:sz="8" w:space="0" w:color="597AB5" w:themeColor="accent1"/>
        </w:tcBorders>
      </w:tcPr>
    </w:tblStylePr>
  </w:style>
  <w:style w:type="paragraph" w:customStyle="1" w:styleId="tableA9black">
    <w:name w:val="table A9 black"/>
    <w:basedOn w:val="Normal"/>
    <w:link w:val="tableA9blackChar"/>
    <w:qFormat/>
    <w:rsid w:val="0010488E"/>
    <w:pPr>
      <w:keepNext/>
      <w:spacing w:after="0" w:line="240" w:lineRule="auto"/>
    </w:pPr>
    <w:rPr>
      <w:rFonts w:eastAsia="Times New Roman" w:cs="Arial"/>
      <w:b/>
      <w:sz w:val="18"/>
      <w:szCs w:val="18"/>
      <w:lang w:eastAsia="en-AU"/>
    </w:rPr>
  </w:style>
  <w:style w:type="character" w:customStyle="1" w:styleId="tableA9blackChar">
    <w:name w:val="table A9 black Char"/>
    <w:basedOn w:val="DefaultParagraphFont"/>
    <w:link w:val="tableA9black"/>
    <w:rsid w:val="0010488E"/>
    <w:rPr>
      <w:rFonts w:ascii="Arial" w:eastAsia="Times New Roman" w:hAnsi="Arial" w:cs="Arial"/>
      <w:b/>
      <w:sz w:val="18"/>
      <w:szCs w:val="18"/>
      <w:lang w:val="en-AU" w:eastAsia="en-AU"/>
    </w:rPr>
  </w:style>
  <w:style w:type="paragraph" w:customStyle="1" w:styleId="Sectionsubheading">
    <w:name w:val="Section sub heading"/>
    <w:basedOn w:val="Heading2"/>
    <w:next w:val="Para0"/>
    <w:qFormat/>
    <w:rsid w:val="009E0DE2"/>
    <w:pPr>
      <w:numPr>
        <w:ilvl w:val="0"/>
        <w:numId w:val="0"/>
      </w:numPr>
      <w:spacing w:before="0" w:after="240"/>
    </w:pPr>
    <w:rPr>
      <w:rFonts w:ascii="Arial Narrow" w:hAnsi="Arial Narrow"/>
      <w:color w:val="42145F"/>
      <w:szCs w:val="24"/>
    </w:rPr>
  </w:style>
  <w:style w:type="paragraph" w:customStyle="1" w:styleId="Sectionminorheading">
    <w:name w:val="Section minor heading"/>
    <w:basedOn w:val="Heading3"/>
    <w:next w:val="Para0"/>
    <w:qFormat/>
    <w:rsid w:val="009E0DE2"/>
    <w:pPr>
      <w:numPr>
        <w:ilvl w:val="0"/>
        <w:numId w:val="0"/>
      </w:numPr>
      <w:spacing w:before="0" w:after="240"/>
    </w:pPr>
    <w:rPr>
      <w:rFonts w:ascii="Arial Narrow" w:hAnsi="Arial Narrow"/>
      <w:color w:val="939598"/>
      <w:sz w:val="22"/>
      <w:szCs w:val="22"/>
    </w:rPr>
  </w:style>
  <w:style w:type="paragraph" w:customStyle="1" w:styleId="Level2">
    <w:name w:val="Level 2"/>
    <w:basedOn w:val="Normal"/>
    <w:rsid w:val="009E0DE2"/>
    <w:pPr>
      <w:tabs>
        <w:tab w:val="num" w:pos="680"/>
      </w:tabs>
      <w:spacing w:after="140" w:line="288" w:lineRule="auto"/>
      <w:ind w:left="680" w:hanging="680"/>
      <w:jc w:val="both"/>
      <w:outlineLvl w:val="1"/>
    </w:pPr>
    <w:rPr>
      <w:rFonts w:eastAsia="Times New Roman" w:cs="Times New Roman"/>
      <w:kern w:val="20"/>
      <w:szCs w:val="28"/>
      <w:lang w:val="en-GB"/>
    </w:rPr>
  </w:style>
  <w:style w:type="paragraph" w:customStyle="1" w:styleId="Level3">
    <w:name w:val="Level 3"/>
    <w:basedOn w:val="Normal"/>
    <w:rsid w:val="009E0DE2"/>
    <w:pPr>
      <w:tabs>
        <w:tab w:val="num" w:pos="1361"/>
      </w:tabs>
      <w:spacing w:after="140" w:line="288" w:lineRule="auto"/>
      <w:ind w:left="1361" w:hanging="681"/>
      <w:jc w:val="both"/>
      <w:outlineLvl w:val="2"/>
    </w:pPr>
    <w:rPr>
      <w:rFonts w:eastAsia="Times New Roman" w:cs="Times New Roman"/>
      <w:kern w:val="20"/>
      <w:szCs w:val="28"/>
      <w:lang w:val="en-GB"/>
    </w:rPr>
  </w:style>
  <w:style w:type="paragraph" w:customStyle="1" w:styleId="Level4">
    <w:name w:val="Level 4"/>
    <w:basedOn w:val="Normal"/>
    <w:rsid w:val="009E0DE2"/>
    <w:pPr>
      <w:tabs>
        <w:tab w:val="num" w:pos="2041"/>
      </w:tabs>
      <w:spacing w:after="140" w:line="288" w:lineRule="auto"/>
      <w:ind w:left="2041" w:hanging="680"/>
      <w:jc w:val="both"/>
      <w:outlineLvl w:val="3"/>
    </w:pPr>
    <w:rPr>
      <w:rFonts w:eastAsia="Times New Roman" w:cs="Times New Roman"/>
      <w:kern w:val="20"/>
      <w:lang w:val="en-GB"/>
    </w:rPr>
  </w:style>
  <w:style w:type="paragraph" w:customStyle="1" w:styleId="Level6">
    <w:name w:val="Level 6"/>
    <w:basedOn w:val="Normal"/>
    <w:rsid w:val="009E0DE2"/>
    <w:pPr>
      <w:tabs>
        <w:tab w:val="num" w:pos="3288"/>
      </w:tabs>
      <w:spacing w:after="140" w:line="288" w:lineRule="auto"/>
      <w:ind w:left="3288" w:hanging="680"/>
      <w:jc w:val="both"/>
      <w:outlineLvl w:val="5"/>
    </w:pPr>
    <w:rPr>
      <w:rFonts w:eastAsia="Times New Roman" w:cs="Times New Roman"/>
      <w:kern w:val="20"/>
      <w:lang w:val="en-GB"/>
    </w:rPr>
  </w:style>
  <w:style w:type="paragraph" w:customStyle="1" w:styleId="Level7">
    <w:name w:val="Level 7"/>
    <w:basedOn w:val="Normal"/>
    <w:rsid w:val="009E0DE2"/>
    <w:pPr>
      <w:tabs>
        <w:tab w:val="num" w:pos="3288"/>
      </w:tabs>
      <w:spacing w:after="140" w:line="288" w:lineRule="auto"/>
      <w:ind w:left="3288" w:hanging="680"/>
      <w:jc w:val="both"/>
      <w:outlineLvl w:val="6"/>
    </w:pPr>
    <w:rPr>
      <w:rFonts w:eastAsia="Times New Roman" w:cs="Times New Roman"/>
      <w:kern w:val="20"/>
      <w:lang w:val="en-GB"/>
    </w:rPr>
  </w:style>
  <w:style w:type="paragraph" w:customStyle="1" w:styleId="Level8">
    <w:name w:val="Level 8"/>
    <w:basedOn w:val="Normal"/>
    <w:rsid w:val="009E0DE2"/>
    <w:pPr>
      <w:tabs>
        <w:tab w:val="num" w:pos="3288"/>
      </w:tabs>
      <w:spacing w:after="140" w:line="288" w:lineRule="auto"/>
      <w:ind w:left="3288" w:hanging="680"/>
      <w:jc w:val="both"/>
      <w:outlineLvl w:val="7"/>
    </w:pPr>
    <w:rPr>
      <w:rFonts w:eastAsia="Times New Roman" w:cs="Times New Roman"/>
      <w:kern w:val="20"/>
      <w:lang w:val="en-GB"/>
    </w:rPr>
  </w:style>
  <w:style w:type="paragraph" w:customStyle="1" w:styleId="Level9">
    <w:name w:val="Level 9"/>
    <w:basedOn w:val="Normal"/>
    <w:rsid w:val="009E0DE2"/>
    <w:pPr>
      <w:tabs>
        <w:tab w:val="num" w:pos="3288"/>
      </w:tabs>
      <w:spacing w:after="140" w:line="288" w:lineRule="auto"/>
      <w:ind w:left="3288" w:hanging="680"/>
      <w:jc w:val="both"/>
      <w:outlineLvl w:val="8"/>
    </w:pPr>
    <w:rPr>
      <w:rFonts w:eastAsia="Times New Roman" w:cs="Times New Roman"/>
      <w:kern w:val="20"/>
      <w:lang w:val="en-GB"/>
    </w:rPr>
  </w:style>
  <w:style w:type="paragraph" w:customStyle="1" w:styleId="xl89">
    <w:name w:val="xl89"/>
    <w:basedOn w:val="Normal"/>
    <w:rsid w:val="009E0DE2"/>
    <w:pPr>
      <w:pBdr>
        <w:left w:val="single" w:sz="4" w:space="0" w:color="000000"/>
      </w:pBdr>
      <w:shd w:val="clear" w:color="000000" w:fill="C0C0C0"/>
      <w:spacing w:before="100" w:beforeAutospacing="1" w:after="100" w:afterAutospacing="1" w:line="240" w:lineRule="auto"/>
    </w:pPr>
    <w:rPr>
      <w:rFonts w:eastAsia="Times New Roman" w:cs="Arial"/>
      <w:sz w:val="24"/>
      <w:lang w:eastAsia="en-AU"/>
    </w:rPr>
  </w:style>
  <w:style w:type="paragraph" w:customStyle="1" w:styleId="AttachmentTitle">
    <w:name w:val="Attachment Title"/>
    <w:basedOn w:val="Heading1"/>
    <w:next w:val="BodyText"/>
    <w:qFormat/>
    <w:rsid w:val="008945A8"/>
    <w:pPr>
      <w:numPr>
        <w:numId w:val="70"/>
      </w:numPr>
      <w:suppressLineNumbers/>
      <w:suppressAutoHyphens/>
      <w:spacing w:before="360" w:line="240" w:lineRule="atLeast"/>
    </w:pPr>
    <w:rPr>
      <w:rFonts w:asciiTheme="minorHAnsi" w:eastAsia="Times New Roman" w:hAnsiTheme="minorHAnsi" w:cs="Times New Roman"/>
      <w:bCs w:val="0"/>
      <w:caps/>
      <w:color w:val="auto"/>
      <w:kern w:val="28"/>
      <w:sz w:val="28"/>
      <w:szCs w:val="20"/>
      <w:u w:color="568A9E"/>
      <w:lang w:val="en-GB"/>
    </w:rPr>
  </w:style>
  <w:style w:type="paragraph" w:customStyle="1" w:styleId="AttachmentHeading1">
    <w:name w:val="Attachment Heading 1"/>
    <w:basedOn w:val="Heading2"/>
    <w:next w:val="Normal"/>
    <w:link w:val="AttachmentHeading1Char"/>
    <w:rsid w:val="008945A8"/>
    <w:pPr>
      <w:numPr>
        <w:numId w:val="70"/>
      </w:numPr>
      <w:suppressLineNumbers/>
      <w:tabs>
        <w:tab w:val="left" w:pos="709"/>
      </w:tabs>
      <w:suppressAutoHyphens/>
    </w:pPr>
    <w:rPr>
      <w:rFonts w:eastAsia="Times New Roman" w:cs="Times New Roman"/>
      <w:bCs w:val="0"/>
      <w:szCs w:val="20"/>
      <w:lang w:val="en-GB"/>
    </w:rPr>
  </w:style>
  <w:style w:type="paragraph" w:customStyle="1" w:styleId="AttachmentHeading2">
    <w:name w:val="Attachment Heading 2"/>
    <w:basedOn w:val="AttachmentHeading1"/>
    <w:link w:val="AttachmentHeading2Char"/>
    <w:qFormat/>
    <w:rsid w:val="008945A8"/>
    <w:pPr>
      <w:numPr>
        <w:ilvl w:val="2"/>
      </w:numPr>
      <w:tabs>
        <w:tab w:val="clear" w:pos="709"/>
      </w:tabs>
    </w:pPr>
    <w:rPr>
      <w:i/>
      <w:sz w:val="22"/>
      <w:szCs w:val="22"/>
    </w:rPr>
  </w:style>
  <w:style w:type="character" w:customStyle="1" w:styleId="AttachmentHeading1Char">
    <w:name w:val="Attachment Heading 1 Char"/>
    <w:basedOn w:val="Heading2Char"/>
    <w:link w:val="AttachmentHeading1"/>
    <w:rsid w:val="008945A8"/>
    <w:rPr>
      <w:rFonts w:ascii="Arial" w:eastAsia="Times New Roman" w:hAnsi="Arial" w:cs="Times New Roman"/>
      <w:b/>
      <w:bCs w:val="0"/>
      <w:color w:val="00338D"/>
      <w:szCs w:val="20"/>
      <w:lang w:val="en-GB"/>
    </w:rPr>
  </w:style>
  <w:style w:type="character" w:customStyle="1" w:styleId="AttachmentHeading2Char">
    <w:name w:val="Attachment Heading 2 Char"/>
    <w:basedOn w:val="AttachmentHeading1Char"/>
    <w:link w:val="AttachmentHeading2"/>
    <w:rsid w:val="008945A8"/>
    <w:rPr>
      <w:rFonts w:ascii="Arial" w:eastAsia="Times New Roman" w:hAnsi="Arial" w:cs="Times New Roman"/>
      <w:b/>
      <w:bCs w:val="0"/>
      <w:i/>
      <w:color w:val="00338D"/>
      <w:sz w:val="22"/>
      <w:szCs w:val="22"/>
      <w:lang w:val="en-GB"/>
    </w:rPr>
  </w:style>
  <w:style w:type="table" w:styleId="LightShading">
    <w:name w:val="Light Shading"/>
    <w:basedOn w:val="TableNormal"/>
    <w:uiPriority w:val="60"/>
    <w:rsid w:val="00F67BCA"/>
    <w:rPr>
      <w:rFonts w:ascii="Calibri" w:eastAsia="Calibri" w:hAnsi="Calibri" w:cs="Times New Roman"/>
      <w:color w:val="000000" w:themeColor="text1" w:themeShade="BF"/>
      <w:sz w:val="20"/>
      <w:szCs w:val="20"/>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67BCA"/>
    <w:rPr>
      <w:color w:val="3E598B" w:themeColor="accent1" w:themeShade="BF"/>
    </w:rPr>
    <w:tblPr>
      <w:tblStyleRowBandSize w:val="1"/>
      <w:tblStyleColBandSize w:val="1"/>
      <w:tblBorders>
        <w:top w:val="single" w:sz="8" w:space="0" w:color="597AB5" w:themeColor="accent1"/>
        <w:bottom w:val="single" w:sz="8" w:space="0" w:color="597AB5" w:themeColor="accent1"/>
      </w:tblBorders>
    </w:tblPr>
    <w:tblStylePr w:type="firstRow">
      <w:pPr>
        <w:spacing w:before="0" w:after="0" w:line="240" w:lineRule="auto"/>
      </w:pPr>
      <w:rPr>
        <w:b/>
        <w:bCs/>
      </w:rPr>
      <w:tblPr/>
      <w:tcPr>
        <w:tcBorders>
          <w:top w:val="single" w:sz="8" w:space="0" w:color="597AB5" w:themeColor="accent1"/>
          <w:left w:val="nil"/>
          <w:bottom w:val="single" w:sz="8" w:space="0" w:color="597AB5" w:themeColor="accent1"/>
          <w:right w:val="nil"/>
          <w:insideH w:val="nil"/>
          <w:insideV w:val="nil"/>
        </w:tcBorders>
      </w:tcPr>
    </w:tblStylePr>
    <w:tblStylePr w:type="lastRow">
      <w:pPr>
        <w:spacing w:before="0" w:after="0" w:line="240" w:lineRule="auto"/>
      </w:pPr>
      <w:rPr>
        <w:b/>
        <w:bCs/>
      </w:rPr>
      <w:tblPr/>
      <w:tcPr>
        <w:tcBorders>
          <w:top w:val="single" w:sz="8" w:space="0" w:color="597AB5" w:themeColor="accent1"/>
          <w:left w:val="nil"/>
          <w:bottom w:val="single" w:sz="8" w:space="0" w:color="597A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EEC" w:themeFill="accent1" w:themeFillTint="3F"/>
      </w:tcPr>
    </w:tblStylePr>
    <w:tblStylePr w:type="band1Horz">
      <w:tblPr/>
      <w:tcPr>
        <w:tcBorders>
          <w:left w:val="nil"/>
          <w:right w:val="nil"/>
          <w:insideH w:val="nil"/>
          <w:insideV w:val="nil"/>
        </w:tcBorders>
        <w:shd w:val="clear" w:color="auto" w:fill="D5DEEC"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lsdException w:name="toc 3" w:uiPriority="39" w:qFormat="1"/>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qFormat="1"/>
    <w:lsdException w:name="header"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semiHidden="0" w:unhideWhenUsed="0"/>
    <w:lsdException w:name="endnote text" w:semiHidden="0" w:unhideWhenUsed="0"/>
    <w:lsdException w:name="macro" w:uiPriority="0"/>
    <w:lsdException w:name="List" w:uiPriority="0"/>
    <w:lsdException w:name="List Bullet" w:qFormat="1"/>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4" w:uiPriority="0"/>
    <w:lsdException w:name="List Number 5" w:uiPriority="0"/>
    <w:lsdException w:name="Title"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11" w:unhideWhenUsed="0" w:qFormat="1"/>
    <w:lsdException w:name="Salutation"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unhideWhenUsed="0" w:qFormat="1"/>
    <w:lsdException w:name="Emphasis" w:unhideWhenUsed="0" w:qFormat="1"/>
    <w:lsdException w:name="Plain Text" w:uiPriority="0"/>
    <w:lsdException w:name="E-mail Signature" w:uiPriority="0"/>
    <w:lsdException w:name="HTML Address" w:uiPriority="0"/>
    <w:lsdException w:name="HTML Preformatted" w:uiPriority="0"/>
    <w:lsdException w:name="annotation subject" w:uiPriority="0"/>
    <w:lsdException w:name="Table Columns 2" w:uiPriority="0"/>
    <w:lsdException w:name="Balloon Text"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nhideWhenUsed="0"/>
    <w:lsdException w:name="Medium Shading 2 Accent 4" w:semiHidden="0"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nhideWhenUsed="0" w:qFormat="1"/>
    <w:lsdException w:name="Subtle Reference" w:uiPriority="31" w:unhideWhenUsed="0"/>
    <w:lsdException w:name="Intense Reference" w:uiPriority="32" w:unhideWhenUsed="0"/>
    <w:lsdException w:name="Book Title" w:uiPriority="33" w:unhideWhenUsed="0"/>
    <w:lsdException w:name="Bibliography" w:unhideWhenUsed="0"/>
    <w:lsdException w:name="TOC Heading" w:uiPriority="39" w:qFormat="1"/>
  </w:latentStyles>
  <w:style w:type="paragraph" w:default="1" w:styleId="Normal">
    <w:name w:val="Normal"/>
    <w:semiHidden/>
    <w:rsid w:val="005456C8"/>
    <w:pPr>
      <w:spacing w:after="220" w:line="240" w:lineRule="atLeast"/>
    </w:pPr>
    <w:rPr>
      <w:rFonts w:ascii="Arial" w:hAnsi="Arial"/>
      <w:sz w:val="20"/>
      <w:lang w:val="en-AU"/>
    </w:rPr>
  </w:style>
  <w:style w:type="paragraph" w:styleId="Heading1">
    <w:name w:val="heading 1"/>
    <w:aliases w:val="Heading 1 Section Heading,No numbers,Main Heading,h1,Head1,Heading apps,Section Heading,H1,Section,(Chapter Nbr),Heading 11,Title1,A MAJOR/BOLD,Para,Level 1,L1,Appendix1,Appendix2,Appendix3,no pg,I1,1st level,l1,Chapter title,título1,H11,R1"/>
    <w:basedOn w:val="Para0"/>
    <w:next w:val="Para0"/>
    <w:link w:val="Heading1Char"/>
    <w:qFormat/>
    <w:rsid w:val="005F0279"/>
    <w:pPr>
      <w:keepNext/>
      <w:keepLines/>
      <w:pageBreakBefore/>
      <w:numPr>
        <w:numId w:val="7"/>
      </w:numPr>
      <w:spacing w:line="360" w:lineRule="exact"/>
      <w:outlineLvl w:val="0"/>
    </w:pPr>
    <w:rPr>
      <w:rFonts w:eastAsiaTheme="majorEastAsia" w:cstheme="majorBidi"/>
      <w:b/>
      <w:bCs/>
      <w:color w:val="00338D"/>
      <w:sz w:val="32"/>
      <w:szCs w:val="32"/>
    </w:rPr>
  </w:style>
  <w:style w:type="paragraph" w:styleId="Heading2">
    <w:name w:val="heading 2"/>
    <w:aliases w:val="h2 main heading,Heading 2 Main Heading,heading 2body,h2,Attribute Heading 2,body,test,H2,l2,list 2,list 2,heading 2TOC,Head 2,List level 2,2,Header 2,Heading 21,UNDERRUBRIK 1-2,h2.H2,1.1,Para2,h21,h22,Title2,ee2,B Sub/Bold,B Sub/Bold1,2m,A,h"/>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aliases w:val="h3 sub heading,Heading 3 Sub Heading,h3,H3,Heading 3a,H31,C Sub-Sub/Italic,Head 3,Head 31,Head 32,C Sub-Sub/Italic1,(Alt+3),3m,3,Sub2Para,sub-sub-para,Table Attribute Heading,H32,H33,H311,Subhead B,Heading C,H34,H312,H321,H331,H3111,H35,H313"/>
    <w:basedOn w:val="Para0"/>
    <w:next w:val="Para0"/>
    <w:link w:val="Heading3Char"/>
    <w:qFormat/>
    <w:rsid w:val="00AD7CFC"/>
    <w:pPr>
      <w:keepNext/>
      <w:keepLines/>
      <w:numPr>
        <w:ilvl w:val="2"/>
        <w:numId w:val="7"/>
      </w:numPr>
      <w:outlineLvl w:val="2"/>
    </w:pPr>
    <w:rPr>
      <w:rFonts w:eastAsiaTheme="majorEastAsia" w:cstheme="majorBidi"/>
      <w:b/>
      <w:bCs/>
      <w:color w:val="00338D"/>
    </w:rPr>
  </w:style>
  <w:style w:type="paragraph" w:styleId="Heading4">
    <w:name w:val="heading 4"/>
    <w:aliases w:val="h4,4,H4,(Alt+4),H41,(Alt+4)1,H42,(Alt+4)2,H43,(Alt+4)3,H44,(Alt+4)4,H45,(Alt+4)5,H411,(Alt+4)11,H421,(Alt+4)21,H431,(Alt+4)31,H46,(Alt+4)6,H412,(Alt+4)12,H422,(Alt+4)22,H432,(Alt+4)32,H47,(Alt+4)7,H48,(Alt+4)8,H49,(Alt+4)9,H410,(Alt+4)10,H413"/>
    <w:basedOn w:val="Para0"/>
    <w:next w:val="Para0"/>
    <w:link w:val="Heading4Char"/>
    <w:qFormat/>
    <w:rsid w:val="00AD7CFC"/>
    <w:pPr>
      <w:keepNext/>
      <w:keepLines/>
      <w:numPr>
        <w:ilvl w:val="3"/>
        <w:numId w:val="7"/>
      </w:numPr>
      <w:outlineLvl w:val="3"/>
    </w:pPr>
    <w:rPr>
      <w:rFonts w:eastAsiaTheme="majorEastAsia" w:cstheme="majorBidi"/>
      <w:b/>
      <w:bCs/>
      <w:iCs/>
      <w:color w:val="00338D"/>
    </w:rPr>
  </w:style>
  <w:style w:type="paragraph" w:styleId="Heading5">
    <w:name w:val="heading 5"/>
    <w:aliases w:val="H5,Heading 5 StGeorge,Level 3 - i,Level 5,L5,l5+toc5,(A),h5,Sub4Para,Sub-Para a.,h51,h52,hd5,Section Sub Point,Contents Sub,Heading 5 SM Head 5,DO NOT USE 5,Block Label,Further Points,(i),. (1.)"/>
    <w:basedOn w:val="Para0"/>
    <w:next w:val="Para0"/>
    <w:link w:val="Heading5Char"/>
    <w:qFormat/>
    <w:rsid w:val="00AD7CFC"/>
    <w:pPr>
      <w:keepNext/>
      <w:keepLines/>
      <w:numPr>
        <w:ilvl w:val="4"/>
        <w:numId w:val="7"/>
      </w:numPr>
      <w:outlineLvl w:val="4"/>
    </w:pPr>
    <w:rPr>
      <w:rFonts w:eastAsiaTheme="majorEastAsia" w:cstheme="majorBidi"/>
      <w:b/>
      <w:color w:val="00338D"/>
    </w:rPr>
  </w:style>
  <w:style w:type="paragraph" w:styleId="Heading6">
    <w:name w:val="heading 6"/>
    <w:aliases w:val="H6,Sub-sub Para,Legal Level 1.,h6,a.,Heading 6 SM Head 6,DO NOT USE 6,not Kinhill,Points in Text,A.,. (a.)"/>
    <w:basedOn w:val="Para0"/>
    <w:next w:val="Para0"/>
    <w:link w:val="Heading6Char"/>
    <w:qFormat/>
    <w:rsid w:val="00AD7CFC"/>
    <w:pPr>
      <w:keepNext/>
      <w:keepLines/>
      <w:numPr>
        <w:ilvl w:val="5"/>
        <w:numId w:val="7"/>
      </w:numPr>
      <w:outlineLvl w:val="5"/>
    </w:pPr>
    <w:rPr>
      <w:rFonts w:eastAsiaTheme="majorEastAsia" w:cstheme="majorBidi"/>
      <w:b/>
      <w:iCs/>
      <w:color w:val="00338D"/>
    </w:rPr>
  </w:style>
  <w:style w:type="paragraph" w:styleId="Heading7">
    <w:name w:val="heading 7"/>
    <w:aliases w:val="Sub-Heading,Legal Level 1.1.,hd7,h7,i.,DO NOT USE 7,not Kinhill1,. [(1)],Appendix Hdg 1"/>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aliases w:val="Dot-1,Legal Level 1.1.1.,CV Headings,hd8,h8,DO NOT USE 8,Appendix Level 2,Heading 8 not in use,. [(a)],Appendix Hdg 2"/>
    <w:basedOn w:val="Heading2"/>
    <w:next w:val="Para0"/>
    <w:link w:val="Heading8Char"/>
    <w:qFormat/>
    <w:rsid w:val="00AD7CFC"/>
    <w:pPr>
      <w:numPr>
        <w:ilvl w:val="7"/>
      </w:numPr>
      <w:outlineLvl w:val="7"/>
    </w:pPr>
  </w:style>
  <w:style w:type="paragraph" w:styleId="Heading9">
    <w:name w:val="heading 9"/>
    <w:aliases w:val="Appendix,Apppendix Hdg 3"/>
    <w:basedOn w:val="Para0"/>
    <w:next w:val="Para0"/>
    <w:link w:val="Heading9Char"/>
    <w:qFormat/>
    <w:rsid w:val="005E3F0E"/>
    <w:pPr>
      <w:pageBreakBefore/>
      <w:numPr>
        <w:numId w:val="33"/>
      </w:numPr>
      <w:spacing w:line="360" w:lineRule="exact"/>
      <w:ind w:left="360"/>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264230"/>
    <w:pPr>
      <w:spacing w:before="240" w:after="120"/>
    </w:pPr>
  </w:style>
  <w:style w:type="character" w:customStyle="1" w:styleId="Heading1Char">
    <w:name w:val="Heading 1 Char"/>
    <w:aliases w:val="Heading 1 Section Heading Char,No numbers Char,Main Heading Char,h1 Char,Head1 Char,Heading apps Char,Section Heading Char,H1 Char,Section Char,(Chapter Nbr) Char,Heading 11 Char,Title1 Char,A MAJOR/BOLD Char,Para Char,Level 1 Char"/>
    <w:basedOn w:val="DefaultParagraphFont"/>
    <w:link w:val="Heading1"/>
    <w:rsid w:val="005F0279"/>
    <w:rPr>
      <w:rFonts w:ascii="Arial" w:eastAsiaTheme="majorEastAsia" w:hAnsi="Arial" w:cstheme="majorBidi"/>
      <w:b/>
      <w:bCs/>
      <w:color w:val="00338D"/>
      <w:sz w:val="32"/>
      <w:szCs w:val="32"/>
      <w:lang w:val="en-AU"/>
    </w:rPr>
  </w:style>
  <w:style w:type="character" w:customStyle="1" w:styleId="Heading2Char">
    <w:name w:val="Heading 2 Char"/>
    <w:aliases w:val="h2 main heading Char,Heading 2 Main Heading Char,heading 2body Char,h2 Char,Attribute Heading 2 Char,body Char,test Char,H2 Char,l2 Char,list 2 Char,list 2 Char,heading 2TOC Char,Head 2 Char,List level 2 Char,2 Char,Header 2 Char,2m Char"/>
    <w:basedOn w:val="DefaultParagraphFont"/>
    <w:link w:val="Heading2"/>
    <w:rsid w:val="00AD7CFC"/>
    <w:rPr>
      <w:rFonts w:ascii="Arial" w:eastAsiaTheme="majorEastAsia" w:hAnsi="Arial" w:cstheme="majorBidi"/>
      <w:b/>
      <w:bCs/>
      <w:color w:val="00338D"/>
      <w:szCs w:val="26"/>
      <w:lang w:val="en-AU"/>
    </w:rPr>
  </w:style>
  <w:style w:type="character" w:customStyle="1" w:styleId="Heading3Char">
    <w:name w:val="Heading 3 Char"/>
    <w:aliases w:val="h3 sub heading Char,Heading 3 Sub Heading Char,h3 Char,H3 Char,Heading 3a Char,H31 Char,C Sub-Sub/Italic Char,Head 3 Char,Head 31 Char,Head 32 Char,C Sub-Sub/Italic1 Char,(Alt+3) Char,3m Char,3 Char,Sub2Para Char,sub-sub-para Char"/>
    <w:basedOn w:val="DefaultParagraphFont"/>
    <w:link w:val="Heading3"/>
    <w:rsid w:val="00AD7CFC"/>
    <w:rPr>
      <w:rFonts w:ascii="Arial" w:eastAsiaTheme="majorEastAsia" w:hAnsi="Arial" w:cstheme="majorBidi"/>
      <w:b/>
      <w:bCs/>
      <w:color w:val="00338D"/>
      <w:sz w:val="20"/>
      <w:lang w:val="en-AU"/>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rsid w:val="00AD7CFC"/>
    <w:rPr>
      <w:rFonts w:ascii="Arial" w:eastAsiaTheme="majorEastAsia" w:hAnsi="Arial" w:cstheme="majorBidi"/>
      <w:b/>
      <w:bCs/>
      <w:iCs/>
      <w:color w:val="00338D"/>
      <w:sz w:val="20"/>
      <w:lang w:val="en-AU"/>
    </w:rPr>
  </w:style>
  <w:style w:type="character" w:customStyle="1" w:styleId="Heading5Char">
    <w:name w:val="Heading 5 Char"/>
    <w:aliases w:val="H5 Char,Heading 5 StGeorge Char,Level 3 - i Char,Level 5 Char,L5 Char,l5+toc5 Char,(A) Char,h5 Char,Sub4Para Char,Sub-Para a. Char,h51 Char,h52 Char,hd5 Char,Section Sub Point Char,Contents Sub Char,Heading 5 SM Head 5 Char,(i) Char1"/>
    <w:basedOn w:val="DefaultParagraphFont"/>
    <w:link w:val="Heading5"/>
    <w:rsid w:val="00AD7CFC"/>
    <w:rPr>
      <w:rFonts w:ascii="Arial" w:eastAsiaTheme="majorEastAsia" w:hAnsi="Arial" w:cstheme="majorBidi"/>
      <w:b/>
      <w:color w:val="00338D"/>
      <w:sz w:val="20"/>
      <w:lang w:val="en-AU"/>
    </w:rPr>
  </w:style>
  <w:style w:type="character" w:customStyle="1" w:styleId="Heading6Char">
    <w:name w:val="Heading 6 Char"/>
    <w:aliases w:val="H6 Char,Sub-sub Para Char,Legal Level 1. Char,h6 Char,a. Char,Heading 6 SM Head 6 Char,DO NOT USE 6 Char,not Kinhill Char,Points in Text Char,A. Char,. (a.) Char"/>
    <w:basedOn w:val="DefaultParagraphFont"/>
    <w:link w:val="Heading6"/>
    <w:rsid w:val="00AD7CFC"/>
    <w:rPr>
      <w:rFonts w:ascii="Arial" w:eastAsiaTheme="majorEastAsia" w:hAnsi="Arial" w:cstheme="majorBidi"/>
      <w:b/>
      <w:iCs/>
      <w:color w:val="00338D"/>
      <w:sz w:val="20"/>
      <w:lang w:val="en-AU"/>
    </w:rPr>
  </w:style>
  <w:style w:type="character" w:customStyle="1" w:styleId="Heading7Char">
    <w:name w:val="Heading 7 Char"/>
    <w:aliases w:val="Sub-Heading Char,Legal Level 1.1. Char,hd7 Char,h7 Char,i. Char,DO NOT USE 7 Char,not Kinhill1 Char,. [(1)] Char,Appendix Hdg 1 Char"/>
    <w:basedOn w:val="DefaultParagraphFont"/>
    <w:link w:val="Heading7"/>
    <w:rsid w:val="00AD7CFC"/>
    <w:rPr>
      <w:rFonts w:ascii="Arial" w:hAnsi="Arial"/>
      <w:b/>
      <w:color w:val="00338D"/>
      <w:sz w:val="20"/>
      <w:lang w:val="en-AU"/>
    </w:rPr>
  </w:style>
  <w:style w:type="character" w:customStyle="1" w:styleId="Heading8Char">
    <w:name w:val="Heading 8 Char"/>
    <w:aliases w:val="Dot-1 Char,Legal Level 1.1.1. Char,CV Headings Char,hd8 Char,h8 Char,DO NOT USE 8 Char,Appendix Level 2 Char,Heading 8 not in use Char,. [(a)] Char,Appendix Hdg 2 Char"/>
    <w:basedOn w:val="DefaultParagraphFont"/>
    <w:link w:val="Heading8"/>
    <w:rsid w:val="00AD7CFC"/>
    <w:rPr>
      <w:rFonts w:ascii="Arial" w:eastAsiaTheme="majorEastAsia" w:hAnsi="Arial" w:cstheme="majorBidi"/>
      <w:b/>
      <w:bCs/>
      <w:color w:val="00338D"/>
      <w:szCs w:val="26"/>
      <w:lang w:val="en-AU"/>
    </w:rPr>
  </w:style>
  <w:style w:type="character" w:customStyle="1" w:styleId="Heading9Char">
    <w:name w:val="Heading 9 Char"/>
    <w:aliases w:val="Appendix Char,Apppendix Hdg 3 Char"/>
    <w:basedOn w:val="DefaultParagraphFont"/>
    <w:link w:val="Heading9"/>
    <w:rsid w:val="005E3F0E"/>
    <w:rPr>
      <w:rFonts w:ascii="Arial" w:hAnsi="Arial"/>
      <w:b/>
      <w:color w:val="00338D"/>
      <w:sz w:val="32"/>
      <w:lang w:val="en-AU"/>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rsid w:val="00AD7CFC"/>
    <w:pPr>
      <w:spacing w:line="280" w:lineRule="exact"/>
    </w:pPr>
    <w:rPr>
      <w:rFonts w:ascii="Arial" w:hAnsi="Arial"/>
      <w:caps/>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unhideWhenUsed/>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0">
    <w:name w:val="Table bullet"/>
    <w:basedOn w:val="Tabletext"/>
    <w:qFormat/>
    <w:rsid w:val="00AD7CFC"/>
    <w:pPr>
      <w:numPr>
        <w:numId w:val="25"/>
      </w:numPr>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PAE,Item,Table Caption,Table Caption1,Figure,CDM B/Caption,TABLE"/>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aliases w:val="Char Char,Char Char Char, Char Char, Char Char Char"/>
    <w:basedOn w:val="Normal"/>
    <w:link w:val="FootnoteTextChar"/>
    <w:qFormat/>
    <w:rsid w:val="00AD7CFC"/>
    <w:pPr>
      <w:spacing w:after="240" w:line="240" w:lineRule="auto"/>
      <w:ind w:left="170" w:hanging="170"/>
      <w:contextualSpacing/>
    </w:pPr>
    <w:rPr>
      <w:color w:val="000000"/>
      <w:sz w:val="15"/>
    </w:rPr>
  </w:style>
  <w:style w:type="character" w:customStyle="1" w:styleId="FootnoteTextChar">
    <w:name w:val="Footnote Text Char"/>
    <w:aliases w:val="Char Char Char1,Char Char Char Char, Char Char Char1, Char Char Char Char"/>
    <w:basedOn w:val="DefaultParagraphFont"/>
    <w:link w:val="FootnoteText"/>
    <w:rsid w:val="00AD7CFC"/>
    <w:rPr>
      <w:rFonts w:ascii="Arial" w:hAnsi="Arial"/>
      <w:color w:val="000000"/>
      <w:sz w:val="15"/>
      <w:lang w:val="en-AU"/>
    </w:rPr>
  </w:style>
  <w:style w:type="paragraph" w:customStyle="1" w:styleId="Tabletext">
    <w:name w:val="Table text"/>
    <w:basedOn w:val="Normal"/>
    <w:link w:val="TabletextChar"/>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AD7CFC"/>
  </w:style>
  <w:style w:type="paragraph" w:customStyle="1" w:styleId="ProjectName">
    <w:name w:val="Project Name"/>
    <w:basedOn w:val="CoverHeading"/>
    <w:next w:val="Para0"/>
    <w:rsid w:val="00AD7CFC"/>
    <w:pPr>
      <w:spacing w:after="0" w:line="240" w:lineRule="auto"/>
      <w:ind w:right="0"/>
      <w:jc w:val="left"/>
    </w:pPr>
    <w:rPr>
      <w:color w:val="6C6F70"/>
      <w:sz w:val="22"/>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0"/>
    <w:qFormat/>
    <w:rsid w:val="00AD7CFC"/>
    <w:pPr>
      <w:numPr>
        <w:numId w:val="27"/>
      </w:numPr>
    </w:pPr>
  </w:style>
  <w:style w:type="paragraph" w:styleId="TOC1">
    <w:name w:val="toc 1"/>
    <w:basedOn w:val="Normal"/>
    <w:next w:val="Normal"/>
    <w:autoRedefine/>
    <w:uiPriority w:val="39"/>
    <w:qFormat/>
    <w:rsid w:val="00453B3F"/>
    <w:pPr>
      <w:tabs>
        <w:tab w:val="right" w:leader="dot" w:pos="9923"/>
      </w:tabs>
      <w:spacing w:after="100" w:line="240" w:lineRule="auto"/>
      <w:ind w:left="675" w:right="454" w:hanging="675"/>
    </w:pPr>
    <w:rPr>
      <w:b/>
      <w:noProof/>
      <w:sz w:val="18"/>
    </w:rPr>
  </w:style>
  <w:style w:type="paragraph" w:styleId="TOC2">
    <w:name w:val="toc 2"/>
    <w:basedOn w:val="Normal"/>
    <w:next w:val="Normal"/>
    <w:autoRedefine/>
    <w:uiPriority w:val="39"/>
    <w:rsid w:val="00AD7CFC"/>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aliases w:val="(NECG) Footnote Reference,SFG_Footnote Reference"/>
    <w:basedOn w:val="DefaultParagraphFont"/>
    <w:rsid w:val="00AD7CFC"/>
    <w:rPr>
      <w:rFonts w:ascii="Arial" w:hAnsi="Arial"/>
      <w:sz w:val="15"/>
      <w:vertAlign w:val="superscript"/>
    </w:rPr>
  </w:style>
  <w:style w:type="paragraph" w:styleId="TOC3">
    <w:name w:val="toc 3"/>
    <w:basedOn w:val="Normal"/>
    <w:next w:val="Normal"/>
    <w:autoRedefine/>
    <w:uiPriority w:val="39"/>
    <w:unhideWhenUsed/>
    <w:qFormat/>
    <w:rsid w:val="00453B3F"/>
    <w:pPr>
      <w:tabs>
        <w:tab w:val="right" w:leader="dot" w:pos="9923"/>
      </w:tabs>
      <w:spacing w:after="100"/>
      <w:ind w:left="675" w:right="454" w:hanging="675"/>
    </w:pPr>
    <w:rPr>
      <w:rFonts w:ascii="Arial Narrow" w:hAnsi="Arial Narrow"/>
      <w:noProof/>
      <w:sz w:val="18"/>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0"/>
    <w:qFormat/>
    <w:rsid w:val="00AD7CFC"/>
    <w:pPr>
      <w:numPr>
        <w:numId w:val="28"/>
      </w:numPr>
    </w:pPr>
  </w:style>
  <w:style w:type="paragraph" w:customStyle="1" w:styleId="Tablesmalltext">
    <w:name w:val="Table small text"/>
    <w:basedOn w:val="Normal"/>
    <w:qFormat/>
    <w:rsid w:val="00AD7CFC"/>
    <w:pPr>
      <w:spacing w:before="40" w:after="40"/>
    </w:pPr>
    <w:rPr>
      <w:sz w:val="16"/>
    </w:rPr>
  </w:style>
  <w:style w:type="paragraph" w:customStyle="1" w:styleId="Tablesmallbullet">
    <w:name w:val="Table small bullet"/>
    <w:basedOn w:val="Tablesmalltext"/>
    <w:qFormat/>
    <w:rsid w:val="00AD7CFC"/>
    <w:pPr>
      <w:numPr>
        <w:numId w:val="29"/>
      </w:numPr>
    </w:pPr>
  </w:style>
  <w:style w:type="paragraph" w:customStyle="1" w:styleId="Tablesmallheading">
    <w:name w:val="Table small heading"/>
    <w:basedOn w:val="Tableheading"/>
    <w:qFormat/>
    <w:rsid w:val="006218E7"/>
    <w:pPr>
      <w:spacing w:before="60" w:after="60"/>
    </w:pPr>
    <w:rPr>
      <w:rFonts w:ascii="Arial" w:hAnsi="Arial"/>
      <w:b/>
    </w:rPr>
  </w:style>
  <w:style w:type="paragraph" w:customStyle="1" w:styleId="Tablesmallletter">
    <w:name w:val="Table small letter"/>
    <w:basedOn w:val="Tablesmallbullet"/>
    <w:qFormat/>
    <w:rsid w:val="00AD7CFC"/>
    <w:pPr>
      <w:numPr>
        <w:numId w:val="31"/>
      </w:numPr>
    </w:pPr>
  </w:style>
  <w:style w:type="paragraph" w:customStyle="1" w:styleId="Tablesmallnumber">
    <w:name w:val="Table small number"/>
    <w:basedOn w:val="Tablesmallbullet"/>
    <w:qFormat/>
    <w:rsid w:val="00AD7CFC"/>
    <w:pPr>
      <w:numPr>
        <w:numId w:val="32"/>
      </w:numPr>
    </w:pPr>
  </w:style>
  <w:style w:type="paragraph" w:customStyle="1" w:styleId="Sectionheading">
    <w:name w:val="Section heading"/>
    <w:basedOn w:val="Summary"/>
    <w:next w:val="Para0"/>
    <w:qFormat/>
    <w:rsid w:val="00162083"/>
    <w:pPr>
      <w:spacing w:line="360" w:lineRule="exact"/>
    </w:pPr>
  </w:style>
  <w:style w:type="paragraph" w:styleId="Header">
    <w:name w:val="header"/>
    <w:aliases w:val="HeaderPAE"/>
    <w:basedOn w:val="PageTitle"/>
    <w:link w:val="HeaderChar"/>
    <w:unhideWhenUsed/>
    <w:rsid w:val="00AD7CFC"/>
    <w:pPr>
      <w:spacing w:before="30" w:after="30" w:line="280" w:lineRule="exact"/>
      <w:ind w:left="227"/>
    </w:pPr>
    <w:rPr>
      <w:sz w:val="18"/>
    </w:rPr>
  </w:style>
  <w:style w:type="character" w:customStyle="1" w:styleId="HeaderChar">
    <w:name w:val="Header Char"/>
    <w:aliases w:val="HeaderPAE Char"/>
    <w:basedOn w:val="DefaultParagraphFont"/>
    <w:link w:val="Header"/>
    <w:rsid w:val="00AD7CFC"/>
    <w:rPr>
      <w:rFonts w:ascii="Arial Black" w:hAnsi="Arial Black"/>
      <w:color w:val="999999"/>
      <w:sz w:val="18"/>
      <w:lang w:val="en-AU"/>
    </w:rPr>
  </w:style>
  <w:style w:type="paragraph" w:styleId="Footer">
    <w:name w:val="footer"/>
    <w:basedOn w:val="Normal"/>
    <w:link w:val="FooterChar"/>
    <w:uiPriority w:val="99"/>
    <w:unhideWhenUsed/>
    <w:rsid w:val="00AD7CFC"/>
    <w:pPr>
      <w:pBdr>
        <w:top w:val="single" w:sz="4" w:space="1" w:color="CCCCCC"/>
      </w:pBdr>
      <w:tabs>
        <w:tab w:val="right" w:pos="9923"/>
        <w:tab w:val="right" w:pos="14884"/>
        <w:tab w:val="right" w:pos="21830"/>
      </w:tabs>
      <w:spacing w:before="240" w:after="80"/>
      <w:ind w:left="11"/>
    </w:pPr>
    <w:rPr>
      <w:rFonts w:eastAsia="Times" w:cs="Times New Roman"/>
      <w:b/>
      <w:color w:val="999999"/>
      <w:sz w:val="16"/>
      <w:szCs w:val="20"/>
    </w:rPr>
  </w:style>
  <w:style w:type="character" w:customStyle="1" w:styleId="FooterChar">
    <w:name w:val="Footer Char"/>
    <w:basedOn w:val="DefaultParagraphFont"/>
    <w:link w:val="Footer"/>
    <w:uiPriority w:val="99"/>
    <w:rsid w:val="00AD7CFC"/>
    <w:rPr>
      <w:rFonts w:ascii="Arial" w:eastAsia="Times" w:hAnsi="Arial" w:cs="Times New Roman"/>
      <w:b/>
      <w:color w:val="999999"/>
      <w:sz w:val="16"/>
      <w:szCs w:val="20"/>
      <w:lang w:val="en-AU"/>
    </w:rPr>
  </w:style>
  <w:style w:type="paragraph" w:styleId="TOCHeading">
    <w:name w:val="TOC Heading"/>
    <w:basedOn w:val="Heading1"/>
    <w:next w:val="Normal"/>
    <w:uiPriority w:val="39"/>
    <w:qFormat/>
    <w:rsid w:val="00AD7CFC"/>
    <w:pPr>
      <w:pageBreakBefore w:val="0"/>
      <w:numPr>
        <w:numId w:val="0"/>
      </w:numPr>
      <w:spacing w:before="480" w:after="0" w:line="276" w:lineRule="auto"/>
      <w:outlineLvl w:val="9"/>
    </w:pPr>
    <w:rPr>
      <w:rFonts w:asciiTheme="majorHAnsi" w:hAnsiTheme="majorHAnsi"/>
      <w:color w:val="3E598B"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nhideWhenUsed/>
    <w:qFormat/>
    <w:rsid w:val="00AD7CFC"/>
    <w:pPr>
      <w:framePr w:hSpace="181" w:wrap="around" w:hAnchor="margin" w:x="109" w:y="182"/>
      <w:spacing w:before="40" w:after="120"/>
      <w:ind w:left="113"/>
    </w:pPr>
    <w:rPr>
      <w:b/>
      <w:caps/>
      <w:color w:val="00338D"/>
      <w:sz w:val="18"/>
    </w:rPr>
  </w:style>
  <w:style w:type="paragraph" w:customStyle="1" w:styleId="Sidebartext">
    <w:name w:val="Sidebar text"/>
    <w:basedOn w:val="Sidebarheading"/>
    <w:unhideWhenUsed/>
    <w:qFormat/>
    <w:rsid w:val="00AD7CFC"/>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AD7CFC"/>
    <w:pPr>
      <w:framePr w:wrap="around"/>
      <w:numPr>
        <w:numId w:val="16"/>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unhideWhenUsed/>
    <w:rsid w:val="00AD7CFC"/>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unhideWhenUsed/>
    <w:rsid w:val="00AD7CFC"/>
    <w:rPr>
      <w:sz w:val="28"/>
    </w:rPr>
  </w:style>
  <w:style w:type="paragraph" w:customStyle="1" w:styleId="Projectrole1">
    <w:name w:val="Project role 1"/>
    <w:basedOn w:val="Normal"/>
    <w:semiHidden/>
    <w:unhideWhenUsed/>
    <w:rsid w:val="00AD7CFC"/>
    <w:pPr>
      <w:spacing w:after="160"/>
      <w:jc w:val="right"/>
    </w:pPr>
    <w:rPr>
      <w:caps/>
      <w:color w:val="00338D"/>
    </w:rPr>
  </w:style>
  <w:style w:type="paragraph" w:customStyle="1" w:styleId="Projectrole2">
    <w:name w:val="Project role 2"/>
    <w:basedOn w:val="Projectrole1"/>
    <w:semiHidden/>
    <w:unhideWhenUsed/>
    <w:rsid w:val="00AD7CFC"/>
    <w:rPr>
      <w:sz w:val="16"/>
      <w:szCs w:val="16"/>
    </w:rPr>
  </w:style>
  <w:style w:type="paragraph" w:customStyle="1" w:styleId="Bodynarrow">
    <w:name w:val="Body narrow"/>
    <w:basedOn w:val="Para0narrow"/>
    <w:qFormat/>
    <w:rsid w:val="00AD7CFC"/>
  </w:style>
  <w:style w:type="paragraph" w:customStyle="1" w:styleId="Bodynarrowbullet">
    <w:name w:val="Body narrow bullet"/>
    <w:basedOn w:val="Bodynarrow"/>
    <w:unhideWhenUsed/>
    <w:qFormat/>
    <w:rsid w:val="00AD7CFC"/>
    <w:pPr>
      <w:numPr>
        <w:numId w:val="8"/>
      </w:numPr>
      <w:tabs>
        <w:tab w:val="left" w:pos="198"/>
      </w:tabs>
      <w:spacing w:after="60"/>
    </w:pPr>
  </w:style>
  <w:style w:type="paragraph" w:customStyle="1" w:styleId="Bodynarrowarrow">
    <w:name w:val="Body narrow arrow"/>
    <w:basedOn w:val="Para1narrowarrow"/>
    <w:semiHidden/>
    <w:unhideWhenUsed/>
    <w:rsid w:val="00AD7CFC"/>
    <w:pPr>
      <w:numPr>
        <w:numId w:val="8"/>
      </w:numPr>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qFormat/>
    <w:rsid w:val="00264230"/>
    <w:rPr>
      <w:b/>
    </w:rPr>
  </w:style>
  <w:style w:type="paragraph" w:customStyle="1" w:styleId="Para0number">
    <w:name w:val="Para 0 number"/>
    <w:basedOn w:val="Para0"/>
    <w:link w:val="Para0numberChar"/>
    <w:qFormat/>
    <w:rsid w:val="00264230"/>
    <w:pPr>
      <w:numPr>
        <w:numId w:val="40"/>
      </w:numPr>
      <w:tabs>
        <w:tab w:val="left" w:pos="851"/>
      </w:tabs>
      <w:spacing w:before="0"/>
    </w:pPr>
  </w:style>
  <w:style w:type="paragraph" w:customStyle="1" w:styleId="Para0arrow">
    <w:name w:val="Para 0 arrow"/>
    <w:basedOn w:val="Para0"/>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qFormat/>
    <w:rsid w:val="00264230"/>
    <w:pPr>
      <w:numPr>
        <w:numId w:val="36"/>
      </w:numPr>
      <w:tabs>
        <w:tab w:val="left" w:pos="851"/>
      </w:tabs>
      <w:spacing w:before="0"/>
    </w:pPr>
  </w:style>
  <w:style w:type="paragraph" w:customStyle="1" w:styleId="Para0letter">
    <w:name w:val="Para 0 letter"/>
    <w:basedOn w:val="Para0"/>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rsid w:val="00AD7CFC"/>
    <w:pPr>
      <w:tabs>
        <w:tab w:val="right" w:leader="dot" w:pos="9923"/>
      </w:tabs>
      <w:spacing w:after="100"/>
    </w:pPr>
    <w:rPr>
      <w:rFonts w:ascii="Arial Narrow" w:hAnsi="Arial Narrow"/>
      <w:b/>
      <w:noProof/>
    </w:rPr>
  </w:style>
  <w:style w:type="paragraph" w:customStyle="1" w:styleId="CVName">
    <w:name w:val="CVName"/>
    <w:basedOn w:val="Normal"/>
    <w:unhideWhenUsed/>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AD7CFC"/>
    <w:pPr>
      <w:tabs>
        <w:tab w:val="right" w:leader="dot" w:pos="9906"/>
      </w:tabs>
      <w:spacing w:after="100"/>
      <w:ind w:left="1315" w:hanging="1315"/>
    </w:pPr>
    <w:rPr>
      <w:rFonts w:ascii="Arial Narrow" w:hAnsi="Arial Narrow"/>
    </w:rPr>
  </w:style>
  <w:style w:type="paragraph" w:styleId="TOC5">
    <w:name w:val="toc 5"/>
    <w:basedOn w:val="Normal"/>
    <w:next w:val="Normal"/>
    <w:autoRedefine/>
    <w:unhideWhenUsed/>
    <w:rsid w:val="00AD7CFC"/>
    <w:pPr>
      <w:tabs>
        <w:tab w:val="right" w:leader="dot" w:pos="9923"/>
      </w:tabs>
      <w:spacing w:after="100"/>
      <w:ind w:left="1315" w:hanging="1315"/>
    </w:pPr>
    <w:rPr>
      <w:rFonts w:ascii="Arial Narrow" w:hAnsi="Arial Narrow"/>
    </w:rPr>
  </w:style>
  <w:style w:type="paragraph" w:styleId="TOC6">
    <w:name w:val="toc 6"/>
    <w:basedOn w:val="Normal"/>
    <w:next w:val="Normal"/>
    <w:autoRedefine/>
    <w:unhideWhenUsed/>
    <w:rsid w:val="00AD7CFC"/>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unhideWhenUsed/>
    <w:rsid w:val="00AD7CFC"/>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unhideWhenUsed/>
    <w:rsid w:val="00AD7CFC"/>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264230"/>
    <w:pPr>
      <w:numPr>
        <w:ilvl w:val="1"/>
      </w:numPr>
    </w:pPr>
  </w:style>
  <w:style w:type="paragraph" w:customStyle="1" w:styleId="Bodyheading">
    <w:name w:val="Body heading"/>
    <w:basedOn w:val="Collateralheading"/>
    <w:next w:val="Para0narrow"/>
    <w:unhideWhenUsed/>
    <w:qFormat/>
    <w:rsid w:val="00AD7CFC"/>
  </w:style>
  <w:style w:type="paragraph" w:customStyle="1" w:styleId="Bodysubheading">
    <w:name w:val="Body sub heading"/>
    <w:basedOn w:val="Collateralsubheading"/>
    <w:next w:val="Para0narrow"/>
    <w:unhideWhenUsed/>
    <w:qFormat/>
    <w:rsid w:val="00AD7CFC"/>
  </w:style>
  <w:style w:type="paragraph" w:customStyle="1" w:styleId="CVTitle">
    <w:name w:val="CVTitle"/>
    <w:basedOn w:val="Projectrole1"/>
    <w:semiHidden/>
    <w:unhideWhenUsed/>
    <w:rsid w:val="00AD7CFC"/>
  </w:style>
  <w:style w:type="paragraph" w:customStyle="1" w:styleId="CVHead">
    <w:name w:val="CVHead"/>
    <w:basedOn w:val="Collateralheading"/>
    <w:unhideWhenUsed/>
    <w:rsid w:val="00AD7CFC"/>
  </w:style>
  <w:style w:type="paragraph" w:customStyle="1" w:styleId="PHHeading1">
    <w:name w:val="PHHeading 1"/>
    <w:basedOn w:val="CVHead"/>
    <w:semiHidden/>
    <w:unhideWhenUsed/>
    <w:rsid w:val="00AD7CFC"/>
  </w:style>
  <w:style w:type="paragraph" w:customStyle="1" w:styleId="PHHeading2">
    <w:name w:val="PHHeading 2"/>
    <w:basedOn w:val="Collateralsubheading"/>
    <w:semiHidden/>
    <w:unhideWhenUsed/>
    <w:rsid w:val="00AD7CFC"/>
  </w:style>
  <w:style w:type="paragraph" w:customStyle="1" w:styleId="PHHeading3">
    <w:name w:val="PHHeading 3"/>
    <w:basedOn w:val="PHHeading2"/>
    <w:semiHidden/>
    <w:unhideWhenUsed/>
    <w:rsid w:val="00AD7CFC"/>
  </w:style>
  <w:style w:type="paragraph" w:customStyle="1" w:styleId="Para1">
    <w:name w:val="Para 1"/>
    <w:basedOn w:val="Para0"/>
    <w:rsid w:val="00264230"/>
    <w:pPr>
      <w:ind w:left="425"/>
    </w:pPr>
  </w:style>
  <w:style w:type="paragraph" w:customStyle="1" w:styleId="Para1bullet">
    <w:name w:val="Para 1 bullet"/>
    <w:basedOn w:val="Para0bullet"/>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rsid w:val="00101052"/>
    <w:pPr>
      <w:ind w:left="850"/>
    </w:pPr>
  </w:style>
  <w:style w:type="paragraph" w:customStyle="1" w:styleId="Para1number">
    <w:name w:val="Para 1 number"/>
    <w:basedOn w:val="Para1bullet"/>
    <w:rsid w:val="00534198"/>
    <w:pPr>
      <w:numPr>
        <w:numId w:val="35"/>
      </w:numPr>
      <w:ind w:left="850" w:hanging="425"/>
    </w:pPr>
  </w:style>
  <w:style w:type="paragraph" w:customStyle="1" w:styleId="Summary">
    <w:name w:val="Summary"/>
    <w:basedOn w:val="Normal"/>
    <w:next w:val="Para0"/>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rsid w:val="00AD7CFC"/>
    <w:pPr>
      <w:spacing w:before="60" w:after="60"/>
    </w:pPr>
  </w:style>
  <w:style w:type="paragraph" w:customStyle="1" w:styleId="Para2">
    <w:name w:val="Para 2"/>
    <w:basedOn w:val="Para1"/>
    <w:rsid w:val="00264230"/>
    <w:pPr>
      <w:ind w:left="851"/>
    </w:pPr>
  </w:style>
  <w:style w:type="paragraph" w:customStyle="1" w:styleId="Para2bullet">
    <w:name w:val="Para 2 bullet"/>
    <w:basedOn w:val="Para1bullet"/>
    <w:rsid w:val="00534198"/>
    <w:pPr>
      <w:ind w:left="1276"/>
    </w:pPr>
  </w:style>
  <w:style w:type="paragraph" w:customStyle="1" w:styleId="Para2dash">
    <w:name w:val="Para 2 dash"/>
    <w:basedOn w:val="Para1dash"/>
    <w:rsid w:val="00534198"/>
    <w:pPr>
      <w:ind w:left="425"/>
    </w:pPr>
  </w:style>
  <w:style w:type="paragraph" w:customStyle="1" w:styleId="Para2letter">
    <w:name w:val="Para 2 letter"/>
    <w:basedOn w:val="Para1letter"/>
    <w:rsid w:val="00534198"/>
    <w:pPr>
      <w:ind w:left="1276"/>
    </w:pPr>
  </w:style>
  <w:style w:type="paragraph" w:customStyle="1" w:styleId="Contents">
    <w:name w:val="Contents"/>
    <w:basedOn w:val="PageHeading"/>
    <w:next w:val="Para0"/>
    <w:rsid w:val="00AD7CFC"/>
    <w:pPr>
      <w:pageBreakBefore/>
      <w:spacing w:after="100"/>
      <w:ind w:left="0"/>
    </w:pPr>
    <w:rPr>
      <w:color w:val="6C6F70"/>
    </w:rPr>
  </w:style>
  <w:style w:type="paragraph" w:customStyle="1" w:styleId="Tablecaption">
    <w:name w:val="Table caption"/>
    <w:basedOn w:val="Caption"/>
    <w:next w:val="Para0"/>
    <w:rsid w:val="00AD7CFC"/>
  </w:style>
  <w:style w:type="paragraph" w:customStyle="1" w:styleId="Figurecaption">
    <w:name w:val="Figure caption"/>
    <w:basedOn w:val="Caption"/>
    <w:next w:val="Para0"/>
    <w:rsid w:val="00AD7CFC"/>
  </w:style>
  <w:style w:type="paragraph" w:customStyle="1" w:styleId="Appendixsubheading1">
    <w:name w:val="Appendix subheading 1"/>
    <w:basedOn w:val="Normal"/>
    <w:next w:val="Para0"/>
    <w:qFormat/>
    <w:rsid w:val="005E3F0E"/>
    <w:pPr>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rsid w:val="00264230"/>
    <w:rPr>
      <w:b/>
    </w:rPr>
  </w:style>
  <w:style w:type="paragraph" w:customStyle="1" w:styleId="Para1roman0">
    <w:name w:val="Para 1 roman"/>
    <w:basedOn w:val="Para0roman"/>
    <w:rsid w:val="00534198"/>
    <w:pPr>
      <w:ind w:left="850"/>
    </w:pPr>
  </w:style>
  <w:style w:type="paragraph" w:customStyle="1" w:styleId="Para2bold">
    <w:name w:val="Para 2 bold"/>
    <w:basedOn w:val="Para2"/>
    <w:rsid w:val="00264230"/>
    <w:rPr>
      <w:b/>
    </w:rPr>
  </w:style>
  <w:style w:type="paragraph" w:customStyle="1" w:styleId="Para2number">
    <w:name w:val="Para 2 number"/>
    <w:basedOn w:val="Para1number"/>
    <w:rsid w:val="007C1375"/>
    <w:pPr>
      <w:ind w:left="1276"/>
    </w:pPr>
  </w:style>
  <w:style w:type="paragraph" w:customStyle="1" w:styleId="Para2roman">
    <w:name w:val="Para 2 roman"/>
    <w:basedOn w:val="Para2number"/>
    <w:rsid w:val="00264230"/>
    <w:pPr>
      <w:numPr>
        <w:ilvl w:val="2"/>
        <w:numId w:val="40"/>
      </w:numPr>
    </w:pPr>
  </w:style>
  <w:style w:type="paragraph" w:customStyle="1" w:styleId="TableContent">
    <w:name w:val="Table Content"/>
    <w:basedOn w:val="Normal"/>
    <w:qFormat/>
    <w:rsid w:val="00AD7CFC"/>
    <w:pPr>
      <w:spacing w:before="60" w:after="60" w:line="240" w:lineRule="exact"/>
    </w:pPr>
    <w:rPr>
      <w:lang w:val="en-US"/>
    </w:rPr>
  </w:style>
  <w:style w:type="character" w:customStyle="1" w:styleId="Bodynarrowbold">
    <w:name w:val="Body narrow bold"/>
    <w:uiPriority w:val="1"/>
    <w:rsid w:val="00AD7CFC"/>
    <w:rPr>
      <w:rFonts w:ascii="Arial Narrow" w:hAnsi="Arial Narrow" w:hint="default"/>
      <w:b/>
      <w:bCs w:val="0"/>
      <w:sz w:val="19"/>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829BC7" w:themeColor="accent1" w:themeTint="BF"/>
        <w:left w:val="single" w:sz="8" w:space="0" w:color="829BC7" w:themeColor="accent1" w:themeTint="BF"/>
        <w:bottom w:val="single" w:sz="8" w:space="0" w:color="829BC7" w:themeColor="accent1" w:themeTint="BF"/>
        <w:right w:val="single" w:sz="8" w:space="0" w:color="829BC7" w:themeColor="accent1" w:themeTint="BF"/>
        <w:insideH w:val="single" w:sz="8" w:space="0" w:color="829BC7" w:themeColor="accent1" w:themeTint="BF"/>
        <w:insideV w:val="single" w:sz="8" w:space="0" w:color="829BC7" w:themeColor="accent1" w:themeTint="BF"/>
      </w:tblBorders>
    </w:tblPr>
    <w:tcPr>
      <w:shd w:val="clear" w:color="auto" w:fill="D5DEEC" w:themeFill="accent1" w:themeFillTint="3F"/>
    </w:tcPr>
    <w:tblStylePr w:type="firstRow">
      <w:rPr>
        <w:b/>
        <w:bCs/>
      </w:rPr>
    </w:tblStylePr>
    <w:tblStylePr w:type="lastRow">
      <w:rPr>
        <w:b/>
        <w:bCs/>
      </w:rPr>
      <w:tblPr/>
      <w:tcPr>
        <w:tcBorders>
          <w:top w:val="single" w:sz="18" w:space="0" w:color="829BC7" w:themeColor="accent1" w:themeTint="BF"/>
        </w:tcBorders>
      </w:tcPr>
    </w:tblStylePr>
    <w:tblStylePr w:type="firstCol">
      <w:rPr>
        <w:b/>
        <w:bCs/>
      </w:rPr>
    </w:tblStylePr>
    <w:tblStylePr w:type="lastCol">
      <w:rPr>
        <w:b/>
        <w:bCs/>
      </w:rPr>
    </w:tblStylePr>
    <w:tblStylePr w:type="band1Vert">
      <w:tblPr/>
      <w:tcPr>
        <w:shd w:val="clear" w:color="auto" w:fill="ACBCDA" w:themeFill="accent1" w:themeFillTint="7F"/>
      </w:tcPr>
    </w:tblStylePr>
    <w:tblStylePr w:type="band1Horz">
      <w:tblPr/>
      <w:tcPr>
        <w:shd w:val="clear" w:color="auto" w:fill="ACBCDA"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style>
  <w:style w:type="paragraph" w:customStyle="1" w:styleId="PenPicBodyheading">
    <w:name w:val="Pen Pic Body heading"/>
    <w:basedOn w:val="Bodyheading"/>
    <w:rsid w:val="00AD7CFC"/>
    <w:pPr>
      <w:ind w:left="284"/>
    </w:pPr>
  </w:style>
  <w:style w:type="paragraph" w:customStyle="1" w:styleId="PenPicSidebartext">
    <w:name w:val="Pen Pic Sidebar text"/>
    <w:basedOn w:val="Normal"/>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AD7CFC"/>
    <w:pPr>
      <w:framePr w:hSpace="0" w:wrap="auto" w:hAnchor="text" w:xAlign="left" w:yAlign="inline"/>
      <w:numPr>
        <w:numId w:val="0"/>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rsid w:val="00AD7CFC"/>
    <w:pPr>
      <w:spacing w:before="0"/>
      <w:contextualSpacing/>
    </w:pPr>
    <w:rPr>
      <w:i/>
      <w:sz w:val="14"/>
    </w:rPr>
  </w:style>
  <w:style w:type="paragraph" w:styleId="EndnoteText">
    <w:name w:val="endnote text"/>
    <w:basedOn w:val="Normal"/>
    <w:link w:val="EndnoteTextChar"/>
    <w:uiPriority w:val="99"/>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99"/>
    <w:rsid w:val="00AD7CFC"/>
    <w:rPr>
      <w:rFonts w:ascii="Arial" w:hAnsi="Arial"/>
      <w:sz w:val="15"/>
      <w:szCs w:val="20"/>
      <w:lang w:val="en-AU"/>
    </w:rPr>
  </w:style>
  <w:style w:type="character" w:styleId="EndnoteReference">
    <w:name w:val="endnote reference"/>
    <w:basedOn w:val="DefaultParagraphFont"/>
    <w:uiPriority w:val="99"/>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AD7CFC"/>
    <w:pPr>
      <w:spacing w:line="280" w:lineRule="exact"/>
    </w:pPr>
    <w:rPr>
      <w:rFonts w:ascii="Arial" w:hAnsi="Arial"/>
      <w:caps/>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rsid w:val="005E3F0E"/>
    <w:pPr>
      <w:numPr>
        <w:ilvl w:val="3"/>
      </w:numPr>
    </w:pPr>
  </w:style>
  <w:style w:type="paragraph" w:customStyle="1" w:styleId="Para3">
    <w:name w:val="Para 3"/>
    <w:basedOn w:val="Para2"/>
    <w:rsid w:val="00AD7CFC"/>
    <w:pPr>
      <w:ind w:left="1276"/>
    </w:pPr>
  </w:style>
  <w:style w:type="paragraph" w:customStyle="1" w:styleId="Para3bold">
    <w:name w:val="Para 3 bold"/>
    <w:basedOn w:val="Para2bold"/>
    <w:rsid w:val="00AD7CFC"/>
    <w:pPr>
      <w:ind w:left="1276"/>
    </w:pPr>
  </w:style>
  <w:style w:type="paragraph" w:customStyle="1" w:styleId="Para3bullet">
    <w:name w:val="Para 3 bullet"/>
    <w:basedOn w:val="Para2bullet"/>
    <w:rsid w:val="007C1375"/>
    <w:pPr>
      <w:ind w:left="1701"/>
    </w:pPr>
  </w:style>
  <w:style w:type="paragraph" w:customStyle="1" w:styleId="Para3dash">
    <w:name w:val="Para 3 dash"/>
    <w:basedOn w:val="Para2dash"/>
    <w:rsid w:val="007C1375"/>
    <w:pPr>
      <w:ind w:left="1701"/>
    </w:pPr>
  </w:style>
  <w:style w:type="paragraph" w:customStyle="1" w:styleId="Para3number">
    <w:name w:val="Para 3 number"/>
    <w:basedOn w:val="Para2number"/>
    <w:rsid w:val="007C1375"/>
    <w:pPr>
      <w:ind w:left="1701"/>
    </w:pPr>
  </w:style>
  <w:style w:type="paragraph" w:customStyle="1" w:styleId="Para3letter">
    <w:name w:val="Para 3 letter"/>
    <w:basedOn w:val="Para2letter"/>
    <w:rsid w:val="007C1375"/>
    <w:pPr>
      <w:ind w:left="1701"/>
    </w:pPr>
  </w:style>
  <w:style w:type="paragraph" w:customStyle="1" w:styleId="Para3roman0">
    <w:name w:val="Para 3 roman"/>
    <w:basedOn w:val="Para2roman"/>
    <w:rsid w:val="007C1375"/>
    <w:pPr>
      <w:ind w:left="1701"/>
    </w:pPr>
  </w:style>
  <w:style w:type="paragraph" w:customStyle="1" w:styleId="Para4">
    <w:name w:val="Para 4"/>
    <w:basedOn w:val="Para3"/>
    <w:rsid w:val="00AD7CFC"/>
    <w:pPr>
      <w:ind w:left="1701"/>
    </w:pPr>
  </w:style>
  <w:style w:type="paragraph" w:customStyle="1" w:styleId="Para4bold">
    <w:name w:val="Para 4 bold"/>
    <w:basedOn w:val="Para3bold"/>
    <w:rsid w:val="00AD7CFC"/>
    <w:pPr>
      <w:ind w:left="1701"/>
    </w:pPr>
  </w:style>
  <w:style w:type="paragraph" w:customStyle="1" w:styleId="Para4bullet">
    <w:name w:val="Para 4 bullet"/>
    <w:basedOn w:val="Para3bullet"/>
    <w:rsid w:val="00AD7CFC"/>
  </w:style>
  <w:style w:type="paragraph" w:customStyle="1" w:styleId="Para4dash">
    <w:name w:val="Para 4 dash"/>
    <w:basedOn w:val="Para3dash"/>
    <w:rsid w:val="00AD7CFC"/>
  </w:style>
  <w:style w:type="paragraph" w:customStyle="1" w:styleId="Para4number">
    <w:name w:val="Para 4 number"/>
    <w:basedOn w:val="Para3number"/>
    <w:rsid w:val="00AD7CFC"/>
  </w:style>
  <w:style w:type="paragraph" w:customStyle="1" w:styleId="Para4letter">
    <w:name w:val="Para 4 letter"/>
    <w:basedOn w:val="Para3letter"/>
    <w:rsid w:val="00AD7CFC"/>
  </w:style>
  <w:style w:type="paragraph" w:customStyle="1" w:styleId="Para4roman">
    <w:name w:val="Para 4 roman"/>
    <w:basedOn w:val="Para3roman0"/>
    <w:rsid w:val="00AD7CFC"/>
  </w:style>
  <w:style w:type="paragraph" w:customStyle="1" w:styleId="ClientName">
    <w:name w:val="Client Name"/>
    <w:basedOn w:val="Tabletext"/>
    <w:rsid w:val="00AD7CFC"/>
    <w:pPr>
      <w:spacing w:before="0"/>
    </w:pPr>
  </w:style>
  <w:style w:type="character" w:customStyle="1" w:styleId="Para0Char">
    <w:name w:val="Para 0 Char"/>
    <w:aliases w:val="Auto Char,After:  3 pt Char Char"/>
    <w:basedOn w:val="DefaultParagraphFont"/>
    <w:link w:val="Para0"/>
    <w:rsid w:val="00264230"/>
    <w:rPr>
      <w:rFonts w:ascii="Arial" w:hAnsi="Arial"/>
      <w:sz w:val="20"/>
      <w:lang w:val="en-AU"/>
    </w:rPr>
  </w:style>
  <w:style w:type="paragraph" w:styleId="IntenseQuote">
    <w:name w:val="Intense Quote"/>
    <w:basedOn w:val="Normal"/>
    <w:next w:val="Normal"/>
    <w:link w:val="IntenseQuoteChar"/>
    <w:uiPriority w:val="30"/>
    <w:qFormat/>
    <w:rsid w:val="00AD7CFC"/>
    <w:pPr>
      <w:pBdr>
        <w:bottom w:val="single" w:sz="4" w:space="4" w:color="597AB5" w:themeColor="accent1"/>
      </w:pBdr>
      <w:spacing w:before="200" w:after="280"/>
      <w:ind w:left="936" w:right="936"/>
    </w:pPr>
    <w:rPr>
      <w:b/>
      <w:bCs/>
      <w:i/>
      <w:iCs/>
      <w:color w:val="597AB5" w:themeColor="accent1"/>
    </w:rPr>
  </w:style>
  <w:style w:type="character" w:customStyle="1" w:styleId="IntenseQuoteChar">
    <w:name w:val="Intense Quote Char"/>
    <w:basedOn w:val="DefaultParagraphFont"/>
    <w:link w:val="IntenseQuote"/>
    <w:uiPriority w:val="30"/>
    <w:rsid w:val="00AD7CFC"/>
    <w:rPr>
      <w:rFonts w:ascii="Arial" w:hAnsi="Arial"/>
      <w:b/>
      <w:bCs/>
      <w:i/>
      <w:iCs/>
      <w:color w:val="597AB5"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qFormat/>
    <w:rsid w:val="00AD7CFC"/>
    <w:rPr>
      <w:i/>
      <w:iCs/>
      <w:color w:val="00338D"/>
    </w:rPr>
  </w:style>
  <w:style w:type="character" w:customStyle="1" w:styleId="QuoteChar">
    <w:name w:val="Quote Char"/>
    <w:basedOn w:val="DefaultParagraphFont"/>
    <w:link w:val="Quote"/>
    <w:uiPriority w:val="29"/>
    <w:rsid w:val="00AD7CFC"/>
    <w:rPr>
      <w:rFonts w:ascii="Arial" w:hAnsi="Arial"/>
      <w:i/>
      <w:iCs/>
      <w:color w:val="00338D"/>
      <w:sz w:val="20"/>
      <w:lang w:val="en-AU"/>
    </w:rPr>
  </w:style>
  <w:style w:type="paragraph" w:styleId="Subtitle">
    <w:name w:val="Subtitle"/>
    <w:basedOn w:val="Normal"/>
    <w:next w:val="Normal"/>
    <w:link w:val="SubtitleChar"/>
    <w:uiPriority w:val="11"/>
    <w:qFormat/>
    <w:rsid w:val="00AD7CFC"/>
    <w:pPr>
      <w:numPr>
        <w:ilvl w:val="1"/>
      </w:numPr>
    </w:pPr>
    <w:rPr>
      <w:rFonts w:asciiTheme="majorHAnsi" w:eastAsiaTheme="majorEastAsia" w:hAnsiTheme="majorHAnsi" w:cstheme="majorBidi"/>
      <w:i/>
      <w:iCs/>
      <w:color w:val="597AB5" w:themeColor="accent1"/>
      <w:spacing w:val="15"/>
      <w:sz w:val="24"/>
    </w:rPr>
  </w:style>
  <w:style w:type="character" w:customStyle="1" w:styleId="SubtitleChar">
    <w:name w:val="Subtitle Char"/>
    <w:basedOn w:val="DefaultParagraphFont"/>
    <w:link w:val="Subtitle"/>
    <w:uiPriority w:val="11"/>
    <w:rsid w:val="00AD7CFC"/>
    <w:rPr>
      <w:rFonts w:asciiTheme="majorHAnsi" w:eastAsiaTheme="majorEastAsia" w:hAnsiTheme="majorHAnsi" w:cstheme="majorBidi"/>
      <w:i/>
      <w:iCs/>
      <w:color w:val="597AB5" w:themeColor="accent1"/>
      <w:spacing w:val="15"/>
      <w:lang w:val="en-AU"/>
    </w:rPr>
  </w:style>
  <w:style w:type="paragraph" w:customStyle="1" w:styleId="EmptyHeader">
    <w:name w:val="Empty Header"/>
    <w:basedOn w:val="Header"/>
    <w:rsid w:val="0085252A"/>
    <w:pPr>
      <w:spacing w:before="0" w:after="0" w:line="20" w:lineRule="exact"/>
    </w:pPr>
    <w:rPr>
      <w:sz w:val="2"/>
    </w:rPr>
  </w:style>
  <w:style w:type="numbering" w:customStyle="1" w:styleId="NoList1">
    <w:name w:val="No List1"/>
    <w:next w:val="NoList"/>
    <w:uiPriority w:val="99"/>
    <w:semiHidden/>
    <w:unhideWhenUsed/>
    <w:rsid w:val="0010488E"/>
  </w:style>
  <w:style w:type="table" w:customStyle="1" w:styleId="TableGrid1">
    <w:name w:val="Table Grid1"/>
    <w:basedOn w:val="TableNormal"/>
    <w:next w:val="TableGrid"/>
    <w:rsid w:val="00104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1">
    <w:name w:val="Medium List 21"/>
    <w:basedOn w:val="TableNormal"/>
    <w:next w:val="MediumList2"/>
    <w:uiPriority w:val="66"/>
    <w:rsid w:val="0010488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99"/>
    <w:rsid w:val="0010488E"/>
    <w:tblPr>
      <w:tblStyleRowBandSize w:val="1"/>
      <w:tblStyleColBandSize w:val="1"/>
      <w:tblBorders>
        <w:top w:val="single" w:sz="8" w:space="0" w:color="829BC7" w:themeColor="accent1" w:themeTint="BF"/>
        <w:left w:val="single" w:sz="8" w:space="0" w:color="829BC7" w:themeColor="accent1" w:themeTint="BF"/>
        <w:bottom w:val="single" w:sz="8" w:space="0" w:color="829BC7" w:themeColor="accent1" w:themeTint="BF"/>
        <w:right w:val="single" w:sz="8" w:space="0" w:color="829BC7" w:themeColor="accent1" w:themeTint="BF"/>
        <w:insideH w:val="single" w:sz="8" w:space="0" w:color="829BC7" w:themeColor="accent1" w:themeTint="BF"/>
        <w:insideV w:val="single" w:sz="8" w:space="0" w:color="829BC7" w:themeColor="accent1" w:themeTint="BF"/>
      </w:tblBorders>
    </w:tblPr>
    <w:tcPr>
      <w:shd w:val="clear" w:color="auto" w:fill="D5DEEC" w:themeFill="accent1" w:themeFillTint="3F"/>
    </w:tcPr>
    <w:tblStylePr w:type="firstRow">
      <w:rPr>
        <w:b/>
        <w:bCs/>
      </w:rPr>
    </w:tblStylePr>
    <w:tblStylePr w:type="lastRow">
      <w:rPr>
        <w:b/>
        <w:bCs/>
      </w:rPr>
      <w:tblPr/>
      <w:tcPr>
        <w:tcBorders>
          <w:top w:val="single" w:sz="18" w:space="0" w:color="829BC7" w:themeColor="accent1" w:themeTint="BF"/>
        </w:tcBorders>
      </w:tcPr>
    </w:tblStylePr>
    <w:tblStylePr w:type="firstCol">
      <w:rPr>
        <w:b/>
        <w:bCs/>
      </w:rPr>
    </w:tblStylePr>
    <w:tblStylePr w:type="lastCol">
      <w:rPr>
        <w:b/>
        <w:bCs/>
      </w:rPr>
    </w:tblStylePr>
    <w:tblStylePr w:type="band1Vert">
      <w:tblPr/>
      <w:tcPr>
        <w:shd w:val="clear" w:color="auto" w:fill="ACBCDA" w:themeFill="accent1" w:themeFillTint="7F"/>
      </w:tcPr>
    </w:tblStylePr>
    <w:tblStylePr w:type="band1Horz">
      <w:tblPr/>
      <w:tcPr>
        <w:shd w:val="clear" w:color="auto" w:fill="ACBCDA" w:themeFill="accent1" w:themeFillTint="7F"/>
      </w:tcPr>
    </w:tblStylePr>
  </w:style>
  <w:style w:type="table" w:customStyle="1" w:styleId="Table11">
    <w:name w:val="Table11"/>
    <w:basedOn w:val="TableNormal"/>
    <w:uiPriority w:val="99"/>
    <w:rsid w:val="0010488E"/>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tblStylePr w:type="firstCol">
      <w:tblPr/>
      <w:tcPr>
        <w:shd w:val="clear" w:color="auto" w:fill="E6E5E3"/>
      </w:tcPr>
    </w:tblStylePr>
  </w:style>
  <w:style w:type="table" w:customStyle="1" w:styleId="Table21">
    <w:name w:val="Table21"/>
    <w:basedOn w:val="TableNormal"/>
    <w:uiPriority w:val="99"/>
    <w:rsid w:val="0010488E"/>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ook Antiqua" w:hAnsi="Book Antiqua"/>
        <w:b/>
        <w:color w:val="000000"/>
        <w:sz w:val="50"/>
      </w:rPr>
      <w:tblPr/>
      <w:tcPr>
        <w:shd w:val="clear" w:color="auto" w:fill="CFCAC7"/>
      </w:tcPr>
    </w:tblStylePr>
  </w:style>
  <w:style w:type="character" w:customStyle="1" w:styleId="StyleLatinArialNarrow12ptBoldCustomColorRGB662095">
    <w:name w:val="Style (Latin) Arial Narrow 12 pt Bold Custom Color(RGB(662095))"/>
    <w:basedOn w:val="DefaultParagraphFont"/>
    <w:rsid w:val="0010488E"/>
    <w:rPr>
      <w:rFonts w:ascii="Arial" w:hAnsi="Arial"/>
      <w:b/>
      <w:bCs/>
      <w:color w:val="00338D"/>
      <w:sz w:val="24"/>
    </w:rPr>
  </w:style>
  <w:style w:type="paragraph" w:customStyle="1" w:styleId="StylePara0ItalicAccent6">
    <w:name w:val="Style Para 0 + Italic Accent 6"/>
    <w:basedOn w:val="Para0"/>
    <w:rsid w:val="0010488E"/>
    <w:rPr>
      <w:i/>
      <w:iCs/>
      <w:color w:val="597AB5"/>
    </w:rPr>
  </w:style>
  <w:style w:type="character" w:styleId="FollowedHyperlink">
    <w:name w:val="FollowedHyperlink"/>
    <w:basedOn w:val="DefaultParagraphFont"/>
    <w:uiPriority w:val="99"/>
    <w:unhideWhenUsed/>
    <w:rsid w:val="0010488E"/>
    <w:rPr>
      <w:color w:val="800080" w:themeColor="followedHyperlink"/>
      <w:u w:val="single"/>
    </w:rPr>
  </w:style>
  <w:style w:type="character" w:customStyle="1" w:styleId="Para0bulletChar">
    <w:name w:val="Para 0 bullet Char"/>
    <w:basedOn w:val="DefaultParagraphFont"/>
    <w:link w:val="Para0bullet"/>
    <w:locked/>
    <w:rsid w:val="0010488E"/>
    <w:rPr>
      <w:rFonts w:ascii="Arial" w:hAnsi="Arial"/>
      <w:sz w:val="20"/>
      <w:lang w:val="en-AU"/>
    </w:rPr>
  </w:style>
  <w:style w:type="character" w:styleId="CommentReference">
    <w:name w:val="annotation reference"/>
    <w:basedOn w:val="DefaultParagraphFont"/>
    <w:uiPriority w:val="99"/>
    <w:rsid w:val="0010488E"/>
    <w:rPr>
      <w:rFonts w:cs="Times New Roman"/>
      <w:sz w:val="16"/>
      <w:szCs w:val="16"/>
    </w:rPr>
  </w:style>
  <w:style w:type="paragraph" w:styleId="CommentText">
    <w:name w:val="annotation text"/>
    <w:basedOn w:val="Normal"/>
    <w:link w:val="CommentTextChar"/>
    <w:uiPriority w:val="99"/>
    <w:rsid w:val="0010488E"/>
    <w:pPr>
      <w:spacing w:line="240" w:lineRule="auto"/>
    </w:pPr>
    <w:rPr>
      <w:rFonts w:ascii="Times New Roman" w:eastAsia="Times New Roman" w:hAnsi="Times New Roman" w:cs="Times New Roman"/>
      <w:color w:val="000000"/>
      <w:szCs w:val="20"/>
      <w:lang w:val="en-GB"/>
    </w:rPr>
  </w:style>
  <w:style w:type="character" w:customStyle="1" w:styleId="CommentTextChar">
    <w:name w:val="Comment Text Char"/>
    <w:basedOn w:val="DefaultParagraphFont"/>
    <w:link w:val="CommentText"/>
    <w:uiPriority w:val="99"/>
    <w:rsid w:val="0010488E"/>
    <w:rPr>
      <w:rFonts w:ascii="Times New Roman" w:eastAsia="Times New Roman" w:hAnsi="Times New Roman" w:cs="Times New Roman"/>
      <w:color w:val="000000"/>
      <w:sz w:val="20"/>
      <w:szCs w:val="20"/>
      <w:lang w:val="en-GB"/>
    </w:rPr>
  </w:style>
  <w:style w:type="paragraph" w:styleId="CommentSubject">
    <w:name w:val="annotation subject"/>
    <w:basedOn w:val="CommentText"/>
    <w:next w:val="CommentText"/>
    <w:link w:val="CommentSubjectChar"/>
    <w:unhideWhenUsed/>
    <w:rsid w:val="0010488E"/>
    <w:rPr>
      <w:rFonts w:ascii="Arial" w:eastAsiaTheme="minorEastAsia" w:hAnsi="Arial" w:cstheme="minorBidi"/>
      <w:b/>
      <w:bCs/>
      <w:color w:val="auto"/>
      <w:lang w:val="en-AU"/>
    </w:rPr>
  </w:style>
  <w:style w:type="character" w:customStyle="1" w:styleId="CommentSubjectChar">
    <w:name w:val="Comment Subject Char"/>
    <w:basedOn w:val="CommentTextChar"/>
    <w:link w:val="CommentSubject"/>
    <w:rsid w:val="0010488E"/>
    <w:rPr>
      <w:rFonts w:ascii="Arial" w:eastAsia="Times New Roman" w:hAnsi="Arial" w:cs="Times New Roman"/>
      <w:b/>
      <w:bCs/>
      <w:color w:val="000000"/>
      <w:sz w:val="20"/>
      <w:szCs w:val="20"/>
      <w:lang w:val="en-AU"/>
    </w:rPr>
  </w:style>
  <w:style w:type="paragraph" w:styleId="Revision">
    <w:name w:val="Revision"/>
    <w:hidden/>
    <w:uiPriority w:val="99"/>
    <w:semiHidden/>
    <w:rsid w:val="0010488E"/>
    <w:rPr>
      <w:rFonts w:ascii="Arial" w:hAnsi="Arial"/>
      <w:sz w:val="20"/>
      <w:lang w:val="en-AU"/>
    </w:rPr>
  </w:style>
  <w:style w:type="table" w:customStyle="1" w:styleId="LightGrid-Accent11">
    <w:name w:val="Light Grid - Accent 11"/>
    <w:uiPriority w:val="99"/>
    <w:rsid w:val="0010488E"/>
    <w:rPr>
      <w:rFonts w:ascii="Times New Roman" w:eastAsia="Times New Roman" w:hAnsi="Times New Roman"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12">
    <w:name w:val="Light List - Accent 12"/>
    <w:uiPriority w:val="61"/>
    <w:rsid w:val="0010488E"/>
    <w:rPr>
      <w:rFonts w:ascii="Calibri" w:eastAsia="Times New Roman" w:hAnsi="Calibri" w:cs="Times New Roman"/>
      <w:sz w:val="20"/>
      <w:szCs w:val="20"/>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TabletextChar">
    <w:name w:val="Table text Char"/>
    <w:basedOn w:val="DefaultParagraphFont"/>
    <w:link w:val="Tabletext"/>
    <w:locked/>
    <w:rsid w:val="0010488E"/>
    <w:rPr>
      <w:rFonts w:ascii="Arial" w:hAnsi="Arial"/>
      <w:sz w:val="20"/>
      <w:lang w:val="en-AU"/>
    </w:rPr>
  </w:style>
  <w:style w:type="paragraph" w:styleId="ListParagraph">
    <w:name w:val="List Paragraph"/>
    <w:basedOn w:val="Normal"/>
    <w:uiPriority w:val="34"/>
    <w:qFormat/>
    <w:rsid w:val="0010488E"/>
    <w:pPr>
      <w:spacing w:after="0" w:line="240" w:lineRule="auto"/>
      <w:ind w:left="720"/>
    </w:pPr>
    <w:rPr>
      <w:rFonts w:ascii="Calibri" w:eastAsiaTheme="minorHAnsi" w:hAnsi="Calibri" w:cs="Times New Roman"/>
      <w:sz w:val="22"/>
      <w:szCs w:val="22"/>
    </w:rPr>
  </w:style>
  <w:style w:type="paragraph" w:customStyle="1" w:styleId="Graphic">
    <w:name w:val="Graphic"/>
    <w:basedOn w:val="Para0"/>
    <w:next w:val="Para0"/>
    <w:rsid w:val="0010488E"/>
    <w:pPr>
      <w:spacing w:before="60" w:after="60" w:line="240" w:lineRule="auto"/>
    </w:pPr>
    <w:rPr>
      <w:rFonts w:eastAsia="Times New Roman" w:cs="Times New Roman"/>
      <w:color w:val="000000"/>
      <w:szCs w:val="20"/>
      <w:lang w:val="en-GB"/>
    </w:rPr>
  </w:style>
  <w:style w:type="paragraph" w:customStyle="1" w:styleId="Head1manual">
    <w:name w:val="Head 1 manual"/>
    <w:basedOn w:val="Heading1"/>
    <w:next w:val="Para0"/>
    <w:rsid w:val="0010488E"/>
    <w:pPr>
      <w:keepLines w:val="0"/>
      <w:numPr>
        <w:numId w:val="0"/>
      </w:numPr>
      <w:tabs>
        <w:tab w:val="left" w:pos="851"/>
      </w:tabs>
      <w:spacing w:before="0" w:after="240" w:line="240" w:lineRule="auto"/>
      <w:outlineLvl w:val="9"/>
    </w:pPr>
    <w:rPr>
      <w:rFonts w:eastAsia="Times New Roman" w:cs="Times New Roman"/>
      <w:bCs w:val="0"/>
      <w:color w:val="000000"/>
      <w:sz w:val="36"/>
      <w:szCs w:val="20"/>
      <w:lang w:val="en-GB"/>
    </w:rPr>
  </w:style>
  <w:style w:type="paragraph" w:customStyle="1" w:styleId="Head2manual">
    <w:name w:val="Head 2 manual"/>
    <w:basedOn w:val="Head1manual"/>
    <w:next w:val="Para0"/>
    <w:rsid w:val="0010488E"/>
    <w:pPr>
      <w:pageBreakBefore w:val="0"/>
      <w:spacing w:before="120" w:after="40"/>
    </w:pPr>
    <w:rPr>
      <w:sz w:val="22"/>
    </w:rPr>
  </w:style>
  <w:style w:type="paragraph" w:customStyle="1" w:styleId="Head3manual">
    <w:name w:val="Head 3 manual"/>
    <w:basedOn w:val="Head1manual"/>
    <w:next w:val="Para0"/>
    <w:rsid w:val="0010488E"/>
    <w:pPr>
      <w:pageBreakBefore w:val="0"/>
      <w:spacing w:before="120" w:after="40"/>
    </w:pPr>
    <w:rPr>
      <w:sz w:val="22"/>
    </w:rPr>
  </w:style>
  <w:style w:type="paragraph" w:customStyle="1" w:styleId="TableFont">
    <w:name w:val="TableFont"/>
    <w:basedOn w:val="Para0"/>
    <w:link w:val="TableFontChar"/>
    <w:qFormat/>
    <w:rsid w:val="0010488E"/>
    <w:pPr>
      <w:spacing w:before="40" w:after="40" w:line="240" w:lineRule="auto"/>
    </w:pPr>
    <w:rPr>
      <w:rFonts w:eastAsia="Times New Roman" w:cs="Times New Roman"/>
      <w:color w:val="000000"/>
      <w:sz w:val="18"/>
      <w:szCs w:val="20"/>
      <w:lang w:val="en-GB"/>
    </w:rPr>
  </w:style>
  <w:style w:type="paragraph" w:customStyle="1" w:styleId="TableFontH">
    <w:name w:val="TableFontH"/>
    <w:basedOn w:val="TableFont"/>
    <w:rsid w:val="0010488E"/>
    <w:pPr>
      <w:keepNext/>
      <w:spacing w:before="60" w:after="60"/>
    </w:pPr>
    <w:rPr>
      <w:b/>
      <w:color w:val="808000"/>
    </w:rPr>
  </w:style>
  <w:style w:type="paragraph" w:customStyle="1" w:styleId="BusName">
    <w:name w:val="BusName"/>
    <w:basedOn w:val="Footer"/>
    <w:rsid w:val="0010488E"/>
    <w:pPr>
      <w:pBdr>
        <w:top w:val="none" w:sz="0" w:space="0" w:color="auto"/>
      </w:pBdr>
      <w:tabs>
        <w:tab w:val="clear" w:pos="9923"/>
        <w:tab w:val="clear" w:pos="14884"/>
        <w:tab w:val="clear" w:pos="21830"/>
        <w:tab w:val="right" w:pos="8647"/>
      </w:tabs>
      <w:spacing w:before="0" w:after="220" w:line="240" w:lineRule="auto"/>
      <w:ind w:left="0"/>
    </w:pPr>
    <w:rPr>
      <w:rFonts w:ascii="Arial Narrow" w:eastAsia="Times New Roman" w:hAnsi="Arial Narrow"/>
      <w:noProof/>
      <w:color w:val="000000"/>
      <w:lang w:val="en-GB"/>
    </w:rPr>
  </w:style>
  <w:style w:type="paragraph" w:customStyle="1" w:styleId="Heading1-NoTOC">
    <w:name w:val="Heading 1 - No TOC"/>
    <w:basedOn w:val="Heading1"/>
    <w:next w:val="Para0"/>
    <w:rsid w:val="0010488E"/>
    <w:pPr>
      <w:keepLines w:val="0"/>
      <w:numPr>
        <w:numId w:val="0"/>
      </w:numPr>
      <w:tabs>
        <w:tab w:val="left" w:pos="851"/>
      </w:tabs>
      <w:spacing w:before="0" w:after="240" w:line="240" w:lineRule="auto"/>
      <w:outlineLvl w:val="9"/>
    </w:pPr>
    <w:rPr>
      <w:rFonts w:eastAsia="Times New Roman" w:cs="Times New Roman"/>
      <w:bCs w:val="0"/>
      <w:color w:val="000000"/>
      <w:sz w:val="36"/>
      <w:szCs w:val="20"/>
      <w:lang w:val="en-GB"/>
    </w:rPr>
  </w:style>
  <w:style w:type="paragraph" w:customStyle="1" w:styleId="Graphiccaption">
    <w:name w:val="Graphic caption"/>
    <w:basedOn w:val="Caption"/>
    <w:next w:val="Para0"/>
    <w:rsid w:val="0010488E"/>
    <w:pPr>
      <w:keepLines/>
      <w:tabs>
        <w:tab w:val="num" w:pos="397"/>
      </w:tabs>
      <w:spacing w:before="0" w:after="120" w:line="240" w:lineRule="auto"/>
      <w:ind w:left="397" w:hanging="397"/>
    </w:pPr>
    <w:rPr>
      <w:rFonts w:ascii="Arial" w:eastAsia="Times New Roman" w:hAnsi="Arial" w:cs="Times New Roman"/>
      <w:b w:val="0"/>
      <w:i/>
      <w:color w:val="808000"/>
      <w:szCs w:val="20"/>
      <w:lang w:val="en-GB"/>
    </w:rPr>
  </w:style>
  <w:style w:type="paragraph" w:customStyle="1" w:styleId="Hiddenreference">
    <w:name w:val="Hidden reference"/>
    <w:basedOn w:val="Para0"/>
    <w:next w:val="Para0"/>
    <w:rsid w:val="0010488E"/>
    <w:pPr>
      <w:spacing w:before="40" w:after="40" w:line="240" w:lineRule="auto"/>
    </w:pPr>
    <w:rPr>
      <w:rFonts w:eastAsia="Times New Roman" w:cs="Times New Roman"/>
      <w:vanish/>
      <w:color w:val="FF0000"/>
      <w:szCs w:val="20"/>
      <w:lang w:val="en-GB"/>
    </w:rPr>
  </w:style>
  <w:style w:type="paragraph" w:customStyle="1" w:styleId="DocStatusH">
    <w:name w:val="DocStatusH"/>
    <w:basedOn w:val="DocStatus"/>
    <w:rsid w:val="0010488E"/>
    <w:pPr>
      <w:spacing w:before="60" w:after="60"/>
    </w:pPr>
    <w:rPr>
      <w:b/>
    </w:rPr>
  </w:style>
  <w:style w:type="paragraph" w:customStyle="1" w:styleId="DocStatus">
    <w:name w:val="DocStatus"/>
    <w:basedOn w:val="TableFont"/>
    <w:rsid w:val="0010488E"/>
    <w:rPr>
      <w:sz w:val="16"/>
    </w:rPr>
  </w:style>
  <w:style w:type="paragraph" w:customStyle="1" w:styleId="Head4manual">
    <w:name w:val="Head 4 manual"/>
    <w:basedOn w:val="Head1manual"/>
    <w:rsid w:val="0010488E"/>
    <w:pPr>
      <w:pageBreakBefore w:val="0"/>
      <w:spacing w:before="120" w:after="40"/>
    </w:pPr>
    <w:rPr>
      <w:sz w:val="22"/>
    </w:rPr>
  </w:style>
  <w:style w:type="paragraph" w:customStyle="1" w:styleId="Summaryheading0">
    <w:name w:val="Summary heading"/>
    <w:basedOn w:val="Heading1"/>
    <w:next w:val="Para0"/>
    <w:rsid w:val="0010488E"/>
    <w:pPr>
      <w:keepLines w:val="0"/>
      <w:numPr>
        <w:numId w:val="0"/>
      </w:numPr>
      <w:tabs>
        <w:tab w:val="left" w:pos="851"/>
      </w:tabs>
      <w:spacing w:before="0" w:after="240" w:line="240" w:lineRule="auto"/>
    </w:pPr>
    <w:rPr>
      <w:rFonts w:eastAsia="Times New Roman" w:cs="Times New Roman"/>
      <w:bCs w:val="0"/>
      <w:color w:val="000000"/>
      <w:sz w:val="36"/>
      <w:szCs w:val="20"/>
      <w:lang w:val="en-GB"/>
    </w:rPr>
  </w:style>
  <w:style w:type="paragraph" w:customStyle="1" w:styleId="Margincomment">
    <w:name w:val="Margin comment"/>
    <w:basedOn w:val="Para0"/>
    <w:rsid w:val="0010488E"/>
    <w:pPr>
      <w:spacing w:before="0" w:after="0" w:line="300" w:lineRule="auto"/>
      <w:jc w:val="right"/>
    </w:pPr>
    <w:rPr>
      <w:rFonts w:ascii="Arial Narrow" w:eastAsia="Times New Roman" w:hAnsi="Arial Narrow" w:cs="Times New Roman"/>
      <w:i/>
      <w:color w:val="808000"/>
      <w:sz w:val="18"/>
      <w:szCs w:val="20"/>
      <w:lang w:val="en-GB"/>
    </w:rPr>
  </w:style>
  <w:style w:type="paragraph" w:customStyle="1" w:styleId="Appendix1">
    <w:name w:val="Appendix 1"/>
    <w:basedOn w:val="Heading1"/>
    <w:next w:val="Para0"/>
    <w:rsid w:val="0010488E"/>
    <w:pPr>
      <w:keepLines w:val="0"/>
      <w:numPr>
        <w:numId w:val="42"/>
      </w:numPr>
      <w:tabs>
        <w:tab w:val="left" w:pos="851"/>
      </w:tabs>
      <w:spacing w:before="0" w:after="240" w:line="240" w:lineRule="auto"/>
    </w:pPr>
    <w:rPr>
      <w:rFonts w:eastAsia="Times New Roman" w:cs="Times New Roman"/>
      <w:bCs w:val="0"/>
      <w:color w:val="000000"/>
      <w:sz w:val="36"/>
      <w:szCs w:val="20"/>
      <w:lang w:val="en-GB"/>
    </w:rPr>
  </w:style>
  <w:style w:type="paragraph" w:customStyle="1" w:styleId="Appendix2">
    <w:name w:val="Appendix 2"/>
    <w:basedOn w:val="Appendix1"/>
    <w:next w:val="Para0"/>
    <w:rsid w:val="0010488E"/>
    <w:pPr>
      <w:pageBreakBefore w:val="0"/>
      <w:numPr>
        <w:ilvl w:val="1"/>
      </w:numPr>
      <w:spacing w:before="120" w:after="40"/>
      <w:outlineLvl w:val="1"/>
    </w:pPr>
    <w:rPr>
      <w:sz w:val="22"/>
    </w:rPr>
  </w:style>
  <w:style w:type="paragraph" w:customStyle="1" w:styleId="Appendix3">
    <w:name w:val="Appendix 3"/>
    <w:basedOn w:val="Appendix1"/>
    <w:next w:val="Para0"/>
    <w:rsid w:val="0010488E"/>
    <w:pPr>
      <w:pageBreakBefore w:val="0"/>
      <w:numPr>
        <w:ilvl w:val="2"/>
      </w:numPr>
      <w:spacing w:before="120" w:after="40"/>
      <w:outlineLvl w:val="2"/>
    </w:pPr>
    <w:rPr>
      <w:sz w:val="22"/>
    </w:rPr>
  </w:style>
  <w:style w:type="paragraph" w:customStyle="1" w:styleId="CoverHeading0">
    <w:name w:val="CoverHeading"/>
    <w:basedOn w:val="Para0"/>
    <w:next w:val="Para0"/>
    <w:rsid w:val="0010488E"/>
    <w:pPr>
      <w:keepNext/>
      <w:spacing w:before="0" w:after="0" w:line="240" w:lineRule="auto"/>
    </w:pPr>
    <w:rPr>
      <w:rFonts w:ascii="Arial Narrow" w:eastAsia="Times New Roman" w:hAnsi="Arial Narrow" w:cs="Times New Roman"/>
      <w:b/>
      <w:color w:val="000000"/>
      <w:sz w:val="44"/>
      <w:szCs w:val="20"/>
      <w:lang w:val="en-GB"/>
    </w:rPr>
  </w:style>
  <w:style w:type="paragraph" w:customStyle="1" w:styleId="CoverTitle0">
    <w:name w:val="CoverTitle"/>
    <w:basedOn w:val="Para0"/>
    <w:next w:val="Para0"/>
    <w:rsid w:val="0010488E"/>
    <w:pPr>
      <w:spacing w:before="0" w:after="180" w:line="240" w:lineRule="auto"/>
    </w:pPr>
    <w:rPr>
      <w:rFonts w:ascii="Arial Narrow" w:eastAsia="Times New Roman" w:hAnsi="Arial Narrow" w:cs="Times New Roman"/>
      <w:caps/>
      <w:color w:val="000000"/>
      <w:sz w:val="28"/>
      <w:szCs w:val="20"/>
      <w:lang w:val="en-GB"/>
    </w:rPr>
  </w:style>
  <w:style w:type="paragraph" w:customStyle="1" w:styleId="CoverSubject">
    <w:name w:val="CoverSubject"/>
    <w:basedOn w:val="Para0"/>
    <w:next w:val="Para0"/>
    <w:rsid w:val="0010488E"/>
    <w:pPr>
      <w:numPr>
        <w:numId w:val="43"/>
      </w:numPr>
      <w:spacing w:before="0" w:line="240" w:lineRule="auto"/>
    </w:pPr>
    <w:rPr>
      <w:rFonts w:ascii="Arial Narrow" w:eastAsia="Times New Roman" w:hAnsi="Arial Narrow" w:cs="Times New Roman"/>
      <w:color w:val="808080"/>
      <w:sz w:val="24"/>
      <w:szCs w:val="20"/>
      <w:lang w:val="en-GB"/>
    </w:rPr>
  </w:style>
  <w:style w:type="paragraph" w:customStyle="1" w:styleId="CoverVersion">
    <w:name w:val="CoverVersion"/>
    <w:basedOn w:val="CoverSubject"/>
    <w:next w:val="Para0"/>
    <w:rsid w:val="0010488E"/>
  </w:style>
  <w:style w:type="paragraph" w:customStyle="1" w:styleId="CoverDate0">
    <w:name w:val="CoverDate"/>
    <w:basedOn w:val="CoverSubject"/>
    <w:next w:val="Para0"/>
    <w:rsid w:val="0010488E"/>
  </w:style>
  <w:style w:type="paragraph" w:customStyle="1" w:styleId="FlysheetHeading">
    <w:name w:val="FlysheetHeading"/>
    <w:basedOn w:val="CoverHeading0"/>
    <w:next w:val="Para0"/>
    <w:rsid w:val="0010488E"/>
  </w:style>
  <w:style w:type="paragraph" w:customStyle="1" w:styleId="FlysheetTitle">
    <w:name w:val="FlysheetTitle"/>
    <w:basedOn w:val="CoverTitle0"/>
    <w:next w:val="Para0"/>
    <w:rsid w:val="0010488E"/>
  </w:style>
  <w:style w:type="paragraph" w:customStyle="1" w:styleId="FlysheetVersion">
    <w:name w:val="FlysheetVersion"/>
    <w:basedOn w:val="CoverVersion"/>
    <w:next w:val="Para0"/>
    <w:rsid w:val="0010488E"/>
    <w:pPr>
      <w:numPr>
        <w:numId w:val="44"/>
      </w:numPr>
      <w:tabs>
        <w:tab w:val="clear" w:pos="360"/>
        <w:tab w:val="left" w:pos="284"/>
      </w:tabs>
    </w:pPr>
  </w:style>
  <w:style w:type="paragraph" w:customStyle="1" w:styleId="FlysheetDate">
    <w:name w:val="FlysheetDate"/>
    <w:basedOn w:val="FlysheetVersion"/>
    <w:next w:val="Para0"/>
    <w:rsid w:val="0010488E"/>
  </w:style>
  <w:style w:type="paragraph" w:customStyle="1" w:styleId="Address">
    <w:name w:val="Address"/>
    <w:basedOn w:val="Para0"/>
    <w:rsid w:val="0010488E"/>
    <w:pPr>
      <w:tabs>
        <w:tab w:val="left" w:pos="737"/>
      </w:tabs>
      <w:spacing w:before="0" w:after="0" w:line="240" w:lineRule="auto"/>
      <w:ind w:left="284"/>
    </w:pPr>
    <w:rPr>
      <w:rFonts w:ascii="Arial Narrow" w:eastAsia="Times New Roman" w:hAnsi="Arial Narrow" w:cs="Times New Roman"/>
      <w:color w:val="000000"/>
      <w:szCs w:val="20"/>
      <w:lang w:val="en-GB"/>
    </w:rPr>
  </w:style>
  <w:style w:type="paragraph" w:customStyle="1" w:styleId="CoverCopyright">
    <w:name w:val="CoverCopyright"/>
    <w:basedOn w:val="Para0"/>
    <w:next w:val="Para0"/>
    <w:rsid w:val="0010488E"/>
    <w:pPr>
      <w:spacing w:before="120" w:after="0" w:line="240" w:lineRule="auto"/>
    </w:pPr>
    <w:rPr>
      <w:rFonts w:eastAsia="Times New Roman" w:cs="Times New Roman"/>
      <w:color w:val="000000"/>
      <w:sz w:val="16"/>
      <w:szCs w:val="20"/>
      <w:lang w:val="en-GB"/>
    </w:rPr>
  </w:style>
  <w:style w:type="paragraph" w:customStyle="1" w:styleId="CoverFooter">
    <w:name w:val="CoverFooter"/>
    <w:basedOn w:val="Footer"/>
    <w:rsid w:val="0010488E"/>
    <w:pPr>
      <w:pBdr>
        <w:top w:val="none" w:sz="0" w:space="0" w:color="auto"/>
      </w:pBdr>
      <w:tabs>
        <w:tab w:val="clear" w:pos="9923"/>
        <w:tab w:val="clear" w:pos="14884"/>
        <w:tab w:val="clear" w:pos="21830"/>
        <w:tab w:val="right" w:pos="6946"/>
      </w:tabs>
      <w:spacing w:before="0" w:after="0" w:line="240" w:lineRule="exact"/>
      <w:ind w:left="0"/>
    </w:pPr>
    <w:rPr>
      <w:rFonts w:ascii="Arial Narrow" w:eastAsia="Times New Roman" w:hAnsi="Arial Narrow"/>
      <w:b w:val="0"/>
      <w:noProof/>
      <w:color w:val="808080"/>
      <w:lang w:val="en-GB"/>
    </w:rPr>
  </w:style>
  <w:style w:type="paragraph" w:styleId="TableofFigures">
    <w:name w:val="table of figures"/>
    <w:basedOn w:val="TOC1"/>
    <w:next w:val="Para0"/>
    <w:uiPriority w:val="99"/>
    <w:rsid w:val="0010488E"/>
    <w:pPr>
      <w:tabs>
        <w:tab w:val="clear" w:pos="9923"/>
        <w:tab w:val="left" w:pos="567"/>
        <w:tab w:val="right" w:pos="8505"/>
      </w:tabs>
      <w:spacing w:before="120" w:after="120"/>
      <w:ind w:left="0" w:right="0" w:firstLine="0"/>
    </w:pPr>
    <w:rPr>
      <w:rFonts w:eastAsia="Times New Roman" w:cs="Times New Roman"/>
      <w:b w:val="0"/>
      <w:color w:val="000000"/>
      <w:szCs w:val="20"/>
      <w:lang w:val="en-GB"/>
    </w:rPr>
  </w:style>
  <w:style w:type="paragraph" w:customStyle="1" w:styleId="Instruction">
    <w:name w:val="Instruction"/>
    <w:basedOn w:val="Para0"/>
    <w:next w:val="Para0"/>
    <w:rsid w:val="0010488E"/>
    <w:pPr>
      <w:spacing w:before="0" w:line="240" w:lineRule="auto"/>
    </w:pPr>
    <w:rPr>
      <w:rFonts w:eastAsia="Times New Roman" w:cs="Times New Roman"/>
      <w:color w:val="FF0000"/>
      <w:szCs w:val="20"/>
      <w:lang w:val="en-GB"/>
    </w:rPr>
  </w:style>
  <w:style w:type="paragraph" w:customStyle="1" w:styleId="Para0Roman0">
    <w:name w:val="Para 0 Roman"/>
    <w:basedOn w:val="Para0"/>
    <w:rsid w:val="0010488E"/>
    <w:pPr>
      <w:numPr>
        <w:numId w:val="45"/>
      </w:numPr>
      <w:spacing w:before="0" w:after="60" w:line="300" w:lineRule="auto"/>
    </w:pPr>
    <w:rPr>
      <w:rFonts w:eastAsia="Times New Roman" w:cs="Times New Roman"/>
      <w:color w:val="000000"/>
      <w:szCs w:val="20"/>
      <w:lang w:val="en-GB"/>
    </w:rPr>
  </w:style>
  <w:style w:type="paragraph" w:customStyle="1" w:styleId="TableFontbullet">
    <w:name w:val="TableFont bullet"/>
    <w:basedOn w:val="TableFont"/>
    <w:rsid w:val="0010488E"/>
    <w:pPr>
      <w:tabs>
        <w:tab w:val="num" w:pos="397"/>
      </w:tabs>
      <w:spacing w:before="20" w:after="0"/>
      <w:ind w:left="397" w:hanging="397"/>
    </w:pPr>
  </w:style>
  <w:style w:type="paragraph" w:customStyle="1" w:styleId="Para1Roman">
    <w:name w:val="Para 1 Roman"/>
    <w:basedOn w:val="Para1"/>
    <w:rsid w:val="0010488E"/>
    <w:pPr>
      <w:numPr>
        <w:numId w:val="46"/>
      </w:numPr>
      <w:spacing w:before="0" w:after="60" w:line="300" w:lineRule="auto"/>
    </w:pPr>
    <w:rPr>
      <w:rFonts w:eastAsia="Times New Roman" w:cs="Times New Roman"/>
      <w:color w:val="000000"/>
      <w:szCs w:val="20"/>
      <w:lang w:val="en-GB"/>
    </w:rPr>
  </w:style>
  <w:style w:type="paragraph" w:customStyle="1" w:styleId="Para2Roman0">
    <w:name w:val="Para 2 Roman"/>
    <w:basedOn w:val="Para2"/>
    <w:rsid w:val="0010488E"/>
    <w:pPr>
      <w:numPr>
        <w:numId w:val="47"/>
      </w:numPr>
      <w:spacing w:before="0" w:after="60" w:line="300" w:lineRule="auto"/>
    </w:pPr>
    <w:rPr>
      <w:rFonts w:eastAsia="Times New Roman" w:cs="Times New Roman"/>
      <w:color w:val="000000"/>
      <w:szCs w:val="20"/>
      <w:lang w:val="en-GB"/>
    </w:rPr>
  </w:style>
  <w:style w:type="paragraph" w:customStyle="1" w:styleId="Para3Roman">
    <w:name w:val="Para 3 Roman"/>
    <w:basedOn w:val="Para3"/>
    <w:rsid w:val="0010488E"/>
    <w:pPr>
      <w:numPr>
        <w:numId w:val="48"/>
      </w:numPr>
      <w:spacing w:before="0" w:after="60" w:line="300" w:lineRule="auto"/>
    </w:pPr>
    <w:rPr>
      <w:rFonts w:eastAsia="Times New Roman" w:cs="Times New Roman"/>
      <w:color w:val="000000"/>
      <w:szCs w:val="20"/>
      <w:lang w:val="en-GB"/>
    </w:rPr>
  </w:style>
  <w:style w:type="paragraph" w:styleId="Title">
    <w:name w:val="Title"/>
    <w:basedOn w:val="Normal"/>
    <w:next w:val="Normal"/>
    <w:link w:val="TitleChar"/>
    <w:uiPriority w:val="99"/>
    <w:qFormat/>
    <w:rsid w:val="0010488E"/>
    <w:pPr>
      <w:spacing w:before="240" w:after="60" w:line="240" w:lineRule="auto"/>
      <w:jc w:val="center"/>
      <w:outlineLvl w:val="0"/>
    </w:pPr>
    <w:rPr>
      <w:rFonts w:ascii="Cambria" w:eastAsia="Times New Roman" w:hAnsi="Cambria" w:cs="Times New Roman"/>
      <w:b/>
      <w:bCs/>
      <w:color w:val="000000"/>
      <w:kern w:val="28"/>
      <w:sz w:val="32"/>
      <w:szCs w:val="32"/>
      <w:lang w:val="en-GB" w:eastAsia="en-AU"/>
    </w:rPr>
  </w:style>
  <w:style w:type="character" w:customStyle="1" w:styleId="TitleChar">
    <w:name w:val="Title Char"/>
    <w:basedOn w:val="DefaultParagraphFont"/>
    <w:link w:val="Title"/>
    <w:uiPriority w:val="99"/>
    <w:rsid w:val="0010488E"/>
    <w:rPr>
      <w:rFonts w:ascii="Cambria" w:eastAsia="Times New Roman" w:hAnsi="Cambria" w:cs="Times New Roman"/>
      <w:b/>
      <w:bCs/>
      <w:color w:val="000000"/>
      <w:kern w:val="28"/>
      <w:sz w:val="32"/>
      <w:szCs w:val="32"/>
      <w:lang w:val="en-GB" w:eastAsia="en-AU"/>
    </w:rPr>
  </w:style>
  <w:style w:type="paragraph" w:customStyle="1" w:styleId="DocType">
    <w:name w:val="DocType"/>
    <w:basedOn w:val="Para0"/>
    <w:rsid w:val="0010488E"/>
    <w:pPr>
      <w:spacing w:before="0" w:after="1680" w:line="240" w:lineRule="auto"/>
    </w:pPr>
    <w:rPr>
      <w:rFonts w:ascii="Arial Narrow" w:eastAsia="Times New Roman" w:hAnsi="Arial Narrow" w:cs="Times New Roman"/>
      <w:color w:val="808080"/>
      <w:sz w:val="32"/>
      <w:szCs w:val="20"/>
      <w:lang w:val="en-GB"/>
    </w:rPr>
  </w:style>
  <w:style w:type="character" w:customStyle="1" w:styleId="st1">
    <w:name w:val="st1"/>
    <w:basedOn w:val="DefaultParagraphFont"/>
    <w:rsid w:val="0010488E"/>
  </w:style>
  <w:style w:type="paragraph" w:customStyle="1" w:styleId="PAEPARA0">
    <w:name w:val="PAE PARA 0"/>
    <w:basedOn w:val="Normal"/>
    <w:qFormat/>
    <w:rsid w:val="0010488E"/>
    <w:pPr>
      <w:keepLines/>
      <w:spacing w:before="40" w:after="200" w:line="276" w:lineRule="auto"/>
      <w:jc w:val="both"/>
    </w:pPr>
    <w:rPr>
      <w:rFonts w:eastAsiaTheme="minorHAnsi"/>
      <w:szCs w:val="22"/>
    </w:rPr>
  </w:style>
  <w:style w:type="paragraph" w:customStyle="1" w:styleId="Para0new">
    <w:name w:val="Para 0 new"/>
    <w:basedOn w:val="Normal"/>
    <w:link w:val="Para0newChar"/>
    <w:uiPriority w:val="99"/>
    <w:qFormat/>
    <w:rsid w:val="0010488E"/>
    <w:pPr>
      <w:spacing w:after="200" w:line="264" w:lineRule="auto"/>
    </w:pPr>
    <w:rPr>
      <w:rFonts w:asciiTheme="majorHAnsi" w:eastAsia="Arial Unicode MS" w:hAnsiTheme="majorHAnsi" w:cs="Arial Unicode MS"/>
      <w:color w:val="000000"/>
      <w:sz w:val="21"/>
      <w:szCs w:val="21"/>
      <w:lang w:val="en-GB"/>
    </w:rPr>
  </w:style>
  <w:style w:type="character" w:customStyle="1" w:styleId="Para0newChar">
    <w:name w:val="Para 0 new Char"/>
    <w:basedOn w:val="DefaultParagraphFont"/>
    <w:link w:val="Para0new"/>
    <w:uiPriority w:val="99"/>
    <w:rsid w:val="0010488E"/>
    <w:rPr>
      <w:rFonts w:asciiTheme="majorHAnsi" w:eastAsia="Arial Unicode MS" w:hAnsiTheme="majorHAnsi" w:cs="Arial Unicode MS"/>
      <w:color w:val="000000"/>
      <w:sz w:val="21"/>
      <w:szCs w:val="21"/>
      <w:lang w:val="en-GB"/>
    </w:rPr>
  </w:style>
  <w:style w:type="table" w:customStyle="1" w:styleId="PAEtable">
    <w:name w:val="PAE table"/>
    <w:basedOn w:val="TableNormal"/>
    <w:uiPriority w:val="99"/>
    <w:qFormat/>
    <w:rsid w:val="0010488E"/>
    <w:rPr>
      <w:rFonts w:eastAsiaTheme="minorHAnsi"/>
      <w:sz w:val="22"/>
      <w:szCs w:val="22"/>
      <w:lang w:val="en-AU"/>
    </w:rPr>
    <w:tblPr>
      <w:tblStyleRowBandSize w:val="1"/>
    </w:tblPr>
    <w:tcPr>
      <w:vAlign w:val="center"/>
    </w:tcPr>
    <w:tblStylePr w:type="firstRow">
      <w:pPr>
        <w:jc w:val="left"/>
      </w:pPr>
      <w:rPr>
        <w:rFonts w:ascii="Arial" w:hAnsi="Arial"/>
        <w:b/>
        <w:color w:val="FFFFFF" w:themeColor="background1"/>
        <w:sz w:val="16"/>
      </w:rPr>
      <w:tblPr/>
      <w:trPr>
        <w:cantSplit/>
        <w:tblHeader/>
      </w:trPr>
      <w:tcPr>
        <w:tcBorders>
          <w:bottom w:val="single" w:sz="24" w:space="0" w:color="FFFFFF" w:themeColor="background1"/>
          <w:insideH w:val="single" w:sz="8" w:space="0" w:color="FFFFFF" w:themeColor="background1"/>
          <w:insideV w:val="single" w:sz="8" w:space="0" w:color="FFFFFF" w:themeColor="background1"/>
        </w:tcBorders>
        <w:shd w:val="clear" w:color="auto" w:fill="8064A2"/>
        <w:vAlign w:val="center"/>
      </w:tcPr>
    </w:tblStylePr>
    <w:tblStylePr w:type="band1Horz">
      <w:pPr>
        <w:jc w:val="left"/>
      </w:pPr>
      <w:rPr>
        <w:rFonts w:ascii="Arial" w:hAnsi="Arial"/>
        <w:color w:val="000000" w:themeColor="text1"/>
        <w:sz w:val="16"/>
      </w:rPr>
      <w:tblPr/>
      <w:trPr>
        <w:cantSplit/>
      </w:trPr>
      <w:tcPr>
        <w:tcBorders>
          <w:bottom w:val="single" w:sz="8" w:space="0" w:color="FFFFFF" w:themeColor="background1"/>
          <w:insideH w:val="single" w:sz="8" w:space="0" w:color="FFFFFF" w:themeColor="background1"/>
          <w:insideV w:val="single" w:sz="8" w:space="0" w:color="FFFFFF" w:themeColor="background1"/>
        </w:tcBorders>
        <w:shd w:val="clear" w:color="auto" w:fill="FFF8CC" w:themeFill="accent4" w:themeFillTint="33"/>
        <w:vAlign w:val="center"/>
      </w:tcPr>
    </w:tblStylePr>
    <w:tblStylePr w:type="band2Horz">
      <w:pPr>
        <w:jc w:val="left"/>
      </w:pPr>
      <w:rPr>
        <w:rFonts w:ascii="Arial" w:hAnsi="Arial"/>
        <w:color w:val="000000" w:themeColor="text1"/>
        <w:sz w:val="16"/>
      </w:rPr>
      <w:tblPr/>
      <w:trPr>
        <w:cantSplit/>
      </w:trPr>
      <w:tcPr>
        <w:tcBorders>
          <w:bottom w:val="single" w:sz="8" w:space="0" w:color="FFFFFF" w:themeColor="background1"/>
          <w:insideH w:val="single" w:sz="8" w:space="0" w:color="FFFFFF" w:themeColor="background1"/>
          <w:insideV w:val="single" w:sz="8" w:space="0" w:color="FFFFFF" w:themeColor="background1"/>
        </w:tcBorders>
        <w:shd w:val="clear" w:color="auto" w:fill="FFF199" w:themeFill="accent4" w:themeFillTint="66"/>
        <w:vAlign w:val="center"/>
      </w:tcPr>
    </w:tblStylePr>
  </w:style>
  <w:style w:type="paragraph" w:customStyle="1" w:styleId="CECNormal">
    <w:name w:val="CEC_Normal"/>
    <w:basedOn w:val="Normal"/>
    <w:link w:val="CECNormalChar"/>
    <w:qFormat/>
    <w:rsid w:val="0010488E"/>
    <w:pPr>
      <w:spacing w:line="300" w:lineRule="auto"/>
      <w:jc w:val="both"/>
    </w:pPr>
    <w:rPr>
      <w:rFonts w:eastAsia="Times New Roman" w:cs="Arial"/>
      <w:color w:val="000000"/>
      <w:szCs w:val="20"/>
      <w:lang w:val="en-GB"/>
    </w:rPr>
  </w:style>
  <w:style w:type="character" w:customStyle="1" w:styleId="CECNormalChar">
    <w:name w:val="CEC_Normal Char"/>
    <w:basedOn w:val="DefaultParagraphFont"/>
    <w:link w:val="CECNormal"/>
    <w:rsid w:val="0010488E"/>
    <w:rPr>
      <w:rFonts w:ascii="Arial" w:eastAsia="Times New Roman" w:hAnsi="Arial" w:cs="Arial"/>
      <w:color w:val="000000"/>
      <w:sz w:val="20"/>
      <w:szCs w:val="20"/>
      <w:lang w:val="en-GB"/>
    </w:rPr>
  </w:style>
  <w:style w:type="character" w:customStyle="1" w:styleId="Para0numberChar">
    <w:name w:val="Para 0 number Char"/>
    <w:basedOn w:val="DefaultParagraphFont"/>
    <w:link w:val="Para0number"/>
    <w:rsid w:val="0010488E"/>
    <w:rPr>
      <w:rFonts w:ascii="Arial" w:hAnsi="Arial"/>
      <w:sz w:val="20"/>
      <w:lang w:val="en-AU"/>
    </w:rPr>
  </w:style>
  <w:style w:type="paragraph" w:customStyle="1" w:styleId="bulletlist">
    <w:name w:val="bullet list"/>
    <w:basedOn w:val="Para0bullet"/>
    <w:link w:val="bulletlistChar"/>
    <w:uiPriority w:val="99"/>
    <w:qFormat/>
    <w:rsid w:val="0010488E"/>
    <w:pPr>
      <w:numPr>
        <w:numId w:val="49"/>
      </w:numPr>
      <w:tabs>
        <w:tab w:val="clear" w:pos="851"/>
        <w:tab w:val="left" w:pos="709"/>
      </w:tabs>
      <w:spacing w:after="60" w:line="300" w:lineRule="auto"/>
    </w:pPr>
    <w:rPr>
      <w:rFonts w:eastAsia="Times New Roman" w:cs="Times New Roman"/>
      <w:color w:val="000000"/>
      <w:szCs w:val="20"/>
      <w:lang w:val="en-GB"/>
    </w:rPr>
  </w:style>
  <w:style w:type="character" w:customStyle="1" w:styleId="bulletlistChar">
    <w:name w:val="bullet list Char"/>
    <w:basedOn w:val="DefaultParagraphFont"/>
    <w:link w:val="bulletlist"/>
    <w:uiPriority w:val="99"/>
    <w:rsid w:val="0010488E"/>
    <w:rPr>
      <w:rFonts w:ascii="Arial" w:eastAsia="Times New Roman" w:hAnsi="Arial" w:cs="Times New Roman"/>
      <w:color w:val="000000"/>
      <w:sz w:val="20"/>
      <w:szCs w:val="20"/>
      <w:lang w:val="en-GB"/>
    </w:rPr>
  </w:style>
  <w:style w:type="character" w:customStyle="1" w:styleId="CaptionChar">
    <w:name w:val="Caption Char"/>
    <w:aliases w:val="PAE Char1,Item Char1,Table Caption Char1,Table Caption1 Char1,Figure Char1,CDM B/Caption Char1,TABLE Char1"/>
    <w:basedOn w:val="Para0Char"/>
    <w:link w:val="Caption"/>
    <w:rsid w:val="0010488E"/>
    <w:rPr>
      <w:rFonts w:ascii="Arial Narrow" w:hAnsi="Arial Narrow"/>
      <w:b/>
      <w:sz w:val="20"/>
      <w:lang w:val="en-AU"/>
    </w:rPr>
  </w:style>
  <w:style w:type="paragraph" w:customStyle="1" w:styleId="StyleHeading3h3subheadingHeading3SubHeadingh3H3Heading">
    <w:name w:val="Style Heading 3h3 sub headingHeading 3 Sub Headingh3H3Heading ..."/>
    <w:basedOn w:val="Heading3"/>
    <w:uiPriority w:val="99"/>
    <w:rsid w:val="0010488E"/>
    <w:pPr>
      <w:keepLines w:val="0"/>
      <w:numPr>
        <w:ilvl w:val="0"/>
        <w:numId w:val="41"/>
      </w:numPr>
      <w:tabs>
        <w:tab w:val="left" w:pos="851"/>
      </w:tabs>
      <w:spacing w:before="120" w:after="240" w:line="240" w:lineRule="auto"/>
      <w:ind w:left="851" w:hanging="851"/>
    </w:pPr>
    <w:rPr>
      <w:rFonts w:eastAsia="Times New Roman" w:cs="Times New Roman"/>
      <w:b w:val="0"/>
      <w:bCs w:val="0"/>
      <w:color w:val="42145F"/>
      <w:sz w:val="22"/>
      <w:szCs w:val="22"/>
      <w:lang w:val="en-GB"/>
    </w:rPr>
  </w:style>
  <w:style w:type="paragraph" w:customStyle="1" w:styleId="Source">
    <w:name w:val="Source"/>
    <w:basedOn w:val="Normal"/>
    <w:link w:val="SourceChar"/>
    <w:uiPriority w:val="99"/>
    <w:qFormat/>
    <w:rsid w:val="0010488E"/>
    <w:pPr>
      <w:spacing w:line="300" w:lineRule="auto"/>
    </w:pPr>
    <w:rPr>
      <w:rFonts w:eastAsia="Times New Roman" w:cs="Times New Roman"/>
      <w:color w:val="000000"/>
      <w:sz w:val="16"/>
      <w:szCs w:val="16"/>
      <w:lang w:val="en-GB"/>
    </w:rPr>
  </w:style>
  <w:style w:type="character" w:customStyle="1" w:styleId="SourceChar">
    <w:name w:val="Source Char"/>
    <w:basedOn w:val="DefaultParagraphFont"/>
    <w:link w:val="Source"/>
    <w:uiPriority w:val="99"/>
    <w:rsid w:val="0010488E"/>
    <w:rPr>
      <w:rFonts w:ascii="Arial" w:eastAsia="Times New Roman" w:hAnsi="Arial" w:cs="Times New Roman"/>
      <w:color w:val="000000"/>
      <w:sz w:val="16"/>
      <w:szCs w:val="16"/>
      <w:lang w:val="en-GB"/>
    </w:rPr>
  </w:style>
  <w:style w:type="paragraph" w:customStyle="1" w:styleId="Default">
    <w:name w:val="Default"/>
    <w:rsid w:val="0010488E"/>
    <w:pPr>
      <w:autoSpaceDE w:val="0"/>
      <w:autoSpaceDN w:val="0"/>
      <w:adjustRightInd w:val="0"/>
    </w:pPr>
    <w:rPr>
      <w:rFonts w:ascii="Cambria" w:eastAsia="Times New Roman" w:hAnsi="Cambria" w:cs="Cambria"/>
      <w:color w:val="000000"/>
      <w:lang w:val="en-AU" w:eastAsia="en-AU"/>
    </w:rPr>
  </w:style>
  <w:style w:type="paragraph" w:styleId="NormalWeb">
    <w:name w:val="Normal (Web)"/>
    <w:basedOn w:val="Normal"/>
    <w:uiPriority w:val="99"/>
    <w:unhideWhenUsed/>
    <w:rsid w:val="0010488E"/>
    <w:pPr>
      <w:spacing w:before="100" w:beforeAutospacing="1" w:after="100" w:afterAutospacing="1" w:line="240" w:lineRule="auto"/>
    </w:pPr>
    <w:rPr>
      <w:rFonts w:ascii="Times New Roman" w:eastAsia="Times New Roman" w:hAnsi="Times New Roman" w:cs="Times New Roman"/>
      <w:sz w:val="24"/>
      <w:lang w:eastAsia="en-AU"/>
    </w:rPr>
  </w:style>
  <w:style w:type="character" w:styleId="Strong">
    <w:name w:val="Strong"/>
    <w:basedOn w:val="DefaultParagraphFont"/>
    <w:uiPriority w:val="99"/>
    <w:qFormat/>
    <w:rsid w:val="0010488E"/>
    <w:rPr>
      <w:b/>
      <w:bCs/>
    </w:rPr>
  </w:style>
  <w:style w:type="paragraph" w:styleId="Bibliography">
    <w:name w:val="Bibliography"/>
    <w:basedOn w:val="Normal"/>
    <w:next w:val="Normal"/>
    <w:uiPriority w:val="99"/>
    <w:unhideWhenUsed/>
    <w:rsid w:val="0010488E"/>
    <w:pPr>
      <w:spacing w:line="300" w:lineRule="auto"/>
    </w:pPr>
    <w:rPr>
      <w:rFonts w:eastAsia="Times New Roman" w:cs="Times New Roman"/>
      <w:color w:val="000000"/>
      <w:szCs w:val="20"/>
      <w:lang w:val="en-GB"/>
    </w:rPr>
  </w:style>
  <w:style w:type="paragraph" w:styleId="BlockText">
    <w:name w:val="Block Text"/>
    <w:basedOn w:val="Normal"/>
    <w:rsid w:val="0010488E"/>
    <w:pPr>
      <w:pBdr>
        <w:top w:val="single" w:sz="2" w:space="10" w:color="597AB5" w:themeColor="accent1"/>
        <w:left w:val="single" w:sz="2" w:space="10" w:color="597AB5" w:themeColor="accent1"/>
        <w:bottom w:val="single" w:sz="2" w:space="10" w:color="597AB5" w:themeColor="accent1"/>
        <w:right w:val="single" w:sz="2" w:space="10" w:color="597AB5" w:themeColor="accent1"/>
      </w:pBdr>
      <w:spacing w:line="300" w:lineRule="auto"/>
      <w:ind w:left="1152" w:right="1152"/>
    </w:pPr>
    <w:rPr>
      <w:rFonts w:asciiTheme="minorHAnsi" w:hAnsiTheme="minorHAnsi"/>
      <w:i/>
      <w:iCs/>
      <w:color w:val="597AB5" w:themeColor="accent1"/>
      <w:szCs w:val="20"/>
      <w:lang w:val="en-GB"/>
    </w:rPr>
  </w:style>
  <w:style w:type="paragraph" w:styleId="BodyText">
    <w:name w:val="Body Text"/>
    <w:basedOn w:val="Normal"/>
    <w:link w:val="BodyTextChar"/>
    <w:uiPriority w:val="99"/>
    <w:rsid w:val="0010488E"/>
    <w:pPr>
      <w:spacing w:after="120" w:line="300" w:lineRule="auto"/>
    </w:pPr>
    <w:rPr>
      <w:rFonts w:eastAsia="Times New Roman" w:cs="Times New Roman"/>
      <w:color w:val="000000"/>
      <w:szCs w:val="20"/>
      <w:lang w:val="en-GB"/>
    </w:rPr>
  </w:style>
  <w:style w:type="character" w:customStyle="1" w:styleId="BodyTextChar">
    <w:name w:val="Body Text Char"/>
    <w:basedOn w:val="DefaultParagraphFont"/>
    <w:link w:val="BodyText"/>
    <w:uiPriority w:val="99"/>
    <w:rsid w:val="0010488E"/>
    <w:rPr>
      <w:rFonts w:ascii="Arial" w:eastAsia="Times New Roman" w:hAnsi="Arial" w:cs="Times New Roman"/>
      <w:color w:val="000000"/>
      <w:sz w:val="20"/>
      <w:szCs w:val="20"/>
      <w:lang w:val="en-GB"/>
    </w:rPr>
  </w:style>
  <w:style w:type="paragraph" w:styleId="BodyText2">
    <w:name w:val="Body Text 2"/>
    <w:basedOn w:val="Normal"/>
    <w:link w:val="BodyText2Char"/>
    <w:uiPriority w:val="99"/>
    <w:rsid w:val="0010488E"/>
    <w:pPr>
      <w:spacing w:after="120" w:line="480" w:lineRule="auto"/>
    </w:pPr>
    <w:rPr>
      <w:rFonts w:eastAsia="Times New Roman" w:cs="Times New Roman"/>
      <w:color w:val="000000"/>
      <w:szCs w:val="20"/>
      <w:lang w:val="en-GB"/>
    </w:rPr>
  </w:style>
  <w:style w:type="character" w:customStyle="1" w:styleId="BodyText2Char">
    <w:name w:val="Body Text 2 Char"/>
    <w:basedOn w:val="DefaultParagraphFont"/>
    <w:link w:val="BodyText2"/>
    <w:uiPriority w:val="99"/>
    <w:rsid w:val="0010488E"/>
    <w:rPr>
      <w:rFonts w:ascii="Arial" w:eastAsia="Times New Roman" w:hAnsi="Arial" w:cs="Times New Roman"/>
      <w:color w:val="000000"/>
      <w:sz w:val="20"/>
      <w:szCs w:val="20"/>
      <w:lang w:val="en-GB"/>
    </w:rPr>
  </w:style>
  <w:style w:type="paragraph" w:styleId="BodyText3">
    <w:name w:val="Body Text 3"/>
    <w:basedOn w:val="Normal"/>
    <w:link w:val="BodyText3Char"/>
    <w:uiPriority w:val="99"/>
    <w:rsid w:val="0010488E"/>
    <w:pPr>
      <w:spacing w:after="120" w:line="300" w:lineRule="auto"/>
    </w:pPr>
    <w:rPr>
      <w:rFonts w:eastAsia="Times New Roman" w:cs="Times New Roman"/>
      <w:color w:val="000000"/>
      <w:sz w:val="16"/>
      <w:szCs w:val="16"/>
      <w:lang w:val="en-GB"/>
    </w:rPr>
  </w:style>
  <w:style w:type="character" w:customStyle="1" w:styleId="BodyText3Char">
    <w:name w:val="Body Text 3 Char"/>
    <w:basedOn w:val="DefaultParagraphFont"/>
    <w:link w:val="BodyText3"/>
    <w:uiPriority w:val="99"/>
    <w:rsid w:val="0010488E"/>
    <w:rPr>
      <w:rFonts w:ascii="Arial" w:eastAsia="Times New Roman" w:hAnsi="Arial" w:cs="Times New Roman"/>
      <w:color w:val="000000"/>
      <w:sz w:val="16"/>
      <w:szCs w:val="16"/>
      <w:lang w:val="en-GB"/>
    </w:rPr>
  </w:style>
  <w:style w:type="paragraph" w:styleId="BodyTextFirstIndent">
    <w:name w:val="Body Text First Indent"/>
    <w:basedOn w:val="BodyText"/>
    <w:link w:val="BodyTextFirstIndentChar"/>
    <w:rsid w:val="0010488E"/>
    <w:pPr>
      <w:spacing w:after="220"/>
      <w:ind w:firstLine="360"/>
    </w:pPr>
  </w:style>
  <w:style w:type="character" w:customStyle="1" w:styleId="BodyTextFirstIndentChar">
    <w:name w:val="Body Text First Indent Char"/>
    <w:basedOn w:val="BodyTextChar"/>
    <w:link w:val="BodyTextFirstIndent"/>
    <w:rsid w:val="0010488E"/>
    <w:rPr>
      <w:rFonts w:ascii="Arial" w:eastAsia="Times New Roman" w:hAnsi="Arial" w:cs="Times New Roman"/>
      <w:color w:val="000000"/>
      <w:sz w:val="20"/>
      <w:szCs w:val="20"/>
      <w:lang w:val="en-GB"/>
    </w:rPr>
  </w:style>
  <w:style w:type="paragraph" w:styleId="BodyTextIndent">
    <w:name w:val="Body Text Indent"/>
    <w:basedOn w:val="Normal"/>
    <w:link w:val="BodyTextIndentChar"/>
    <w:rsid w:val="0010488E"/>
    <w:pPr>
      <w:spacing w:after="120" w:line="300" w:lineRule="auto"/>
      <w:ind w:left="283"/>
    </w:pPr>
    <w:rPr>
      <w:rFonts w:eastAsia="Times New Roman" w:cs="Times New Roman"/>
      <w:color w:val="000000"/>
      <w:szCs w:val="20"/>
      <w:lang w:val="en-GB"/>
    </w:rPr>
  </w:style>
  <w:style w:type="character" w:customStyle="1" w:styleId="BodyTextIndentChar">
    <w:name w:val="Body Text Indent Char"/>
    <w:basedOn w:val="DefaultParagraphFont"/>
    <w:link w:val="BodyTextIndent"/>
    <w:rsid w:val="0010488E"/>
    <w:rPr>
      <w:rFonts w:ascii="Arial" w:eastAsia="Times New Roman" w:hAnsi="Arial" w:cs="Times New Roman"/>
      <w:color w:val="000000"/>
      <w:sz w:val="20"/>
      <w:szCs w:val="20"/>
      <w:lang w:val="en-GB"/>
    </w:rPr>
  </w:style>
  <w:style w:type="paragraph" w:styleId="BodyTextFirstIndent2">
    <w:name w:val="Body Text First Indent 2"/>
    <w:basedOn w:val="BodyTextIndent"/>
    <w:link w:val="BodyTextFirstIndent2Char"/>
    <w:rsid w:val="0010488E"/>
    <w:pPr>
      <w:spacing w:after="220"/>
      <w:ind w:left="360" w:firstLine="360"/>
    </w:pPr>
  </w:style>
  <w:style w:type="character" w:customStyle="1" w:styleId="BodyTextFirstIndent2Char">
    <w:name w:val="Body Text First Indent 2 Char"/>
    <w:basedOn w:val="BodyTextIndentChar"/>
    <w:link w:val="BodyTextFirstIndent2"/>
    <w:rsid w:val="0010488E"/>
    <w:rPr>
      <w:rFonts w:ascii="Arial" w:eastAsia="Times New Roman" w:hAnsi="Arial" w:cs="Times New Roman"/>
      <w:color w:val="000000"/>
      <w:sz w:val="20"/>
      <w:szCs w:val="20"/>
      <w:lang w:val="en-GB"/>
    </w:rPr>
  </w:style>
  <w:style w:type="paragraph" w:styleId="BodyTextIndent2">
    <w:name w:val="Body Text Indent 2"/>
    <w:basedOn w:val="Normal"/>
    <w:link w:val="BodyTextIndent2Char"/>
    <w:rsid w:val="0010488E"/>
    <w:pPr>
      <w:spacing w:after="120" w:line="480" w:lineRule="auto"/>
      <w:ind w:left="283"/>
    </w:pPr>
    <w:rPr>
      <w:rFonts w:eastAsia="Times New Roman" w:cs="Times New Roman"/>
      <w:color w:val="000000"/>
      <w:szCs w:val="20"/>
      <w:lang w:val="en-GB"/>
    </w:rPr>
  </w:style>
  <w:style w:type="character" w:customStyle="1" w:styleId="BodyTextIndent2Char">
    <w:name w:val="Body Text Indent 2 Char"/>
    <w:basedOn w:val="DefaultParagraphFont"/>
    <w:link w:val="BodyTextIndent2"/>
    <w:rsid w:val="0010488E"/>
    <w:rPr>
      <w:rFonts w:ascii="Arial" w:eastAsia="Times New Roman" w:hAnsi="Arial" w:cs="Times New Roman"/>
      <w:color w:val="000000"/>
      <w:sz w:val="20"/>
      <w:szCs w:val="20"/>
      <w:lang w:val="en-GB"/>
    </w:rPr>
  </w:style>
  <w:style w:type="paragraph" w:styleId="BodyTextIndent3">
    <w:name w:val="Body Text Indent 3"/>
    <w:basedOn w:val="Normal"/>
    <w:link w:val="BodyTextIndent3Char"/>
    <w:rsid w:val="0010488E"/>
    <w:pPr>
      <w:spacing w:after="120" w:line="300" w:lineRule="auto"/>
      <w:ind w:left="283"/>
    </w:pPr>
    <w:rPr>
      <w:rFonts w:eastAsia="Times New Roman" w:cs="Times New Roman"/>
      <w:color w:val="000000"/>
      <w:sz w:val="16"/>
      <w:szCs w:val="16"/>
      <w:lang w:val="en-GB"/>
    </w:rPr>
  </w:style>
  <w:style w:type="character" w:customStyle="1" w:styleId="BodyTextIndent3Char">
    <w:name w:val="Body Text Indent 3 Char"/>
    <w:basedOn w:val="DefaultParagraphFont"/>
    <w:link w:val="BodyTextIndent3"/>
    <w:rsid w:val="0010488E"/>
    <w:rPr>
      <w:rFonts w:ascii="Arial" w:eastAsia="Times New Roman" w:hAnsi="Arial" w:cs="Times New Roman"/>
      <w:color w:val="000000"/>
      <w:sz w:val="16"/>
      <w:szCs w:val="16"/>
      <w:lang w:val="en-GB"/>
    </w:rPr>
  </w:style>
  <w:style w:type="paragraph" w:styleId="Closing">
    <w:name w:val="Closing"/>
    <w:basedOn w:val="Normal"/>
    <w:link w:val="ClosingChar"/>
    <w:rsid w:val="0010488E"/>
    <w:pPr>
      <w:spacing w:after="0" w:line="240" w:lineRule="auto"/>
      <w:ind w:left="4252"/>
    </w:pPr>
    <w:rPr>
      <w:rFonts w:eastAsia="Times New Roman" w:cs="Times New Roman"/>
      <w:color w:val="000000"/>
      <w:szCs w:val="20"/>
      <w:lang w:val="en-GB"/>
    </w:rPr>
  </w:style>
  <w:style w:type="character" w:customStyle="1" w:styleId="ClosingChar">
    <w:name w:val="Closing Char"/>
    <w:basedOn w:val="DefaultParagraphFont"/>
    <w:link w:val="Closing"/>
    <w:rsid w:val="0010488E"/>
    <w:rPr>
      <w:rFonts w:ascii="Arial" w:eastAsia="Times New Roman" w:hAnsi="Arial" w:cs="Times New Roman"/>
      <w:color w:val="000000"/>
      <w:sz w:val="20"/>
      <w:szCs w:val="20"/>
      <w:lang w:val="en-GB"/>
    </w:rPr>
  </w:style>
  <w:style w:type="paragraph" w:styleId="Date">
    <w:name w:val="Date"/>
    <w:basedOn w:val="Normal"/>
    <w:next w:val="Normal"/>
    <w:link w:val="DateChar"/>
    <w:uiPriority w:val="99"/>
    <w:rsid w:val="0010488E"/>
    <w:pPr>
      <w:spacing w:line="300" w:lineRule="auto"/>
    </w:pPr>
    <w:rPr>
      <w:rFonts w:eastAsia="Times New Roman" w:cs="Times New Roman"/>
      <w:color w:val="000000"/>
      <w:szCs w:val="20"/>
      <w:lang w:val="en-GB"/>
    </w:rPr>
  </w:style>
  <w:style w:type="character" w:customStyle="1" w:styleId="DateChar">
    <w:name w:val="Date Char"/>
    <w:basedOn w:val="DefaultParagraphFont"/>
    <w:link w:val="Date"/>
    <w:uiPriority w:val="99"/>
    <w:rsid w:val="0010488E"/>
    <w:rPr>
      <w:rFonts w:ascii="Arial" w:eastAsia="Times New Roman" w:hAnsi="Arial" w:cs="Times New Roman"/>
      <w:color w:val="000000"/>
      <w:sz w:val="20"/>
      <w:szCs w:val="20"/>
      <w:lang w:val="en-GB"/>
    </w:rPr>
  </w:style>
  <w:style w:type="paragraph" w:styleId="DocumentMap">
    <w:name w:val="Document Map"/>
    <w:basedOn w:val="Normal"/>
    <w:link w:val="DocumentMapChar"/>
    <w:uiPriority w:val="99"/>
    <w:rsid w:val="0010488E"/>
    <w:pPr>
      <w:spacing w:after="0" w:line="240" w:lineRule="auto"/>
    </w:pPr>
    <w:rPr>
      <w:rFonts w:ascii="Tahoma" w:eastAsia="Times New Roman" w:hAnsi="Tahoma" w:cs="Tahoma"/>
      <w:color w:val="000000"/>
      <w:sz w:val="16"/>
      <w:szCs w:val="16"/>
      <w:lang w:val="en-GB"/>
    </w:rPr>
  </w:style>
  <w:style w:type="character" w:customStyle="1" w:styleId="DocumentMapChar">
    <w:name w:val="Document Map Char"/>
    <w:basedOn w:val="DefaultParagraphFont"/>
    <w:link w:val="DocumentMap"/>
    <w:uiPriority w:val="99"/>
    <w:rsid w:val="0010488E"/>
    <w:rPr>
      <w:rFonts w:ascii="Tahoma" w:eastAsia="Times New Roman" w:hAnsi="Tahoma" w:cs="Tahoma"/>
      <w:color w:val="000000"/>
      <w:sz w:val="16"/>
      <w:szCs w:val="16"/>
      <w:lang w:val="en-GB"/>
    </w:rPr>
  </w:style>
  <w:style w:type="paragraph" w:styleId="E-mailSignature">
    <w:name w:val="E-mail Signature"/>
    <w:basedOn w:val="Normal"/>
    <w:link w:val="E-mailSignatureChar"/>
    <w:rsid w:val="0010488E"/>
    <w:pPr>
      <w:spacing w:after="0" w:line="240" w:lineRule="auto"/>
    </w:pPr>
    <w:rPr>
      <w:rFonts w:eastAsia="Times New Roman" w:cs="Times New Roman"/>
      <w:color w:val="000000"/>
      <w:szCs w:val="20"/>
      <w:lang w:val="en-GB"/>
    </w:rPr>
  </w:style>
  <w:style w:type="character" w:customStyle="1" w:styleId="E-mailSignatureChar">
    <w:name w:val="E-mail Signature Char"/>
    <w:basedOn w:val="DefaultParagraphFont"/>
    <w:link w:val="E-mailSignature"/>
    <w:rsid w:val="0010488E"/>
    <w:rPr>
      <w:rFonts w:ascii="Arial" w:eastAsia="Times New Roman" w:hAnsi="Arial" w:cs="Times New Roman"/>
      <w:color w:val="000000"/>
      <w:sz w:val="20"/>
      <w:szCs w:val="20"/>
      <w:lang w:val="en-GB"/>
    </w:rPr>
  </w:style>
  <w:style w:type="paragraph" w:styleId="EnvelopeAddress">
    <w:name w:val="envelope address"/>
    <w:basedOn w:val="Normal"/>
    <w:rsid w:val="0010488E"/>
    <w:pPr>
      <w:framePr w:w="7920" w:h="1980" w:hRule="exact" w:hSpace="180" w:wrap="auto" w:hAnchor="page" w:xAlign="center" w:yAlign="bottom"/>
      <w:spacing w:after="0" w:line="240" w:lineRule="auto"/>
      <w:ind w:left="2880"/>
    </w:pPr>
    <w:rPr>
      <w:rFonts w:asciiTheme="majorHAnsi" w:eastAsiaTheme="majorEastAsia" w:hAnsiTheme="majorHAnsi" w:cstheme="majorBidi"/>
      <w:color w:val="000000"/>
      <w:sz w:val="24"/>
      <w:lang w:val="en-GB"/>
    </w:rPr>
  </w:style>
  <w:style w:type="paragraph" w:styleId="EnvelopeReturn">
    <w:name w:val="envelope return"/>
    <w:basedOn w:val="Normal"/>
    <w:rsid w:val="0010488E"/>
    <w:pPr>
      <w:spacing w:after="0" w:line="240" w:lineRule="auto"/>
    </w:pPr>
    <w:rPr>
      <w:rFonts w:asciiTheme="majorHAnsi" w:eastAsiaTheme="majorEastAsia" w:hAnsiTheme="majorHAnsi" w:cstheme="majorBidi"/>
      <w:color w:val="000000"/>
      <w:szCs w:val="20"/>
      <w:lang w:val="en-GB"/>
    </w:rPr>
  </w:style>
  <w:style w:type="paragraph" w:styleId="HTMLAddress">
    <w:name w:val="HTML Address"/>
    <w:basedOn w:val="Normal"/>
    <w:link w:val="HTMLAddressChar"/>
    <w:rsid w:val="0010488E"/>
    <w:pPr>
      <w:spacing w:after="0" w:line="240" w:lineRule="auto"/>
    </w:pPr>
    <w:rPr>
      <w:rFonts w:eastAsia="Times New Roman" w:cs="Times New Roman"/>
      <w:i/>
      <w:iCs/>
      <w:color w:val="000000"/>
      <w:szCs w:val="20"/>
      <w:lang w:val="en-GB"/>
    </w:rPr>
  </w:style>
  <w:style w:type="character" w:customStyle="1" w:styleId="HTMLAddressChar">
    <w:name w:val="HTML Address Char"/>
    <w:basedOn w:val="DefaultParagraphFont"/>
    <w:link w:val="HTMLAddress"/>
    <w:rsid w:val="0010488E"/>
    <w:rPr>
      <w:rFonts w:ascii="Arial" w:eastAsia="Times New Roman" w:hAnsi="Arial" w:cs="Times New Roman"/>
      <w:i/>
      <w:iCs/>
      <w:color w:val="000000"/>
      <w:sz w:val="20"/>
      <w:szCs w:val="20"/>
      <w:lang w:val="en-GB"/>
    </w:rPr>
  </w:style>
  <w:style w:type="paragraph" w:styleId="HTMLPreformatted">
    <w:name w:val="HTML Preformatted"/>
    <w:basedOn w:val="Normal"/>
    <w:link w:val="HTMLPreformattedChar"/>
    <w:rsid w:val="0010488E"/>
    <w:pPr>
      <w:spacing w:after="0" w:line="240" w:lineRule="auto"/>
    </w:pPr>
    <w:rPr>
      <w:rFonts w:ascii="Consolas" w:eastAsia="Times New Roman" w:hAnsi="Consolas" w:cs="Times New Roman"/>
      <w:color w:val="000000"/>
      <w:szCs w:val="20"/>
      <w:lang w:val="en-GB"/>
    </w:rPr>
  </w:style>
  <w:style w:type="character" w:customStyle="1" w:styleId="HTMLPreformattedChar">
    <w:name w:val="HTML Preformatted Char"/>
    <w:basedOn w:val="DefaultParagraphFont"/>
    <w:link w:val="HTMLPreformatted"/>
    <w:rsid w:val="0010488E"/>
    <w:rPr>
      <w:rFonts w:ascii="Consolas" w:eastAsia="Times New Roman" w:hAnsi="Consolas" w:cs="Times New Roman"/>
      <w:color w:val="000000"/>
      <w:sz w:val="20"/>
      <w:szCs w:val="20"/>
      <w:lang w:val="en-GB"/>
    </w:rPr>
  </w:style>
  <w:style w:type="paragraph" w:styleId="Index1">
    <w:name w:val="index 1"/>
    <w:basedOn w:val="Normal"/>
    <w:next w:val="Normal"/>
    <w:autoRedefine/>
    <w:rsid w:val="0010488E"/>
    <w:pPr>
      <w:spacing w:after="0" w:line="240" w:lineRule="auto"/>
      <w:ind w:left="200" w:hanging="200"/>
    </w:pPr>
    <w:rPr>
      <w:rFonts w:eastAsia="Times New Roman" w:cs="Times New Roman"/>
      <w:color w:val="000000"/>
      <w:szCs w:val="20"/>
      <w:lang w:val="en-GB"/>
    </w:rPr>
  </w:style>
  <w:style w:type="paragraph" w:styleId="Index2">
    <w:name w:val="index 2"/>
    <w:basedOn w:val="Normal"/>
    <w:next w:val="Normal"/>
    <w:autoRedefine/>
    <w:rsid w:val="0010488E"/>
    <w:pPr>
      <w:spacing w:after="0" w:line="240" w:lineRule="auto"/>
      <w:ind w:left="400" w:hanging="200"/>
    </w:pPr>
    <w:rPr>
      <w:rFonts w:eastAsia="Times New Roman" w:cs="Times New Roman"/>
      <w:color w:val="000000"/>
      <w:szCs w:val="20"/>
      <w:lang w:val="en-GB"/>
    </w:rPr>
  </w:style>
  <w:style w:type="paragraph" w:styleId="Index3">
    <w:name w:val="index 3"/>
    <w:basedOn w:val="Normal"/>
    <w:next w:val="Normal"/>
    <w:autoRedefine/>
    <w:rsid w:val="0010488E"/>
    <w:pPr>
      <w:spacing w:after="0" w:line="240" w:lineRule="auto"/>
      <w:ind w:left="600" w:hanging="200"/>
    </w:pPr>
    <w:rPr>
      <w:rFonts w:eastAsia="Times New Roman" w:cs="Times New Roman"/>
      <w:color w:val="000000"/>
      <w:szCs w:val="20"/>
      <w:lang w:val="en-GB"/>
    </w:rPr>
  </w:style>
  <w:style w:type="paragraph" w:styleId="Index4">
    <w:name w:val="index 4"/>
    <w:basedOn w:val="Normal"/>
    <w:next w:val="Normal"/>
    <w:autoRedefine/>
    <w:rsid w:val="0010488E"/>
    <w:pPr>
      <w:spacing w:after="0" w:line="240" w:lineRule="auto"/>
      <w:ind w:left="800" w:hanging="200"/>
    </w:pPr>
    <w:rPr>
      <w:rFonts w:eastAsia="Times New Roman" w:cs="Times New Roman"/>
      <w:color w:val="000000"/>
      <w:szCs w:val="20"/>
      <w:lang w:val="en-GB"/>
    </w:rPr>
  </w:style>
  <w:style w:type="paragraph" w:styleId="Index5">
    <w:name w:val="index 5"/>
    <w:basedOn w:val="Normal"/>
    <w:next w:val="Normal"/>
    <w:autoRedefine/>
    <w:rsid w:val="0010488E"/>
    <w:pPr>
      <w:spacing w:after="0" w:line="240" w:lineRule="auto"/>
      <w:ind w:left="1000" w:hanging="200"/>
    </w:pPr>
    <w:rPr>
      <w:rFonts w:eastAsia="Times New Roman" w:cs="Times New Roman"/>
      <w:color w:val="000000"/>
      <w:szCs w:val="20"/>
      <w:lang w:val="en-GB"/>
    </w:rPr>
  </w:style>
  <w:style w:type="paragraph" w:styleId="Index6">
    <w:name w:val="index 6"/>
    <w:basedOn w:val="Normal"/>
    <w:next w:val="Normal"/>
    <w:autoRedefine/>
    <w:rsid w:val="0010488E"/>
    <w:pPr>
      <w:spacing w:after="0" w:line="240" w:lineRule="auto"/>
      <w:ind w:left="1200" w:hanging="200"/>
    </w:pPr>
    <w:rPr>
      <w:rFonts w:eastAsia="Times New Roman" w:cs="Times New Roman"/>
      <w:color w:val="000000"/>
      <w:szCs w:val="20"/>
      <w:lang w:val="en-GB"/>
    </w:rPr>
  </w:style>
  <w:style w:type="paragraph" w:styleId="Index7">
    <w:name w:val="index 7"/>
    <w:basedOn w:val="Normal"/>
    <w:next w:val="Normal"/>
    <w:autoRedefine/>
    <w:rsid w:val="0010488E"/>
    <w:pPr>
      <w:spacing w:after="0" w:line="240" w:lineRule="auto"/>
      <w:ind w:left="1400" w:hanging="200"/>
    </w:pPr>
    <w:rPr>
      <w:rFonts w:eastAsia="Times New Roman" w:cs="Times New Roman"/>
      <w:color w:val="000000"/>
      <w:szCs w:val="20"/>
      <w:lang w:val="en-GB"/>
    </w:rPr>
  </w:style>
  <w:style w:type="paragraph" w:styleId="Index8">
    <w:name w:val="index 8"/>
    <w:basedOn w:val="Normal"/>
    <w:next w:val="Normal"/>
    <w:autoRedefine/>
    <w:rsid w:val="0010488E"/>
    <w:pPr>
      <w:spacing w:after="0" w:line="240" w:lineRule="auto"/>
      <w:ind w:left="1600" w:hanging="200"/>
    </w:pPr>
    <w:rPr>
      <w:rFonts w:eastAsia="Times New Roman" w:cs="Times New Roman"/>
      <w:color w:val="000000"/>
      <w:szCs w:val="20"/>
      <w:lang w:val="en-GB"/>
    </w:rPr>
  </w:style>
  <w:style w:type="paragraph" w:styleId="Index9">
    <w:name w:val="index 9"/>
    <w:basedOn w:val="Normal"/>
    <w:next w:val="Normal"/>
    <w:autoRedefine/>
    <w:rsid w:val="0010488E"/>
    <w:pPr>
      <w:spacing w:after="0" w:line="240" w:lineRule="auto"/>
      <w:ind w:left="1800" w:hanging="200"/>
    </w:pPr>
    <w:rPr>
      <w:rFonts w:eastAsia="Times New Roman" w:cs="Times New Roman"/>
      <w:color w:val="000000"/>
      <w:szCs w:val="20"/>
      <w:lang w:val="en-GB"/>
    </w:rPr>
  </w:style>
  <w:style w:type="paragraph" w:styleId="IndexHeading">
    <w:name w:val="index heading"/>
    <w:basedOn w:val="Normal"/>
    <w:next w:val="Index1"/>
    <w:rsid w:val="0010488E"/>
    <w:pPr>
      <w:spacing w:line="300" w:lineRule="auto"/>
    </w:pPr>
    <w:rPr>
      <w:rFonts w:asciiTheme="majorHAnsi" w:eastAsiaTheme="majorEastAsia" w:hAnsiTheme="majorHAnsi" w:cstheme="majorBidi"/>
      <w:b/>
      <w:bCs/>
      <w:color w:val="000000"/>
      <w:szCs w:val="20"/>
      <w:lang w:val="en-GB"/>
    </w:rPr>
  </w:style>
  <w:style w:type="paragraph" w:styleId="List">
    <w:name w:val="List"/>
    <w:basedOn w:val="Normal"/>
    <w:rsid w:val="0010488E"/>
    <w:pPr>
      <w:spacing w:line="300" w:lineRule="auto"/>
      <w:ind w:left="283" w:hanging="283"/>
      <w:contextualSpacing/>
    </w:pPr>
    <w:rPr>
      <w:rFonts w:eastAsia="Times New Roman" w:cs="Times New Roman"/>
      <w:color w:val="000000"/>
      <w:szCs w:val="20"/>
      <w:lang w:val="en-GB"/>
    </w:rPr>
  </w:style>
  <w:style w:type="paragraph" w:styleId="List2">
    <w:name w:val="List 2"/>
    <w:basedOn w:val="Normal"/>
    <w:rsid w:val="0010488E"/>
    <w:pPr>
      <w:spacing w:line="300" w:lineRule="auto"/>
      <w:ind w:left="566" w:hanging="283"/>
      <w:contextualSpacing/>
    </w:pPr>
    <w:rPr>
      <w:rFonts w:eastAsia="Times New Roman" w:cs="Times New Roman"/>
      <w:color w:val="000000"/>
      <w:szCs w:val="20"/>
      <w:lang w:val="en-GB"/>
    </w:rPr>
  </w:style>
  <w:style w:type="paragraph" w:styleId="List3">
    <w:name w:val="List 3"/>
    <w:basedOn w:val="Normal"/>
    <w:rsid w:val="0010488E"/>
    <w:pPr>
      <w:spacing w:line="300" w:lineRule="auto"/>
      <w:ind w:left="849" w:hanging="283"/>
      <w:contextualSpacing/>
    </w:pPr>
    <w:rPr>
      <w:rFonts w:eastAsia="Times New Roman" w:cs="Times New Roman"/>
      <w:color w:val="000000"/>
      <w:szCs w:val="20"/>
      <w:lang w:val="en-GB"/>
    </w:rPr>
  </w:style>
  <w:style w:type="paragraph" w:styleId="List4">
    <w:name w:val="List 4"/>
    <w:basedOn w:val="Normal"/>
    <w:rsid w:val="0010488E"/>
    <w:pPr>
      <w:spacing w:line="300" w:lineRule="auto"/>
      <w:ind w:left="1132" w:hanging="283"/>
      <w:contextualSpacing/>
    </w:pPr>
    <w:rPr>
      <w:rFonts w:eastAsia="Times New Roman" w:cs="Times New Roman"/>
      <w:color w:val="000000"/>
      <w:szCs w:val="20"/>
      <w:lang w:val="en-GB"/>
    </w:rPr>
  </w:style>
  <w:style w:type="paragraph" w:styleId="List5">
    <w:name w:val="List 5"/>
    <w:basedOn w:val="Normal"/>
    <w:rsid w:val="0010488E"/>
    <w:pPr>
      <w:spacing w:line="300" w:lineRule="auto"/>
      <w:ind w:left="1415" w:hanging="283"/>
      <w:contextualSpacing/>
    </w:pPr>
    <w:rPr>
      <w:rFonts w:eastAsia="Times New Roman" w:cs="Times New Roman"/>
      <w:color w:val="000000"/>
      <w:szCs w:val="20"/>
      <w:lang w:val="en-GB"/>
    </w:rPr>
  </w:style>
  <w:style w:type="paragraph" w:styleId="ListBullet2">
    <w:name w:val="List Bullet 2"/>
    <w:basedOn w:val="Normal"/>
    <w:uiPriority w:val="99"/>
    <w:rsid w:val="0010488E"/>
    <w:pPr>
      <w:numPr>
        <w:numId w:val="50"/>
      </w:numPr>
      <w:spacing w:line="300" w:lineRule="auto"/>
      <w:contextualSpacing/>
    </w:pPr>
    <w:rPr>
      <w:rFonts w:eastAsia="Times New Roman" w:cs="Times New Roman"/>
      <w:color w:val="000000"/>
      <w:szCs w:val="20"/>
      <w:lang w:val="en-GB"/>
    </w:rPr>
  </w:style>
  <w:style w:type="paragraph" w:styleId="ListBullet3">
    <w:name w:val="List Bullet 3"/>
    <w:basedOn w:val="Normal"/>
    <w:rsid w:val="0010488E"/>
    <w:pPr>
      <w:numPr>
        <w:numId w:val="51"/>
      </w:numPr>
      <w:spacing w:line="300" w:lineRule="auto"/>
      <w:contextualSpacing/>
    </w:pPr>
    <w:rPr>
      <w:rFonts w:eastAsia="Times New Roman" w:cs="Times New Roman"/>
      <w:color w:val="000000"/>
      <w:szCs w:val="20"/>
      <w:lang w:val="en-GB"/>
    </w:rPr>
  </w:style>
  <w:style w:type="paragraph" w:styleId="ListBullet4">
    <w:name w:val="List Bullet 4"/>
    <w:basedOn w:val="Normal"/>
    <w:rsid w:val="0010488E"/>
    <w:pPr>
      <w:numPr>
        <w:numId w:val="52"/>
      </w:numPr>
      <w:spacing w:line="300" w:lineRule="auto"/>
      <w:contextualSpacing/>
    </w:pPr>
    <w:rPr>
      <w:rFonts w:eastAsia="Times New Roman" w:cs="Times New Roman"/>
      <w:color w:val="000000"/>
      <w:szCs w:val="20"/>
      <w:lang w:val="en-GB"/>
    </w:rPr>
  </w:style>
  <w:style w:type="paragraph" w:styleId="ListBullet5">
    <w:name w:val="List Bullet 5"/>
    <w:basedOn w:val="Normal"/>
    <w:rsid w:val="0010488E"/>
    <w:pPr>
      <w:numPr>
        <w:numId w:val="53"/>
      </w:numPr>
      <w:spacing w:line="300" w:lineRule="auto"/>
      <w:contextualSpacing/>
    </w:pPr>
    <w:rPr>
      <w:rFonts w:eastAsia="Times New Roman" w:cs="Times New Roman"/>
      <w:color w:val="000000"/>
      <w:szCs w:val="20"/>
      <w:lang w:val="en-GB"/>
    </w:rPr>
  </w:style>
  <w:style w:type="paragraph" w:styleId="ListContinue">
    <w:name w:val="List Continue"/>
    <w:basedOn w:val="Normal"/>
    <w:rsid w:val="0010488E"/>
    <w:pPr>
      <w:spacing w:after="120" w:line="300" w:lineRule="auto"/>
      <w:ind w:left="283"/>
      <w:contextualSpacing/>
    </w:pPr>
    <w:rPr>
      <w:rFonts w:eastAsia="Times New Roman" w:cs="Times New Roman"/>
      <w:color w:val="000000"/>
      <w:szCs w:val="20"/>
      <w:lang w:val="en-GB"/>
    </w:rPr>
  </w:style>
  <w:style w:type="paragraph" w:styleId="ListContinue2">
    <w:name w:val="List Continue 2"/>
    <w:basedOn w:val="Normal"/>
    <w:rsid w:val="0010488E"/>
    <w:pPr>
      <w:spacing w:after="120" w:line="300" w:lineRule="auto"/>
      <w:ind w:left="566"/>
      <w:contextualSpacing/>
    </w:pPr>
    <w:rPr>
      <w:rFonts w:eastAsia="Times New Roman" w:cs="Times New Roman"/>
      <w:color w:val="000000"/>
      <w:szCs w:val="20"/>
      <w:lang w:val="en-GB"/>
    </w:rPr>
  </w:style>
  <w:style w:type="paragraph" w:styleId="ListContinue3">
    <w:name w:val="List Continue 3"/>
    <w:basedOn w:val="Normal"/>
    <w:rsid w:val="0010488E"/>
    <w:pPr>
      <w:spacing w:after="120" w:line="300" w:lineRule="auto"/>
      <w:ind w:left="849"/>
      <w:contextualSpacing/>
    </w:pPr>
    <w:rPr>
      <w:rFonts w:eastAsia="Times New Roman" w:cs="Times New Roman"/>
      <w:color w:val="000000"/>
      <w:szCs w:val="20"/>
      <w:lang w:val="en-GB"/>
    </w:rPr>
  </w:style>
  <w:style w:type="paragraph" w:styleId="ListContinue4">
    <w:name w:val="List Continue 4"/>
    <w:basedOn w:val="Normal"/>
    <w:rsid w:val="0010488E"/>
    <w:pPr>
      <w:spacing w:after="120" w:line="300" w:lineRule="auto"/>
      <w:ind w:left="1132"/>
      <w:contextualSpacing/>
    </w:pPr>
    <w:rPr>
      <w:rFonts w:eastAsia="Times New Roman" w:cs="Times New Roman"/>
      <w:color w:val="000000"/>
      <w:szCs w:val="20"/>
      <w:lang w:val="en-GB"/>
    </w:rPr>
  </w:style>
  <w:style w:type="paragraph" w:styleId="ListContinue5">
    <w:name w:val="List Continue 5"/>
    <w:basedOn w:val="Normal"/>
    <w:rsid w:val="0010488E"/>
    <w:pPr>
      <w:spacing w:after="120" w:line="300" w:lineRule="auto"/>
      <w:ind w:left="1415"/>
      <w:contextualSpacing/>
    </w:pPr>
    <w:rPr>
      <w:rFonts w:eastAsia="Times New Roman" w:cs="Times New Roman"/>
      <w:color w:val="000000"/>
      <w:szCs w:val="20"/>
      <w:lang w:val="en-GB"/>
    </w:rPr>
  </w:style>
  <w:style w:type="paragraph" w:styleId="ListNumber">
    <w:name w:val="List Number"/>
    <w:basedOn w:val="Normal"/>
    <w:rsid w:val="0010488E"/>
    <w:pPr>
      <w:numPr>
        <w:numId w:val="54"/>
      </w:numPr>
      <w:spacing w:line="300" w:lineRule="auto"/>
      <w:contextualSpacing/>
    </w:pPr>
    <w:rPr>
      <w:rFonts w:eastAsia="Times New Roman" w:cs="Times New Roman"/>
      <w:color w:val="000000"/>
      <w:szCs w:val="20"/>
      <w:lang w:val="en-GB"/>
    </w:rPr>
  </w:style>
  <w:style w:type="paragraph" w:styleId="ListNumber2">
    <w:name w:val="List Number 2"/>
    <w:basedOn w:val="Normal"/>
    <w:rsid w:val="0010488E"/>
    <w:pPr>
      <w:numPr>
        <w:numId w:val="55"/>
      </w:numPr>
      <w:spacing w:line="300" w:lineRule="auto"/>
      <w:contextualSpacing/>
    </w:pPr>
    <w:rPr>
      <w:rFonts w:eastAsia="Times New Roman" w:cs="Times New Roman"/>
      <w:color w:val="000000"/>
      <w:szCs w:val="20"/>
      <w:lang w:val="en-GB"/>
    </w:rPr>
  </w:style>
  <w:style w:type="paragraph" w:styleId="ListNumber3">
    <w:name w:val="List Number 3"/>
    <w:basedOn w:val="Normal"/>
    <w:uiPriority w:val="99"/>
    <w:rsid w:val="0010488E"/>
    <w:pPr>
      <w:numPr>
        <w:numId w:val="56"/>
      </w:numPr>
      <w:spacing w:line="300" w:lineRule="auto"/>
      <w:contextualSpacing/>
    </w:pPr>
    <w:rPr>
      <w:rFonts w:eastAsia="Times New Roman" w:cs="Times New Roman"/>
      <w:color w:val="000000"/>
      <w:szCs w:val="20"/>
      <w:lang w:val="en-GB"/>
    </w:rPr>
  </w:style>
  <w:style w:type="paragraph" w:styleId="ListNumber4">
    <w:name w:val="List Number 4"/>
    <w:basedOn w:val="Normal"/>
    <w:rsid w:val="0010488E"/>
    <w:pPr>
      <w:numPr>
        <w:numId w:val="57"/>
      </w:numPr>
      <w:spacing w:line="300" w:lineRule="auto"/>
      <w:contextualSpacing/>
    </w:pPr>
    <w:rPr>
      <w:rFonts w:eastAsia="Times New Roman" w:cs="Times New Roman"/>
      <w:color w:val="000000"/>
      <w:szCs w:val="20"/>
      <w:lang w:val="en-GB"/>
    </w:rPr>
  </w:style>
  <w:style w:type="paragraph" w:styleId="ListNumber5">
    <w:name w:val="List Number 5"/>
    <w:basedOn w:val="Normal"/>
    <w:rsid w:val="0010488E"/>
    <w:pPr>
      <w:numPr>
        <w:numId w:val="58"/>
      </w:numPr>
      <w:spacing w:line="300" w:lineRule="auto"/>
      <w:contextualSpacing/>
    </w:pPr>
    <w:rPr>
      <w:rFonts w:eastAsia="Times New Roman" w:cs="Times New Roman"/>
      <w:color w:val="000000"/>
      <w:szCs w:val="20"/>
      <w:lang w:val="en-GB"/>
    </w:rPr>
  </w:style>
  <w:style w:type="paragraph" w:styleId="MacroText">
    <w:name w:val="macro"/>
    <w:link w:val="MacroTextChar"/>
    <w:rsid w:val="0010488E"/>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Times New Roman" w:hAnsi="Consolas" w:cs="Times New Roman"/>
      <w:color w:val="000000"/>
      <w:sz w:val="20"/>
      <w:szCs w:val="20"/>
      <w:lang w:val="en-GB"/>
    </w:rPr>
  </w:style>
  <w:style w:type="character" w:customStyle="1" w:styleId="MacroTextChar">
    <w:name w:val="Macro Text Char"/>
    <w:basedOn w:val="DefaultParagraphFont"/>
    <w:link w:val="MacroText"/>
    <w:rsid w:val="0010488E"/>
    <w:rPr>
      <w:rFonts w:ascii="Consolas" w:eastAsia="Times New Roman" w:hAnsi="Consolas" w:cs="Times New Roman"/>
      <w:color w:val="000000"/>
      <w:sz w:val="20"/>
      <w:szCs w:val="20"/>
      <w:lang w:val="en-GB"/>
    </w:rPr>
  </w:style>
  <w:style w:type="paragraph" w:styleId="MessageHeader">
    <w:name w:val="Message Header"/>
    <w:basedOn w:val="Normal"/>
    <w:link w:val="MessageHeaderChar"/>
    <w:rsid w:val="0010488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000000"/>
      <w:sz w:val="24"/>
      <w:lang w:val="en-GB"/>
    </w:rPr>
  </w:style>
  <w:style w:type="character" w:customStyle="1" w:styleId="MessageHeaderChar">
    <w:name w:val="Message Header Char"/>
    <w:basedOn w:val="DefaultParagraphFont"/>
    <w:link w:val="MessageHeader"/>
    <w:rsid w:val="0010488E"/>
    <w:rPr>
      <w:rFonts w:asciiTheme="majorHAnsi" w:eastAsiaTheme="majorEastAsia" w:hAnsiTheme="majorHAnsi" w:cstheme="majorBidi"/>
      <w:color w:val="000000"/>
      <w:shd w:val="pct20" w:color="auto" w:fill="auto"/>
      <w:lang w:val="en-GB"/>
    </w:rPr>
  </w:style>
  <w:style w:type="paragraph" w:styleId="NoSpacing">
    <w:name w:val="No Spacing"/>
    <w:link w:val="NoSpacingChar"/>
    <w:uiPriority w:val="99"/>
    <w:qFormat/>
    <w:rsid w:val="0010488E"/>
    <w:rPr>
      <w:rFonts w:ascii="Arial" w:eastAsia="Times New Roman" w:hAnsi="Arial" w:cs="Times New Roman"/>
      <w:color w:val="000000"/>
      <w:sz w:val="20"/>
      <w:szCs w:val="20"/>
      <w:lang w:val="en-GB"/>
    </w:rPr>
  </w:style>
  <w:style w:type="paragraph" w:styleId="NormalIndent">
    <w:name w:val="Normal Indent"/>
    <w:basedOn w:val="Normal"/>
    <w:uiPriority w:val="99"/>
    <w:rsid w:val="0010488E"/>
    <w:pPr>
      <w:spacing w:line="300" w:lineRule="auto"/>
      <w:ind w:left="720"/>
    </w:pPr>
    <w:rPr>
      <w:rFonts w:eastAsia="Times New Roman" w:cs="Times New Roman"/>
      <w:color w:val="000000"/>
      <w:szCs w:val="20"/>
      <w:lang w:val="en-GB"/>
    </w:rPr>
  </w:style>
  <w:style w:type="paragraph" w:styleId="NoteHeading">
    <w:name w:val="Note Heading"/>
    <w:basedOn w:val="Normal"/>
    <w:next w:val="Normal"/>
    <w:link w:val="NoteHeadingChar"/>
    <w:rsid w:val="0010488E"/>
    <w:pPr>
      <w:spacing w:after="0" w:line="240" w:lineRule="auto"/>
    </w:pPr>
    <w:rPr>
      <w:rFonts w:eastAsia="Times New Roman" w:cs="Times New Roman"/>
      <w:color w:val="000000"/>
      <w:szCs w:val="20"/>
      <w:lang w:val="en-GB"/>
    </w:rPr>
  </w:style>
  <w:style w:type="character" w:customStyle="1" w:styleId="NoteHeadingChar">
    <w:name w:val="Note Heading Char"/>
    <w:basedOn w:val="DefaultParagraphFont"/>
    <w:link w:val="NoteHeading"/>
    <w:rsid w:val="0010488E"/>
    <w:rPr>
      <w:rFonts w:ascii="Arial" w:eastAsia="Times New Roman" w:hAnsi="Arial" w:cs="Times New Roman"/>
      <w:color w:val="000000"/>
      <w:sz w:val="20"/>
      <w:szCs w:val="20"/>
      <w:lang w:val="en-GB"/>
    </w:rPr>
  </w:style>
  <w:style w:type="paragraph" w:styleId="PlainText">
    <w:name w:val="Plain Text"/>
    <w:basedOn w:val="Normal"/>
    <w:link w:val="PlainTextChar"/>
    <w:rsid w:val="0010488E"/>
    <w:pPr>
      <w:spacing w:after="0" w:line="240" w:lineRule="auto"/>
    </w:pPr>
    <w:rPr>
      <w:rFonts w:ascii="Consolas" w:eastAsia="Times New Roman" w:hAnsi="Consolas" w:cs="Times New Roman"/>
      <w:color w:val="000000"/>
      <w:sz w:val="21"/>
      <w:szCs w:val="21"/>
      <w:lang w:val="en-GB"/>
    </w:rPr>
  </w:style>
  <w:style w:type="character" w:customStyle="1" w:styleId="PlainTextChar">
    <w:name w:val="Plain Text Char"/>
    <w:basedOn w:val="DefaultParagraphFont"/>
    <w:link w:val="PlainText"/>
    <w:rsid w:val="0010488E"/>
    <w:rPr>
      <w:rFonts w:ascii="Consolas" w:eastAsia="Times New Roman" w:hAnsi="Consolas" w:cs="Times New Roman"/>
      <w:color w:val="000000"/>
      <w:sz w:val="21"/>
      <w:szCs w:val="21"/>
      <w:lang w:val="en-GB"/>
    </w:rPr>
  </w:style>
  <w:style w:type="paragraph" w:styleId="Salutation">
    <w:name w:val="Salutation"/>
    <w:basedOn w:val="Normal"/>
    <w:next w:val="Normal"/>
    <w:link w:val="SalutationChar"/>
    <w:rsid w:val="0010488E"/>
    <w:pPr>
      <w:spacing w:line="300" w:lineRule="auto"/>
    </w:pPr>
    <w:rPr>
      <w:rFonts w:eastAsia="Times New Roman" w:cs="Times New Roman"/>
      <w:color w:val="000000"/>
      <w:szCs w:val="20"/>
      <w:lang w:val="en-GB"/>
    </w:rPr>
  </w:style>
  <w:style w:type="character" w:customStyle="1" w:styleId="SalutationChar">
    <w:name w:val="Salutation Char"/>
    <w:basedOn w:val="DefaultParagraphFont"/>
    <w:link w:val="Salutation"/>
    <w:rsid w:val="0010488E"/>
    <w:rPr>
      <w:rFonts w:ascii="Arial" w:eastAsia="Times New Roman" w:hAnsi="Arial" w:cs="Times New Roman"/>
      <w:color w:val="000000"/>
      <w:sz w:val="20"/>
      <w:szCs w:val="20"/>
      <w:lang w:val="en-GB"/>
    </w:rPr>
  </w:style>
  <w:style w:type="paragraph" w:styleId="Signature">
    <w:name w:val="Signature"/>
    <w:basedOn w:val="Normal"/>
    <w:link w:val="SignatureChar"/>
    <w:rsid w:val="0010488E"/>
    <w:pPr>
      <w:spacing w:after="0" w:line="240" w:lineRule="auto"/>
      <w:ind w:left="4252"/>
    </w:pPr>
    <w:rPr>
      <w:rFonts w:eastAsia="Times New Roman" w:cs="Times New Roman"/>
      <w:color w:val="000000"/>
      <w:szCs w:val="20"/>
      <w:lang w:val="en-GB"/>
    </w:rPr>
  </w:style>
  <w:style w:type="character" w:customStyle="1" w:styleId="SignatureChar">
    <w:name w:val="Signature Char"/>
    <w:basedOn w:val="DefaultParagraphFont"/>
    <w:link w:val="Signature"/>
    <w:rsid w:val="0010488E"/>
    <w:rPr>
      <w:rFonts w:ascii="Arial" w:eastAsia="Times New Roman" w:hAnsi="Arial" w:cs="Times New Roman"/>
      <w:color w:val="000000"/>
      <w:sz w:val="20"/>
      <w:szCs w:val="20"/>
      <w:lang w:val="en-GB"/>
    </w:rPr>
  </w:style>
  <w:style w:type="table" w:styleId="MediumShading1-Accent4">
    <w:name w:val="Medium Shading 1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E640" w:themeColor="accent4" w:themeTint="BF"/>
        <w:left w:val="single" w:sz="8" w:space="0" w:color="FFE640" w:themeColor="accent4" w:themeTint="BF"/>
        <w:bottom w:val="single" w:sz="8" w:space="0" w:color="FFE640" w:themeColor="accent4" w:themeTint="BF"/>
        <w:right w:val="single" w:sz="8" w:space="0" w:color="FFE640" w:themeColor="accent4" w:themeTint="BF"/>
        <w:insideH w:val="single" w:sz="8" w:space="0" w:color="FFE640" w:themeColor="accent4" w:themeTint="BF"/>
      </w:tblBorders>
    </w:tblPr>
    <w:tblStylePr w:type="firstRow">
      <w:pPr>
        <w:spacing w:before="0" w:after="0" w:line="240" w:lineRule="auto"/>
      </w:pPr>
      <w:rPr>
        <w:b/>
        <w:bCs/>
        <w:color w:val="FFFFFF" w:themeColor="background1"/>
      </w:rPr>
      <w:tblPr/>
      <w:tcPr>
        <w:tcBorders>
          <w:top w:val="single" w:sz="8" w:space="0" w:color="FFE640" w:themeColor="accent4" w:themeTint="BF"/>
          <w:left w:val="single" w:sz="8" w:space="0" w:color="FFE640" w:themeColor="accent4" w:themeTint="BF"/>
          <w:bottom w:val="single" w:sz="8" w:space="0" w:color="FFE640" w:themeColor="accent4" w:themeTint="BF"/>
          <w:right w:val="single" w:sz="8" w:space="0" w:color="FFE640" w:themeColor="accent4" w:themeTint="BF"/>
          <w:insideH w:val="nil"/>
          <w:insideV w:val="nil"/>
        </w:tcBorders>
        <w:shd w:val="clear" w:color="auto" w:fill="FFDE00" w:themeFill="accent4"/>
      </w:tcPr>
    </w:tblStylePr>
    <w:tblStylePr w:type="lastRow">
      <w:pPr>
        <w:spacing w:before="0" w:after="0" w:line="240" w:lineRule="auto"/>
      </w:pPr>
      <w:rPr>
        <w:b/>
        <w:bCs/>
      </w:rPr>
      <w:tblPr/>
      <w:tcPr>
        <w:tcBorders>
          <w:top w:val="double" w:sz="6" w:space="0" w:color="FFE640" w:themeColor="accent4" w:themeTint="BF"/>
          <w:left w:val="single" w:sz="8" w:space="0" w:color="FFE640" w:themeColor="accent4" w:themeTint="BF"/>
          <w:bottom w:val="single" w:sz="8" w:space="0" w:color="FFE640" w:themeColor="accent4" w:themeTint="BF"/>
          <w:right w:val="single" w:sz="8" w:space="0" w:color="FFE6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C0" w:themeFill="accent4" w:themeFillTint="3F"/>
      </w:tcPr>
    </w:tblStylePr>
    <w:tblStylePr w:type="band1Horz">
      <w:tblPr/>
      <w:tcPr>
        <w:tcBorders>
          <w:insideH w:val="nil"/>
          <w:insideV w:val="nil"/>
        </w:tcBorders>
        <w:shd w:val="clear" w:color="auto" w:fill="FFF6C0" w:themeFill="accent4" w:themeFillTint="3F"/>
      </w:tcPr>
    </w:tblStylePr>
    <w:tblStylePr w:type="band2Horz">
      <w:tblPr/>
      <w:tcPr>
        <w:tcBorders>
          <w:insideH w:val="nil"/>
          <w:insideV w:val="nil"/>
        </w:tcBorders>
      </w:tcPr>
    </w:tblStylePr>
  </w:style>
  <w:style w:type="table" w:styleId="MediumGrid3-Accent4">
    <w:name w:val="Medium Grid 3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E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E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E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E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0" w:themeFill="accent4" w:themeFillTint="7F"/>
      </w:tcPr>
    </w:tblStylePr>
  </w:style>
  <w:style w:type="table" w:styleId="ColorfulGrid-Accent4">
    <w:name w:val="Colorful Grid Accent 4"/>
    <w:basedOn w:val="TableNormal"/>
    <w:uiPriority w:val="73"/>
    <w:rsid w:val="0010488E"/>
    <w:rPr>
      <w:rFonts w:ascii="Times New Roman" w:eastAsia="Times New Roman" w:hAnsi="Times New Roman" w:cs="Times New Roman"/>
      <w:color w:val="000000" w:themeColor="text1"/>
      <w:sz w:val="20"/>
      <w:szCs w:val="20"/>
      <w:lang w:val="en-AU" w:eastAsia="en-AU"/>
    </w:rPr>
    <w:tblPr>
      <w:tblStyleRowBandSize w:val="1"/>
      <w:tblStyleColBandSize w:val="1"/>
      <w:tblBorders>
        <w:insideH w:val="single" w:sz="4" w:space="0" w:color="FFFFFF" w:themeColor="background1"/>
      </w:tblBorders>
    </w:tblPr>
    <w:tcPr>
      <w:shd w:val="clear" w:color="auto" w:fill="FFF8CC" w:themeFill="accent4" w:themeFillTint="33"/>
    </w:tcPr>
    <w:tblStylePr w:type="firstRow">
      <w:rPr>
        <w:b/>
        <w:bCs/>
      </w:rPr>
      <w:tblPr/>
      <w:tcPr>
        <w:shd w:val="clear" w:color="auto" w:fill="FFF199" w:themeFill="accent4" w:themeFillTint="66"/>
      </w:tcPr>
    </w:tblStylePr>
    <w:tblStylePr w:type="lastRow">
      <w:rPr>
        <w:b/>
        <w:bCs/>
        <w:color w:val="000000" w:themeColor="text1"/>
      </w:rPr>
      <w:tblPr/>
      <w:tcPr>
        <w:shd w:val="clear" w:color="auto" w:fill="FFF199" w:themeFill="accent4" w:themeFillTint="66"/>
      </w:tcPr>
    </w:tblStylePr>
    <w:tblStylePr w:type="firstCol">
      <w:rPr>
        <w:color w:val="FFFFFF" w:themeColor="background1"/>
      </w:rPr>
      <w:tblPr/>
      <w:tcPr>
        <w:shd w:val="clear" w:color="auto" w:fill="BFA600" w:themeFill="accent4" w:themeFillShade="BF"/>
      </w:tcPr>
    </w:tblStylePr>
    <w:tblStylePr w:type="lastCol">
      <w:rPr>
        <w:color w:val="FFFFFF" w:themeColor="background1"/>
      </w:rPr>
      <w:tblPr/>
      <w:tcPr>
        <w:shd w:val="clear" w:color="auto" w:fill="BFA600" w:themeFill="accent4" w:themeFillShade="BF"/>
      </w:tcPr>
    </w:tblStylePr>
    <w:tblStylePr w:type="band1Vert">
      <w:tblPr/>
      <w:tcPr>
        <w:shd w:val="clear" w:color="auto" w:fill="FFEE80" w:themeFill="accent4" w:themeFillTint="7F"/>
      </w:tcPr>
    </w:tblStylePr>
    <w:tblStylePr w:type="band1Horz">
      <w:tblPr/>
      <w:tcPr>
        <w:shd w:val="clear" w:color="auto" w:fill="FFEE80" w:themeFill="accent4" w:themeFillTint="7F"/>
      </w:tcPr>
    </w:tblStylePr>
  </w:style>
  <w:style w:type="table" w:styleId="TableColumns2">
    <w:name w:val="Table Columns 2"/>
    <w:basedOn w:val="TableNormal"/>
    <w:rsid w:val="0010488E"/>
    <w:pPr>
      <w:spacing w:after="220" w:line="300" w:lineRule="auto"/>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488E"/>
    <w:rPr>
      <w:rFonts w:ascii="Times New Roman" w:eastAsia="Times New Roman" w:hAnsi="Times New Roman" w:cs="Times New Roman"/>
      <w:sz w:val="20"/>
      <w:szCs w:val="20"/>
      <w:lang w:val="en-AU" w:eastAsia="en-AU"/>
    </w:rPr>
    <w:tblPr/>
  </w:style>
  <w:style w:type="character" w:customStyle="1" w:styleId="Heading2Char14">
    <w:name w:val="Heading 2 Char14"/>
    <w:aliases w:val="h2 main heading Char14,Heading 2 Main Heading Char14,heading 2body Char14,h2 Char14,Attribute Heading 2 Char14,body Char14,test Char14,H2 Char14,l2 Char14,list 2 Char14,list 2 Char14,heading 2TOC Char14,Head 2 Char14,2 Char14,2m Cha"/>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3">
    <w:name w:val="Heading 5 Char113"/>
    <w:aliases w:val="H5 Char14,Appendix Char14,Heading 5 StGeorge Char14,Level 3 - i Char14,Level 5 Char14,L5 Char14,l5+toc5 Char14,(A) Char14,h5 Char14,Sub4Para Char14,Sub-Para a. Char14,h51 Char14,h52 Char14,hd5 Char14,Section Sub Point Char14"/>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3">
    <w:name w:val="Heading 2 Char13"/>
    <w:aliases w:val="h2 main heading Char13,Heading 2 Main Heading Char13,heading 2body Char13,h2 Char13,Attribute Heading 2 Char13,body Char13,test Char13,H2 Char13,l2 Char13,list 2 Char13,list 2 Char13,heading 2TOC Char13,Head 2 Char13,2 Char13,2m Cha4"/>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2">
    <w:name w:val="Heading 5 Char112"/>
    <w:aliases w:val="H5 Char13,Appendix Char13,Heading 5 StGeorge Char13,Level 3 - i Char13,Level 5 Char13,L5 Char13,l5+toc5 Char13,(A) Char13,h5 Char13,Sub4Para Char13,Sub-Para a. Char13,h51 Char13,h52 Char13,hd5 Char13,Section Sub Point Char13"/>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2">
    <w:name w:val="Heading 2 Char12"/>
    <w:aliases w:val="h2 main heading Char12,Heading 2 Main Heading Char12,heading 2body Char12,h2 Char12,Attribute Heading 2 Char12,body Char12,test Char12,H2 Char12,l2 Char12,list 2 Char12,list 2 Char12,heading 2TOC Char12,Head 2 Char12,2 Char12,2m Cha3"/>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1">
    <w:name w:val="Heading 5 Char111"/>
    <w:aliases w:val="H5 Char12,Appendix Char12,Heading 5 StGeorge Char12,Level 3 - i Char12,Level 5 Char12,L5 Char12,l5+toc5 Char12,(A) Char12,h5 Char12,Sub4Para Char12,Sub-Para a. Char12,h51 Char12,h52 Char12,hd5 Char12,Section Sub Point Char12"/>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1">
    <w:name w:val="Heading 2 Char11"/>
    <w:aliases w:val="h2 main heading Char11,Heading 2 Main Heading Char11,heading 2body Char11,h2 Char11,Attribute Heading 2 Char11,body Char11,test Char11,H2 Char11,l2 Char11,list 2 Char11,list 2 Char11,heading 2TOC Char11,Head 2 Char11,2 Char11,2m Cha2"/>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0">
    <w:name w:val="Heading 5 Char110"/>
    <w:aliases w:val="H5 Char11,Appendix Char11,Heading 5 StGeorge Char11,Level 3 - i Char11,Level 5 Char11,L5 Char11,l5+toc5 Char11,(A) Char11,h5 Char11,Sub4Para Char11,Sub-Para a. Char11,h51 Char11,h52 Char11,hd5 Char11,Section Sub Point Char11"/>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10">
    <w:name w:val="Heading 2 Char10"/>
    <w:aliases w:val="h2 main heading Char10,Heading 2 Main Heading Char10,heading 2body Char10,h2 Char10,Attribute Heading 2 Char10,body Char10,test Char10,H2 Char10,l2 Char10,list 2 Char10,list 2 Char10,heading 2TOC Char10,Head 2 Char10,2 Char10,2m Cha1"/>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9">
    <w:name w:val="Heading 5 Char19"/>
    <w:aliases w:val="H5 Char10,Appendix Char10,Heading 5 StGeorge Char10,Level 3 - i Char10,Level 5 Char10,L5 Char10,l5+toc5 Char10,(A) Char10,h5 Char10,Sub4Para Char10,Sub-Para a. Char10,h51 Char10,h52 Char10,hd5 Char10,Section Sub Point Char10"/>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9">
    <w:name w:val="Heading 2 Char9"/>
    <w:aliases w:val="h2 main heading Char9,Heading 2 Main Heading Char9,heading 2body Char9,h2 Char9,Attribute Heading 2 Char9,body Char9,test Char9,H2 Char9,l2 Char9,list 2 Char9,list 2 Char9,heading 2TOC Char9,Head 2 Char9,List level 2 Char9,2 Char9"/>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8">
    <w:name w:val="Heading 5 Char18"/>
    <w:aliases w:val="H5 Char9,Appendix Char9,Heading 5 StGeorge Char9,Level 3 - i Char9,Level 5 Char9,L5 Char9,l5+toc5 Char9,(A) Char9,h5 Char9,Sub4Para Char9,Sub-Para a. Char9,h51 Char9,h52 Char9,hd5 Char9,Section Sub Point Char9,Contents Sub Char9"/>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8">
    <w:name w:val="Heading 2 Char8"/>
    <w:aliases w:val="h2 main heading Char8,Heading 2 Main Heading Char8,heading 2body Char8,h2 Char8,Attribute Heading 2 Char8,body Char8,test Char8,H2 Char8,l2 Char8,list 2 Char8,list 2 Char8,heading 2TOC Char8,Head 2 Char8,List level 2 Char8,2 Char8"/>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7">
    <w:name w:val="Heading 5 Char17"/>
    <w:aliases w:val="H5 Char8,Appendix Char8,Heading 5 StGeorge Char8,Level 3 - i Char8,Level 5 Char8,L5 Char8,l5+toc5 Char8,(A) Char8,h5 Char8,Sub4Para Char8,Sub-Para a. Char8,h51 Char8,h52 Char8,hd5 Char8,Section Sub Point Char8,Contents Sub Char8"/>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7">
    <w:name w:val="Heading 2 Char7"/>
    <w:aliases w:val="h2 main heading Char7,Heading 2 Main Heading Char7,heading 2body Char7,h2 Char7,Attribute Heading 2 Char7,body Char7,test Char7,H2 Char7,l2 Char7,list 2 Char7,list 2 Char7,heading 2TOC Char7,Head 2 Char7,List level 2 Char7,2 Char7"/>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6">
    <w:name w:val="Heading 5 Char16"/>
    <w:aliases w:val="H5 Char7,Appendix Char7,Heading 5 StGeorge Char7,Level 3 - i Char7,Level 5 Char7,L5 Char7,l5+toc5 Char7,(A) Char7,h5 Char7,Sub4Para Char7,Sub-Para a. Char7,h51 Char7,h52 Char7,hd5 Char7,Section Sub Point Char7,Contents Sub Char7"/>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6">
    <w:name w:val="Heading 2 Char6"/>
    <w:aliases w:val="h2 main heading Char6,Heading 2 Main Heading Char6,heading 2body Char6,h2 Char6,Attribute Heading 2 Char6,body Char6,test Char6,H2 Char6,l2 Char6,list 2 Char6,list 2 Char6,heading 2TOC Char6,Head 2 Char6,List level 2 Char6,2 Char6"/>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5">
    <w:name w:val="Heading 5 Char15"/>
    <w:aliases w:val="H5 Char6,Appendix Char6,Heading 5 StGeorge Char6,Level 3 - i Char6,Level 5 Char6,L5 Char6,l5+toc5 Char6,(A) Char6,h5 Char6,Sub4Para Char6,Sub-Para a. Char6,h51 Char6,h52 Char6,hd5 Char6,Section Sub Point Char6,Contents Sub Char6"/>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5">
    <w:name w:val="Heading 2 Char5"/>
    <w:aliases w:val="h2 main heading Char5,Heading 2 Main Heading Char5,heading 2body Char5,h2 Char5,Attribute Heading 2 Char5,body Char5,test Char5,H2 Char5,l2 Char5,list 2 Char5,list 2 Char5,heading 2TOC Char5,Head 2 Char5,List level 2 Char5,2 Char5"/>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4">
    <w:name w:val="Heading 5 Char14"/>
    <w:aliases w:val="H5 Char5,Appendix Char5,Heading 5 StGeorge Char5,Level 3 - i Char5,Level 5 Char5,L5 Char5,l5+toc5 Char5,(A) Char5,h5 Char5,Sub4Para Char5,Sub-Para a. Char5,h51 Char5,h52 Char5,hd5 Char5,Section Sub Point Char5,Contents Sub Char5"/>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4">
    <w:name w:val="Heading 2 Char4"/>
    <w:aliases w:val="h2 main heading Char4,Heading 2 Main Heading Char4,heading 2body Char4,h2 Char4,Attribute Heading 2 Char4,body Char4,test Char4,H2 Char4,l2 Char4,list 2 Char4,list 2 Char4,heading 2TOC Char4,Head 2 Char4,List level 2 Char4,2 Char4"/>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3">
    <w:name w:val="Heading 5 Char13"/>
    <w:aliases w:val="H5 Char4,Appendix Char4,Heading 5 StGeorge Char4,Level 3 - i Char4,Level 5 Char4,L5 Char4,l5+toc5 Char4,(A) Char4,h5 Char4,Sub4Para Char4,Sub-Para a. Char4,h51 Char4,h52 Char4,hd5 Char4,Section Sub Point Char4,Contents Sub Char4"/>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3">
    <w:name w:val="Heading 2 Char3"/>
    <w:aliases w:val="h2 main heading Char3,Heading 2 Main Heading Char3,heading 2body Char3,h2 Char3,Attribute Heading 2 Char3,body Char3,test Char3,H2 Char3,l2 Char3,list 2 Char3,list 2 Char3,heading 2TOC Char3,Head 2 Char3,List level 2 Char3,2 Char3"/>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2">
    <w:name w:val="Heading 5 Char12"/>
    <w:aliases w:val="H5 Char3,Appendix Char3,Heading 5 StGeorge Char3,Level 3 - i Char3,Level 5 Char3,L5 Char3,l5+toc5 Char3,(A) Char3,h5 Char3,Sub4Para Char3,Sub-Para a. Char3,h51 Char3,h52 Char3,hd5 Char3,Section Sub Point Char3,Contents Sub Char3"/>
    <w:basedOn w:val="DefaultParagraphFont"/>
    <w:uiPriority w:val="99"/>
    <w:semiHidden/>
    <w:locked/>
    <w:rsid w:val="0010488E"/>
    <w:rPr>
      <w:rFonts w:ascii="Calibri" w:hAnsi="Calibri" w:cs="Times New Roman"/>
      <w:b/>
      <w:bCs/>
      <w:i/>
      <w:iCs/>
      <w:color w:val="000000"/>
      <w:sz w:val="26"/>
      <w:szCs w:val="26"/>
      <w:lang w:val="en-GB" w:eastAsia="en-US"/>
    </w:rPr>
  </w:style>
  <w:style w:type="character" w:customStyle="1" w:styleId="Heading2Char2">
    <w:name w:val="Heading 2 Char2"/>
    <w:aliases w:val="h2 main heading Char2,Heading 2 Main Heading Char2,heading 2body Char2,h2 Char2,Attribute Heading 2 Char2,body Char2,test Char2,H2 Char2,l2 Char2,list 2 Char2,list 2 Char2,heading 2TOC Char2,Head 2 Char2,List level 2 Char2,2 Char2"/>
    <w:basedOn w:val="DefaultParagraphFont"/>
    <w:uiPriority w:val="99"/>
    <w:semiHidden/>
    <w:locked/>
    <w:rsid w:val="0010488E"/>
    <w:rPr>
      <w:rFonts w:ascii="Cambria" w:hAnsi="Cambria" w:cs="Times New Roman"/>
      <w:b/>
      <w:bCs/>
      <w:i/>
      <w:iCs/>
      <w:color w:val="000000"/>
      <w:sz w:val="28"/>
      <w:szCs w:val="28"/>
      <w:lang w:val="en-GB" w:eastAsia="en-US"/>
    </w:rPr>
  </w:style>
  <w:style w:type="character" w:customStyle="1" w:styleId="Heading5Char11">
    <w:name w:val="Heading 5 Char11"/>
    <w:aliases w:val="H5 Char2,Appendix Char2,Heading 5 StGeorge Char2,Level 3 - i Char2,Level 5 Char2,L5 Char2,l5+toc5 Char2,(A) Char2,h5 Char2,Sub4Para Char2,Sub-Para a. Char2,h51 Char2,h52 Char2,hd5 Char2,Section Sub Point Char2,Contents Sub Char2"/>
    <w:basedOn w:val="DefaultParagraphFont"/>
    <w:uiPriority w:val="99"/>
    <w:semiHidden/>
    <w:locked/>
    <w:rsid w:val="0010488E"/>
    <w:rPr>
      <w:rFonts w:ascii="Calibri" w:hAnsi="Calibri" w:cs="Times New Roman"/>
      <w:b/>
      <w:bCs/>
      <w:i/>
      <w:iCs/>
      <w:color w:val="000000"/>
      <w:sz w:val="26"/>
      <w:szCs w:val="26"/>
      <w:lang w:val="en-GB" w:eastAsia="en-US"/>
    </w:rPr>
  </w:style>
  <w:style w:type="paragraph" w:customStyle="1" w:styleId="BasicParagraph">
    <w:name w:val="[Basic Paragraph]"/>
    <w:basedOn w:val="Normal"/>
    <w:uiPriority w:val="99"/>
    <w:rsid w:val="0010488E"/>
    <w:pPr>
      <w:autoSpaceDE w:val="0"/>
      <w:autoSpaceDN w:val="0"/>
      <w:adjustRightInd w:val="0"/>
      <w:spacing w:after="0" w:line="288" w:lineRule="auto"/>
      <w:textAlignment w:val="center"/>
    </w:pPr>
    <w:rPr>
      <w:rFonts w:ascii="Times New Roman" w:eastAsia="Times New Roman" w:hAnsi="Times New Roman" w:cs="Times New Roman"/>
      <w:color w:val="000000"/>
      <w:sz w:val="24"/>
      <w:lang w:val="en-GB" w:eastAsia="en-AU"/>
    </w:rPr>
  </w:style>
  <w:style w:type="character" w:customStyle="1" w:styleId="StyleArialBlack9ptCustomColorRGB0176202">
    <w:name w:val="Style Arial Black 9 pt Custom Color(RGB(0176202))"/>
    <w:basedOn w:val="DefaultParagraphFont"/>
    <w:uiPriority w:val="99"/>
    <w:rsid w:val="0010488E"/>
    <w:rPr>
      <w:rFonts w:ascii="Arial Black" w:hAnsi="Arial Black" w:cs="Times New Roman"/>
      <w:color w:val="E36C0A"/>
      <w:sz w:val="18"/>
    </w:rPr>
  </w:style>
  <w:style w:type="paragraph" w:customStyle="1" w:styleId="FormText">
    <w:name w:val="FormText"/>
    <w:basedOn w:val="Normal"/>
    <w:link w:val="FormTextChar"/>
    <w:uiPriority w:val="99"/>
    <w:rsid w:val="0010488E"/>
    <w:pPr>
      <w:spacing w:after="0" w:line="240" w:lineRule="auto"/>
    </w:pPr>
    <w:rPr>
      <w:rFonts w:eastAsia="Times New Roman" w:cs="Times New Roman"/>
      <w:szCs w:val="20"/>
      <w:lang w:eastAsia="en-AU"/>
    </w:rPr>
  </w:style>
  <w:style w:type="character" w:customStyle="1" w:styleId="FormTextChar">
    <w:name w:val="FormText Char"/>
    <w:basedOn w:val="DefaultParagraphFont"/>
    <w:link w:val="FormText"/>
    <w:uiPriority w:val="99"/>
    <w:locked/>
    <w:rsid w:val="0010488E"/>
    <w:rPr>
      <w:rFonts w:ascii="Arial" w:eastAsia="Times New Roman" w:hAnsi="Arial" w:cs="Times New Roman"/>
      <w:sz w:val="20"/>
      <w:szCs w:val="20"/>
      <w:lang w:val="en-AU" w:eastAsia="en-AU"/>
    </w:rPr>
  </w:style>
  <w:style w:type="paragraph" w:customStyle="1" w:styleId="RSHeader">
    <w:name w:val="RS Header"/>
    <w:basedOn w:val="Heading1"/>
    <w:uiPriority w:val="99"/>
    <w:rsid w:val="0010488E"/>
    <w:pPr>
      <w:pageBreakBefore w:val="0"/>
      <w:numPr>
        <w:numId w:val="0"/>
      </w:numPr>
      <w:tabs>
        <w:tab w:val="right" w:pos="360"/>
      </w:tabs>
      <w:spacing w:before="120" w:line="240" w:lineRule="auto"/>
      <w:jc w:val="center"/>
    </w:pPr>
    <w:rPr>
      <w:rFonts w:eastAsia="Times New Roman" w:cs="Times New Roman"/>
      <w:bCs w:val="0"/>
      <w:caps/>
      <w:color w:val="auto"/>
      <w:kern w:val="28"/>
      <w:sz w:val="26"/>
      <w:szCs w:val="20"/>
    </w:rPr>
  </w:style>
  <w:style w:type="paragraph" w:customStyle="1" w:styleId="BodyTextTable">
    <w:name w:val="Body Text Table"/>
    <w:uiPriority w:val="99"/>
    <w:rsid w:val="0010488E"/>
    <w:pPr>
      <w:spacing w:before="120" w:after="120"/>
    </w:pPr>
    <w:rPr>
      <w:rFonts w:ascii="Arial" w:eastAsia="Times New Roman" w:hAnsi="Arial" w:cs="Times New Roman"/>
      <w:sz w:val="20"/>
      <w:szCs w:val="20"/>
      <w:lang w:val="en-AU" w:eastAsia="en-AU"/>
    </w:rPr>
  </w:style>
  <w:style w:type="paragraph" w:customStyle="1" w:styleId="RFQTableHeading2">
    <w:name w:val="RFQ Table Heading 2"/>
    <w:next w:val="BodyText"/>
    <w:uiPriority w:val="99"/>
    <w:rsid w:val="0010488E"/>
    <w:pPr>
      <w:spacing w:before="20" w:after="20"/>
    </w:pPr>
    <w:rPr>
      <w:rFonts w:ascii="Arial" w:eastAsia="Times New Roman" w:hAnsi="Arial" w:cs="Times New Roman"/>
      <w:b/>
      <w:sz w:val="20"/>
      <w:szCs w:val="20"/>
      <w:lang w:val="en-AU" w:eastAsia="en-AU"/>
    </w:rPr>
  </w:style>
  <w:style w:type="paragraph" w:customStyle="1" w:styleId="RFQTableHeading1">
    <w:name w:val="RFQ Table Heading 1"/>
    <w:next w:val="BodyText"/>
    <w:uiPriority w:val="99"/>
    <w:rsid w:val="0010488E"/>
    <w:pPr>
      <w:spacing w:before="60" w:after="60"/>
    </w:pPr>
    <w:rPr>
      <w:rFonts w:ascii="Arial" w:eastAsia="Times New Roman" w:hAnsi="Arial" w:cs="Times New Roman"/>
      <w:b/>
      <w:i/>
      <w:szCs w:val="20"/>
      <w:lang w:val="en-AU"/>
    </w:rPr>
  </w:style>
  <w:style w:type="paragraph" w:customStyle="1" w:styleId="StyleSCHEDULECentre">
    <w:name w:val="Style SCHEDULE + Centre"/>
    <w:basedOn w:val="Normal"/>
    <w:link w:val="StyleSCHEDULECentreChar"/>
    <w:uiPriority w:val="99"/>
    <w:rsid w:val="0010488E"/>
    <w:pPr>
      <w:numPr>
        <w:numId w:val="59"/>
      </w:numPr>
      <w:spacing w:before="60" w:after="60" w:line="240" w:lineRule="auto"/>
      <w:jc w:val="center"/>
    </w:pPr>
    <w:rPr>
      <w:rFonts w:ascii="Tahoma" w:eastAsia="Times New Roman" w:hAnsi="Tahoma" w:cs="Times New Roman"/>
      <w:b/>
      <w:bCs/>
      <w:spacing w:val="-2"/>
      <w:szCs w:val="20"/>
      <w:lang w:eastAsia="en-AU"/>
    </w:rPr>
  </w:style>
  <w:style w:type="character" w:customStyle="1" w:styleId="StyleSCHEDULECentreChar">
    <w:name w:val="Style SCHEDULE + Centre Char"/>
    <w:basedOn w:val="DefaultParagraphFont"/>
    <w:link w:val="StyleSCHEDULECentre"/>
    <w:uiPriority w:val="99"/>
    <w:locked/>
    <w:rsid w:val="0010488E"/>
    <w:rPr>
      <w:rFonts w:ascii="Tahoma" w:eastAsia="Times New Roman" w:hAnsi="Tahoma" w:cs="Times New Roman"/>
      <w:b/>
      <w:bCs/>
      <w:spacing w:val="-2"/>
      <w:sz w:val="20"/>
      <w:szCs w:val="20"/>
      <w:lang w:val="en-AU" w:eastAsia="en-AU"/>
    </w:rPr>
  </w:style>
  <w:style w:type="paragraph" w:customStyle="1" w:styleId="Schedule2">
    <w:name w:val="Schedule 2"/>
    <w:basedOn w:val="Heading2"/>
    <w:next w:val="Normal"/>
    <w:link w:val="Schedule2Char"/>
    <w:uiPriority w:val="99"/>
    <w:rsid w:val="0010488E"/>
    <w:pPr>
      <w:keepLines w:val="0"/>
      <w:numPr>
        <w:numId w:val="59"/>
      </w:numPr>
      <w:tabs>
        <w:tab w:val="left" w:pos="567"/>
        <w:tab w:val="num" w:pos="1440"/>
      </w:tabs>
      <w:spacing w:after="60" w:line="240" w:lineRule="auto"/>
      <w:ind w:left="0" w:firstLine="0"/>
    </w:pPr>
    <w:rPr>
      <w:rFonts w:ascii="Tahoma" w:eastAsia="Times New Roman" w:hAnsi="Tahoma" w:cs="Tahoma"/>
      <w:bCs w:val="0"/>
      <w:color w:val="auto"/>
      <w:sz w:val="20"/>
      <w:szCs w:val="20"/>
      <w:lang w:eastAsia="en-AU"/>
    </w:rPr>
  </w:style>
  <w:style w:type="character" w:customStyle="1" w:styleId="Schedule2Char">
    <w:name w:val="Schedule 2 Char"/>
    <w:basedOn w:val="DefaultParagraphFont"/>
    <w:link w:val="Schedule2"/>
    <w:uiPriority w:val="99"/>
    <w:locked/>
    <w:rsid w:val="0010488E"/>
    <w:rPr>
      <w:rFonts w:ascii="Tahoma" w:eastAsia="Times New Roman" w:hAnsi="Tahoma" w:cs="Tahoma"/>
      <w:b/>
      <w:sz w:val="20"/>
      <w:szCs w:val="20"/>
      <w:lang w:val="en-AU" w:eastAsia="en-AU"/>
    </w:rPr>
  </w:style>
  <w:style w:type="table" w:styleId="LightList-Accent4">
    <w:name w:val="Light List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Bullet">
    <w:name w:val="Bullet"/>
    <w:basedOn w:val="Normal"/>
    <w:link w:val="BulletChar"/>
    <w:rsid w:val="0010488E"/>
    <w:pPr>
      <w:suppressAutoHyphens/>
      <w:spacing w:after="80" w:line="210" w:lineRule="exact"/>
      <w:ind w:left="227" w:hanging="227"/>
    </w:pPr>
    <w:rPr>
      <w:rFonts w:ascii="Arial Narrow" w:eastAsia="Times New Roman" w:hAnsi="Arial Narrow" w:cs="Times New Roman"/>
      <w:szCs w:val="20"/>
      <w:lang w:eastAsia="en-AU"/>
    </w:rPr>
  </w:style>
  <w:style w:type="character" w:customStyle="1" w:styleId="BulletChar">
    <w:name w:val="Bullet Char"/>
    <w:basedOn w:val="DefaultParagraphFont"/>
    <w:link w:val="Bullet"/>
    <w:uiPriority w:val="99"/>
    <w:locked/>
    <w:rsid w:val="0010488E"/>
    <w:rPr>
      <w:rFonts w:ascii="Arial Narrow" w:eastAsia="Times New Roman" w:hAnsi="Arial Narrow" w:cs="Times New Roman"/>
      <w:sz w:val="20"/>
      <w:szCs w:val="20"/>
      <w:lang w:val="en-AU" w:eastAsia="en-AU"/>
    </w:rPr>
  </w:style>
  <w:style w:type="paragraph" w:customStyle="1" w:styleId="BHPKeySkillsHdg">
    <w:name w:val="BHP Key Skills Hdg"/>
    <w:basedOn w:val="Normal"/>
    <w:uiPriority w:val="99"/>
    <w:rsid w:val="0010488E"/>
    <w:pPr>
      <w:keepNext/>
      <w:suppressAutoHyphens/>
      <w:spacing w:before="1080" w:after="140" w:line="280" w:lineRule="atLeast"/>
    </w:pPr>
    <w:rPr>
      <w:rFonts w:ascii="Arial Narrow" w:eastAsia="Times New Roman" w:hAnsi="Arial Narrow" w:cs="Times New Roman"/>
      <w:b/>
      <w:bCs/>
      <w:spacing w:val="10"/>
      <w:szCs w:val="20"/>
      <w:lang w:eastAsia="en-AU"/>
    </w:rPr>
  </w:style>
  <w:style w:type="paragraph" w:customStyle="1" w:styleId="BHPKeySkillsText">
    <w:name w:val="BHP Key Skills Text"/>
    <w:basedOn w:val="Normal"/>
    <w:uiPriority w:val="99"/>
    <w:rsid w:val="0010488E"/>
    <w:pPr>
      <w:spacing w:after="140" w:line="300" w:lineRule="atLeast"/>
    </w:pPr>
    <w:rPr>
      <w:rFonts w:ascii="Arial Narrow" w:eastAsia="Times New Roman" w:hAnsi="Arial Narrow" w:cs="Times New Roman"/>
      <w:szCs w:val="20"/>
      <w:lang w:eastAsia="en-AU"/>
    </w:rPr>
  </w:style>
  <w:style w:type="paragraph" w:customStyle="1" w:styleId="BHPColHeading">
    <w:name w:val="BHP Col Heading"/>
    <w:basedOn w:val="Normal"/>
    <w:uiPriority w:val="99"/>
    <w:rsid w:val="0010488E"/>
    <w:pPr>
      <w:suppressAutoHyphens/>
      <w:spacing w:before="160" w:after="140" w:line="240" w:lineRule="exact"/>
      <w:ind w:right="11"/>
    </w:pPr>
    <w:rPr>
      <w:rFonts w:ascii="Arial Narrow" w:eastAsia="Times New Roman" w:hAnsi="Arial Narrow" w:cs="Times New Roman"/>
      <w:b/>
      <w:spacing w:val="10"/>
      <w:szCs w:val="20"/>
      <w:lang w:eastAsia="en-AU"/>
    </w:rPr>
  </w:style>
  <w:style w:type="paragraph" w:customStyle="1" w:styleId="BHPColText">
    <w:name w:val="BHP Col Text"/>
    <w:basedOn w:val="Bullet"/>
    <w:link w:val="BHPColTextChar"/>
    <w:uiPriority w:val="99"/>
    <w:rsid w:val="0010488E"/>
  </w:style>
  <w:style w:type="character" w:customStyle="1" w:styleId="BHPColTextChar">
    <w:name w:val="BHP Col Text Char"/>
    <w:basedOn w:val="BulletChar"/>
    <w:link w:val="BHPColText"/>
    <w:uiPriority w:val="99"/>
    <w:locked/>
    <w:rsid w:val="0010488E"/>
    <w:rPr>
      <w:rFonts w:ascii="Arial Narrow" w:eastAsia="Times New Roman" w:hAnsi="Arial Narrow" w:cs="Times New Roman"/>
      <w:sz w:val="20"/>
      <w:szCs w:val="20"/>
      <w:lang w:val="en-AU" w:eastAsia="en-AU"/>
    </w:rPr>
  </w:style>
  <w:style w:type="character" w:styleId="Emphasis">
    <w:name w:val="Emphasis"/>
    <w:basedOn w:val="DefaultParagraphFont"/>
    <w:uiPriority w:val="99"/>
    <w:qFormat/>
    <w:rsid w:val="0010488E"/>
    <w:rPr>
      <w:rFonts w:cs="Times New Roman"/>
      <w:i/>
      <w:iCs/>
    </w:rPr>
  </w:style>
  <w:style w:type="paragraph" w:customStyle="1" w:styleId="IndentafterHeading12">
    <w:name w:val="Indent after Heading 1 &amp; 2"/>
    <w:uiPriority w:val="99"/>
    <w:rsid w:val="0010488E"/>
    <w:pPr>
      <w:spacing w:after="240"/>
      <w:ind w:left="709"/>
      <w:jc w:val="both"/>
    </w:pPr>
    <w:rPr>
      <w:rFonts w:ascii="Times New Roman" w:eastAsia="Times New Roman" w:hAnsi="Times New Roman" w:cs="Times New Roman"/>
      <w:lang w:eastAsia="en-AU"/>
    </w:rPr>
  </w:style>
  <w:style w:type="paragraph" w:customStyle="1" w:styleId="HeadingSchedule">
    <w:name w:val="Heading Schedule"/>
    <w:basedOn w:val="Heading1"/>
    <w:uiPriority w:val="99"/>
    <w:rsid w:val="0010488E"/>
    <w:pPr>
      <w:keepLines w:val="0"/>
      <w:pageBreakBefore w:val="0"/>
      <w:numPr>
        <w:numId w:val="0"/>
      </w:numPr>
      <w:overflowPunct w:val="0"/>
      <w:autoSpaceDE w:val="0"/>
      <w:autoSpaceDN w:val="0"/>
      <w:adjustRightInd w:val="0"/>
      <w:spacing w:before="0" w:after="1000" w:line="240" w:lineRule="auto"/>
      <w:jc w:val="both"/>
      <w:textAlignment w:val="baseline"/>
    </w:pPr>
    <w:rPr>
      <w:rFonts w:eastAsia="Times New Roman" w:cs="Times New Roman"/>
      <w:b w:val="0"/>
      <w:color w:val="auto"/>
      <w:sz w:val="36"/>
      <w:szCs w:val="20"/>
    </w:rPr>
  </w:style>
  <w:style w:type="paragraph" w:customStyle="1" w:styleId="Indent2">
    <w:name w:val="Indent 2"/>
    <w:basedOn w:val="Normal"/>
    <w:uiPriority w:val="99"/>
    <w:rsid w:val="0010488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NormalBold">
    <w:name w:val="Normal Bold"/>
    <w:basedOn w:val="Normal"/>
    <w:uiPriority w:val="99"/>
    <w:rsid w:val="0010488E"/>
    <w:pPr>
      <w:overflowPunct w:val="0"/>
      <w:autoSpaceDE w:val="0"/>
      <w:autoSpaceDN w:val="0"/>
      <w:adjustRightInd w:val="0"/>
      <w:spacing w:after="0" w:line="240" w:lineRule="auto"/>
      <w:textAlignment w:val="baseline"/>
    </w:pPr>
    <w:rPr>
      <w:rFonts w:eastAsia="Times New Roman" w:cs="Times New Roman"/>
      <w:b/>
      <w:bCs/>
      <w:sz w:val="24"/>
      <w:szCs w:val="20"/>
    </w:rPr>
  </w:style>
  <w:style w:type="paragraph" w:customStyle="1" w:styleId="Title-Section">
    <w:name w:val="Title - Section"/>
    <w:basedOn w:val="Normal"/>
    <w:uiPriority w:val="99"/>
    <w:rsid w:val="0010488E"/>
    <w:pPr>
      <w:widowControl w:val="0"/>
      <w:overflowPunct w:val="0"/>
      <w:autoSpaceDE w:val="0"/>
      <w:autoSpaceDN w:val="0"/>
      <w:adjustRightInd w:val="0"/>
      <w:spacing w:before="120" w:after="0" w:line="320" w:lineRule="exact"/>
      <w:jc w:val="center"/>
      <w:textAlignment w:val="baseline"/>
    </w:pPr>
    <w:rPr>
      <w:rFonts w:eastAsia="Times New Roman" w:cs="Times New Roman"/>
      <w:b/>
      <w:caps/>
      <w:szCs w:val="20"/>
    </w:rPr>
  </w:style>
  <w:style w:type="paragraph" w:customStyle="1" w:styleId="Headersub">
    <w:name w:val="Header sub"/>
    <w:basedOn w:val="Normal"/>
    <w:uiPriority w:val="99"/>
    <w:rsid w:val="0010488E"/>
    <w:pPr>
      <w:overflowPunct w:val="0"/>
      <w:autoSpaceDE w:val="0"/>
      <w:autoSpaceDN w:val="0"/>
      <w:adjustRightInd w:val="0"/>
      <w:spacing w:after="1240" w:line="240" w:lineRule="auto"/>
      <w:textAlignment w:val="baseline"/>
    </w:pPr>
    <w:rPr>
      <w:rFonts w:eastAsia="Times New Roman" w:cs="Times New Roman"/>
      <w:sz w:val="36"/>
      <w:szCs w:val="20"/>
    </w:rPr>
  </w:style>
  <w:style w:type="character" w:customStyle="1" w:styleId="TableTextChar0">
    <w:name w:val="Table Text Char"/>
    <w:basedOn w:val="DefaultParagraphFont"/>
    <w:link w:val="TableText0"/>
    <w:uiPriority w:val="99"/>
    <w:locked/>
    <w:rsid w:val="0010488E"/>
    <w:rPr>
      <w:rFonts w:ascii="Arial" w:hAnsi="Arial" w:cs="Arial"/>
    </w:rPr>
  </w:style>
  <w:style w:type="paragraph" w:customStyle="1" w:styleId="TableText0">
    <w:name w:val="Table Text"/>
    <w:basedOn w:val="Normal"/>
    <w:link w:val="TableTextChar0"/>
    <w:uiPriority w:val="99"/>
    <w:rsid w:val="0010488E"/>
    <w:pPr>
      <w:spacing w:before="120" w:after="120" w:line="240" w:lineRule="auto"/>
    </w:pPr>
    <w:rPr>
      <w:rFonts w:cs="Arial"/>
      <w:sz w:val="24"/>
      <w:lang w:val="en-US"/>
    </w:rPr>
  </w:style>
  <w:style w:type="paragraph" w:customStyle="1" w:styleId="TableBullet">
    <w:name w:val="Table Bullet"/>
    <w:basedOn w:val="Normal"/>
    <w:uiPriority w:val="99"/>
    <w:rsid w:val="0010488E"/>
    <w:pPr>
      <w:numPr>
        <w:numId w:val="60"/>
      </w:numPr>
      <w:spacing w:before="120" w:after="120" w:line="240" w:lineRule="auto"/>
    </w:pPr>
    <w:rPr>
      <w:rFonts w:ascii="SKM Helv Light" w:eastAsia="Times New Roman" w:hAnsi="SKM Helv Light" w:cs="Times New Roman"/>
      <w:sz w:val="18"/>
      <w:szCs w:val="18"/>
      <w:lang w:eastAsia="en-AU"/>
    </w:rPr>
  </w:style>
  <w:style w:type="paragraph" w:customStyle="1" w:styleId="Style2">
    <w:name w:val="Style2"/>
    <w:basedOn w:val="Normal"/>
    <w:link w:val="Style2Char"/>
    <w:uiPriority w:val="99"/>
    <w:rsid w:val="0010488E"/>
    <w:pPr>
      <w:suppressAutoHyphens/>
      <w:spacing w:before="180" w:after="120" w:line="220" w:lineRule="exact"/>
    </w:pPr>
    <w:rPr>
      <w:rFonts w:ascii="Arial Narrow" w:eastAsia="Times New Roman" w:hAnsi="Arial Narrow" w:cs="Times New Roman"/>
      <w:color w:val="000000"/>
      <w:sz w:val="19"/>
      <w:szCs w:val="22"/>
    </w:rPr>
  </w:style>
  <w:style w:type="character" w:customStyle="1" w:styleId="Style2Char">
    <w:name w:val="Style2 Char"/>
    <w:basedOn w:val="DefaultParagraphFont"/>
    <w:link w:val="Style2"/>
    <w:uiPriority w:val="99"/>
    <w:locked/>
    <w:rsid w:val="0010488E"/>
    <w:rPr>
      <w:rFonts w:ascii="Arial Narrow" w:eastAsia="Times New Roman" w:hAnsi="Arial Narrow" w:cs="Times New Roman"/>
      <w:color w:val="000000"/>
      <w:sz w:val="19"/>
      <w:szCs w:val="22"/>
      <w:lang w:val="en-AU"/>
    </w:rPr>
  </w:style>
  <w:style w:type="paragraph" w:customStyle="1" w:styleId="Qualifications">
    <w:name w:val="Qualifications"/>
    <w:basedOn w:val="Style2"/>
    <w:link w:val="QualificationsChar"/>
    <w:uiPriority w:val="99"/>
    <w:rsid w:val="0010488E"/>
    <w:pPr>
      <w:spacing w:before="60" w:after="60"/>
    </w:pPr>
  </w:style>
  <w:style w:type="character" w:customStyle="1" w:styleId="QualificationsChar">
    <w:name w:val="Qualifications Char"/>
    <w:basedOn w:val="Style2Char"/>
    <w:link w:val="Qualifications"/>
    <w:uiPriority w:val="99"/>
    <w:locked/>
    <w:rsid w:val="0010488E"/>
    <w:rPr>
      <w:rFonts w:ascii="Arial Narrow" w:eastAsia="Times New Roman" w:hAnsi="Arial Narrow" w:cs="Times New Roman"/>
      <w:color w:val="000000"/>
      <w:sz w:val="19"/>
      <w:szCs w:val="22"/>
      <w:lang w:val="en-AU"/>
    </w:rPr>
  </w:style>
  <w:style w:type="paragraph" w:customStyle="1" w:styleId="PAEHD2NUMBERED">
    <w:name w:val="PAE HD2 NUMBERED"/>
    <w:basedOn w:val="Heading2"/>
    <w:next w:val="PAEPARA0"/>
    <w:uiPriority w:val="99"/>
    <w:rsid w:val="0010488E"/>
    <w:pPr>
      <w:numPr>
        <w:numId w:val="0"/>
      </w:numPr>
      <w:tabs>
        <w:tab w:val="left" w:pos="680"/>
        <w:tab w:val="num" w:pos="851"/>
      </w:tabs>
      <w:spacing w:before="0" w:line="276" w:lineRule="auto"/>
      <w:ind w:left="851" w:hanging="851"/>
    </w:pPr>
    <w:rPr>
      <w:rFonts w:ascii="Arial Bold" w:eastAsia="Times New Roman" w:hAnsi="Arial Bold" w:cs="Times New Roman"/>
      <w:color w:val="646464"/>
      <w:sz w:val="28"/>
    </w:rPr>
  </w:style>
  <w:style w:type="paragraph" w:customStyle="1" w:styleId="PAEPARA0BULLET">
    <w:name w:val="PAE PARA 0 BULLET"/>
    <w:basedOn w:val="PAEPARA0"/>
    <w:uiPriority w:val="99"/>
    <w:rsid w:val="0010488E"/>
    <w:pPr>
      <w:tabs>
        <w:tab w:val="left" w:pos="284"/>
      </w:tabs>
      <w:spacing w:before="0" w:after="60"/>
    </w:pPr>
    <w:rPr>
      <w:rFonts w:eastAsia="Times New Roman" w:cs="Times New Roman"/>
    </w:rPr>
  </w:style>
  <w:style w:type="paragraph" w:customStyle="1" w:styleId="AppHeading2">
    <w:name w:val="App Heading 2"/>
    <w:basedOn w:val="AppHeading"/>
    <w:next w:val="Normal"/>
    <w:rsid w:val="0010488E"/>
    <w:pPr>
      <w:pageBreakBefore w:val="0"/>
      <w:numPr>
        <w:ilvl w:val="1"/>
      </w:numPr>
      <w:spacing w:before="240" w:line="320" w:lineRule="atLeast"/>
      <w:ind w:left="714" w:hanging="714"/>
    </w:pPr>
    <w:rPr>
      <w:caps w:val="0"/>
      <w:sz w:val="24"/>
    </w:rPr>
  </w:style>
  <w:style w:type="paragraph" w:customStyle="1" w:styleId="AppHeading">
    <w:name w:val="App Heading"/>
    <w:basedOn w:val="Normal"/>
    <w:next w:val="Normal"/>
    <w:autoRedefine/>
    <w:rsid w:val="0010488E"/>
    <w:pPr>
      <w:pageBreakBefore/>
      <w:numPr>
        <w:numId w:val="61"/>
      </w:numPr>
      <w:spacing w:before="80" w:after="240" w:line="340" w:lineRule="atLeast"/>
      <w:ind w:left="357" w:hanging="357"/>
      <w:outlineLvl w:val="0"/>
    </w:pPr>
    <w:rPr>
      <w:rFonts w:ascii="Book Antiqua" w:eastAsia="Times New Roman" w:hAnsi="Book Antiqua" w:cs="Times New Roman"/>
      <w:b/>
      <w:caps/>
      <w:color w:val="008000"/>
      <w:sz w:val="28"/>
      <w:szCs w:val="20"/>
    </w:rPr>
  </w:style>
  <w:style w:type="paragraph" w:customStyle="1" w:styleId="AppHeading3">
    <w:name w:val="App Heading 3"/>
    <w:basedOn w:val="AppHeading"/>
    <w:next w:val="Normal"/>
    <w:autoRedefine/>
    <w:rsid w:val="0010488E"/>
    <w:pPr>
      <w:pageBreakBefore w:val="0"/>
      <w:numPr>
        <w:numId w:val="0"/>
      </w:numPr>
      <w:tabs>
        <w:tab w:val="num" w:pos="720"/>
      </w:tabs>
      <w:spacing w:before="240"/>
      <w:ind w:left="357" w:hanging="357"/>
      <w:outlineLvl w:val="9"/>
    </w:pPr>
    <w:rPr>
      <w:i/>
      <w:caps w:val="0"/>
      <w:sz w:val="24"/>
    </w:rPr>
  </w:style>
  <w:style w:type="paragraph" w:customStyle="1" w:styleId="Para03pt">
    <w:name w:val="Para 0 (3pt)"/>
    <w:basedOn w:val="Para0"/>
    <w:uiPriority w:val="99"/>
    <w:rsid w:val="0010488E"/>
    <w:pPr>
      <w:spacing w:before="0" w:after="60" w:line="240" w:lineRule="auto"/>
    </w:pPr>
    <w:rPr>
      <w:rFonts w:ascii="Times New Roman" w:eastAsia="Times New Roman" w:hAnsi="Times New Roman" w:cs="Times New Roman"/>
      <w:color w:val="000000"/>
      <w:szCs w:val="20"/>
    </w:rPr>
  </w:style>
  <w:style w:type="paragraph" w:customStyle="1" w:styleId="Note">
    <w:name w:val="Note"/>
    <w:next w:val="Normal"/>
    <w:link w:val="NoteChar"/>
    <w:rsid w:val="0010488E"/>
    <w:pPr>
      <w:spacing w:after="120"/>
    </w:pPr>
    <w:rPr>
      <w:rFonts w:ascii="Book Antiqua" w:eastAsia="Times New Roman" w:hAnsi="Book Antiqua" w:cs="Times New Roman"/>
      <w:sz w:val="16"/>
      <w:szCs w:val="16"/>
      <w:lang w:val="en-AU"/>
    </w:rPr>
  </w:style>
  <w:style w:type="character" w:customStyle="1" w:styleId="NoteChar">
    <w:name w:val="Note Char"/>
    <w:basedOn w:val="DefaultParagraphFont"/>
    <w:link w:val="Note"/>
    <w:locked/>
    <w:rsid w:val="0010488E"/>
    <w:rPr>
      <w:rFonts w:ascii="Book Antiqua" w:eastAsia="Times New Roman" w:hAnsi="Book Antiqua" w:cs="Times New Roman"/>
      <w:sz w:val="16"/>
      <w:szCs w:val="16"/>
      <w:lang w:val="en-AU"/>
    </w:rPr>
  </w:style>
  <w:style w:type="paragraph" w:customStyle="1" w:styleId="SingleSpacing">
    <w:name w:val="Single Spacing"/>
    <w:basedOn w:val="Normal"/>
    <w:link w:val="SingleSpacingChar"/>
    <w:rsid w:val="0010488E"/>
    <w:pPr>
      <w:spacing w:after="0" w:line="240" w:lineRule="auto"/>
      <w:jc w:val="both"/>
    </w:pPr>
    <w:rPr>
      <w:rFonts w:ascii="Book Antiqua" w:eastAsia="Times New Roman" w:hAnsi="Book Antiqua" w:cs="Times New Roman"/>
      <w:sz w:val="22"/>
      <w:szCs w:val="22"/>
      <w:lang w:eastAsia="en-AU"/>
    </w:rPr>
  </w:style>
  <w:style w:type="character" w:customStyle="1" w:styleId="SingleSpacingChar">
    <w:name w:val="Single Spacing Char"/>
    <w:basedOn w:val="DefaultParagraphFont"/>
    <w:link w:val="SingleSpacing"/>
    <w:locked/>
    <w:rsid w:val="0010488E"/>
    <w:rPr>
      <w:rFonts w:ascii="Book Antiqua" w:eastAsia="Times New Roman" w:hAnsi="Book Antiqua" w:cs="Times New Roman"/>
      <w:sz w:val="22"/>
      <w:szCs w:val="22"/>
      <w:lang w:val="en-AU" w:eastAsia="en-AU"/>
    </w:rPr>
  </w:style>
  <w:style w:type="paragraph" w:customStyle="1" w:styleId="ExecSumHeading">
    <w:name w:val="Exec Sum Heading"/>
    <w:basedOn w:val="Heading1"/>
    <w:next w:val="Normal"/>
    <w:uiPriority w:val="99"/>
    <w:rsid w:val="0010488E"/>
    <w:pPr>
      <w:numPr>
        <w:numId w:val="0"/>
      </w:numPr>
      <w:spacing w:after="360" w:line="320" w:lineRule="atLeast"/>
      <w:jc w:val="both"/>
    </w:pPr>
    <w:rPr>
      <w:rFonts w:ascii="Bookman Old Style" w:eastAsia="Times New Roman" w:hAnsi="Bookman Old Style" w:cs="Times New Roman"/>
      <w:caps/>
      <w:color w:val="008000"/>
      <w:sz w:val="28"/>
      <w:szCs w:val="28"/>
      <w:lang w:eastAsia="en-AU"/>
    </w:rPr>
  </w:style>
  <w:style w:type="paragraph" w:customStyle="1" w:styleId="RefJobNumber">
    <w:name w:val="Ref Job Number"/>
    <w:next w:val="SingleSpacing"/>
    <w:uiPriority w:val="99"/>
    <w:rsid w:val="0010488E"/>
    <w:pPr>
      <w:spacing w:after="120"/>
    </w:pPr>
    <w:rPr>
      <w:rFonts w:ascii="Book Antiqua" w:eastAsia="Times New Roman" w:hAnsi="Book Antiqua" w:cs="Times New Roman"/>
      <w:sz w:val="16"/>
      <w:szCs w:val="16"/>
      <w:lang w:val="en-AU"/>
    </w:rPr>
  </w:style>
  <w:style w:type="paragraph" w:customStyle="1" w:styleId="TableHeading0">
    <w:name w:val="Table Heading"/>
    <w:basedOn w:val="Normal"/>
    <w:next w:val="Normal"/>
    <w:uiPriority w:val="99"/>
    <w:rsid w:val="0010488E"/>
    <w:pPr>
      <w:keepNext/>
      <w:keepLines/>
      <w:spacing w:before="60" w:after="60" w:line="240" w:lineRule="auto"/>
    </w:pPr>
    <w:rPr>
      <w:rFonts w:ascii="Book Antiqua" w:eastAsia="Times New Roman" w:hAnsi="Book Antiqua" w:cs="Times New Roman"/>
      <w:b/>
      <w:bCs/>
      <w:szCs w:val="22"/>
      <w:lang w:eastAsia="en-AU"/>
    </w:rPr>
  </w:style>
  <w:style w:type="paragraph" w:customStyle="1" w:styleId="Bullet2">
    <w:name w:val="Bullet 2"/>
    <w:basedOn w:val="Normal"/>
    <w:uiPriority w:val="99"/>
    <w:rsid w:val="0010488E"/>
    <w:pPr>
      <w:tabs>
        <w:tab w:val="num" w:pos="397"/>
      </w:tabs>
      <w:spacing w:before="60" w:after="80" w:line="320" w:lineRule="atLeast"/>
      <w:ind w:left="397" w:hanging="397"/>
      <w:jc w:val="both"/>
    </w:pPr>
    <w:rPr>
      <w:rFonts w:ascii="Book Antiqua" w:eastAsia="Times New Roman" w:hAnsi="Book Antiqua" w:cs="Times New Roman"/>
      <w:sz w:val="22"/>
      <w:szCs w:val="22"/>
      <w:lang w:eastAsia="en-AU"/>
    </w:rPr>
  </w:style>
  <w:style w:type="paragraph" w:customStyle="1" w:styleId="Exhibit">
    <w:name w:val="Exhibit"/>
    <w:basedOn w:val="Normal"/>
    <w:uiPriority w:val="99"/>
    <w:rsid w:val="0010488E"/>
    <w:pPr>
      <w:pBdr>
        <w:top w:val="single" w:sz="4" w:space="1" w:color="auto"/>
        <w:left w:val="single" w:sz="4" w:space="4" w:color="auto"/>
        <w:bottom w:val="single" w:sz="4" w:space="1" w:color="auto"/>
        <w:right w:val="single" w:sz="4" w:space="4" w:color="auto"/>
      </w:pBdr>
      <w:spacing w:before="80" w:after="80" w:line="280" w:lineRule="atLeast"/>
      <w:ind w:left="567" w:right="567"/>
      <w:jc w:val="both"/>
    </w:pPr>
    <w:rPr>
      <w:rFonts w:ascii="Book Antiqua" w:eastAsia="Times New Roman" w:hAnsi="Book Antiqua" w:cs="Times New Roman"/>
      <w:sz w:val="18"/>
      <w:szCs w:val="20"/>
      <w:lang w:eastAsia="en-AU"/>
    </w:rPr>
  </w:style>
  <w:style w:type="paragraph" w:customStyle="1" w:styleId="Bullet3">
    <w:name w:val="Bullet 3"/>
    <w:basedOn w:val="Normal"/>
    <w:uiPriority w:val="99"/>
    <w:rsid w:val="0010488E"/>
    <w:pPr>
      <w:spacing w:before="60" w:after="80" w:line="320" w:lineRule="atLeast"/>
      <w:ind w:left="360" w:hanging="360"/>
      <w:jc w:val="both"/>
    </w:pPr>
    <w:rPr>
      <w:rFonts w:ascii="Book Antiqua" w:eastAsia="Times New Roman" w:hAnsi="Book Antiqua" w:cs="Times New Roman"/>
      <w:sz w:val="22"/>
      <w:szCs w:val="22"/>
      <w:lang w:eastAsia="en-AU"/>
    </w:rPr>
  </w:style>
  <w:style w:type="paragraph" w:customStyle="1" w:styleId="CV1stHeadline">
    <w:name w:val="CV 1st Headline"/>
    <w:uiPriority w:val="99"/>
    <w:rsid w:val="0010488E"/>
    <w:pPr>
      <w:keepNext/>
      <w:keepLines/>
      <w:tabs>
        <w:tab w:val="left" w:pos="2880"/>
      </w:tabs>
    </w:pPr>
    <w:rPr>
      <w:rFonts w:ascii="Book Antiqua" w:eastAsia="Times New Roman" w:hAnsi="Book Antiqua" w:cs="Times New Roman"/>
      <w:b/>
      <w:bCs/>
      <w:caps/>
      <w:noProof/>
      <w:sz w:val="22"/>
      <w:szCs w:val="22"/>
    </w:rPr>
  </w:style>
  <w:style w:type="paragraph" w:customStyle="1" w:styleId="CV2ndHeadline">
    <w:name w:val="CV 2nd Headline"/>
    <w:basedOn w:val="CV1stHeadline"/>
    <w:uiPriority w:val="99"/>
    <w:rsid w:val="0010488E"/>
  </w:style>
  <w:style w:type="paragraph" w:customStyle="1" w:styleId="SideQuote">
    <w:name w:val="Side Quote"/>
    <w:basedOn w:val="Normal"/>
    <w:next w:val="Normal"/>
    <w:uiPriority w:val="99"/>
    <w:rsid w:val="0010488E"/>
    <w:pPr>
      <w:framePr w:w="1701" w:h="1247" w:hSpace="181" w:vSpace="181" w:wrap="around" w:vAnchor="text" w:hAnchor="page" w:y="307"/>
      <w:numPr>
        <w:numId w:val="62"/>
      </w:numPr>
      <w:pBdr>
        <w:top w:val="single" w:sz="6" w:space="4" w:color="auto"/>
        <w:left w:val="single" w:sz="6" w:space="3" w:color="auto"/>
        <w:bottom w:val="single" w:sz="6" w:space="4" w:color="auto"/>
        <w:right w:val="single" w:sz="6" w:space="3" w:color="auto"/>
      </w:pBdr>
      <w:tabs>
        <w:tab w:val="clear" w:pos="360"/>
      </w:tabs>
      <w:spacing w:after="0" w:line="240" w:lineRule="auto"/>
      <w:ind w:left="0" w:right="113" w:firstLine="0"/>
    </w:pPr>
    <w:rPr>
      <w:rFonts w:ascii="Book Antiqua" w:eastAsia="Times New Roman" w:hAnsi="Book Antiqua" w:cs="Times New Roman"/>
      <w:i/>
      <w:iCs/>
      <w:sz w:val="18"/>
      <w:szCs w:val="20"/>
      <w:lang w:eastAsia="en-AU"/>
    </w:rPr>
  </w:style>
  <w:style w:type="paragraph" w:customStyle="1" w:styleId="TableofContents">
    <w:name w:val="Table of Contents"/>
    <w:basedOn w:val="Normal"/>
    <w:next w:val="SingleSpacing"/>
    <w:uiPriority w:val="99"/>
    <w:rsid w:val="0010488E"/>
    <w:pPr>
      <w:tabs>
        <w:tab w:val="right" w:pos="8505"/>
      </w:tabs>
      <w:spacing w:after="0" w:line="240" w:lineRule="auto"/>
      <w:jc w:val="both"/>
    </w:pPr>
    <w:rPr>
      <w:rFonts w:ascii="Bookman Old Style" w:eastAsia="Times New Roman" w:hAnsi="Bookman Old Style" w:cs="Times New Roman"/>
      <w:b/>
      <w:bCs/>
      <w:caps/>
      <w:color w:val="008000"/>
      <w:sz w:val="24"/>
      <w:szCs w:val="28"/>
      <w:lang w:eastAsia="en-AU"/>
    </w:rPr>
  </w:style>
  <w:style w:type="paragraph" w:customStyle="1" w:styleId="bulletalpha">
    <w:name w:val="bullet alpha"/>
    <w:basedOn w:val="Normal"/>
    <w:uiPriority w:val="99"/>
    <w:rsid w:val="0010488E"/>
    <w:pPr>
      <w:tabs>
        <w:tab w:val="num" w:pos="397"/>
        <w:tab w:val="left" w:pos="567"/>
      </w:tabs>
      <w:spacing w:before="60" w:after="80" w:line="320" w:lineRule="atLeast"/>
      <w:ind w:left="567" w:hanging="567"/>
      <w:jc w:val="both"/>
    </w:pPr>
    <w:rPr>
      <w:rFonts w:ascii="Book Antiqua" w:eastAsia="Times New Roman" w:hAnsi="Book Antiqua" w:cs="Times New Roman"/>
      <w:sz w:val="22"/>
      <w:szCs w:val="22"/>
      <w:lang w:eastAsia="en-AU"/>
    </w:rPr>
  </w:style>
  <w:style w:type="paragraph" w:customStyle="1" w:styleId="Client">
    <w:name w:val="Client"/>
    <w:basedOn w:val="Normal"/>
    <w:uiPriority w:val="99"/>
    <w:rsid w:val="0010488E"/>
    <w:pPr>
      <w:spacing w:before="80" w:after="80"/>
      <w:jc w:val="right"/>
    </w:pPr>
    <w:rPr>
      <w:rFonts w:ascii="Book Antiqua" w:eastAsia="Times New Roman" w:hAnsi="Book Antiqua" w:cs="Times New Roman"/>
      <w:b/>
      <w:sz w:val="40"/>
      <w:szCs w:val="32"/>
      <w:lang w:eastAsia="en-AU"/>
    </w:rPr>
  </w:style>
  <w:style w:type="paragraph" w:customStyle="1" w:styleId="bulletnumbered">
    <w:name w:val="bullet numbered"/>
    <w:basedOn w:val="Bullet"/>
    <w:uiPriority w:val="99"/>
    <w:rsid w:val="0010488E"/>
  </w:style>
  <w:style w:type="paragraph" w:customStyle="1" w:styleId="bulletroman">
    <w:name w:val="bullet roman"/>
    <w:basedOn w:val="Normal"/>
    <w:uiPriority w:val="99"/>
    <w:rsid w:val="0010488E"/>
    <w:pPr>
      <w:tabs>
        <w:tab w:val="num" w:pos="397"/>
        <w:tab w:val="num" w:pos="567"/>
      </w:tabs>
      <w:spacing w:before="60" w:after="80" w:line="320" w:lineRule="atLeast"/>
      <w:ind w:left="567" w:hanging="567"/>
      <w:jc w:val="both"/>
    </w:pPr>
    <w:rPr>
      <w:rFonts w:ascii="Book Antiqua" w:eastAsia="Times New Roman" w:hAnsi="Book Antiqua" w:cs="Times New Roman"/>
      <w:sz w:val="22"/>
      <w:szCs w:val="22"/>
      <w:lang w:eastAsia="en-AU"/>
    </w:rPr>
  </w:style>
  <w:style w:type="paragraph" w:customStyle="1" w:styleId="ExecSumsub-heading1">
    <w:name w:val="Exec Sum sub-heading 1"/>
    <w:basedOn w:val="Normal"/>
    <w:next w:val="Normal"/>
    <w:uiPriority w:val="99"/>
    <w:rsid w:val="0010488E"/>
    <w:pPr>
      <w:spacing w:before="240" w:after="240" w:line="320" w:lineRule="atLeast"/>
      <w:jc w:val="both"/>
    </w:pPr>
    <w:rPr>
      <w:rFonts w:ascii="Book Antiqua" w:eastAsia="Times New Roman" w:hAnsi="Book Antiqua" w:cs="Times New Roman"/>
      <w:b/>
      <w:bCs/>
      <w:color w:val="008000"/>
      <w:sz w:val="24"/>
      <w:lang w:eastAsia="en-AU"/>
    </w:rPr>
  </w:style>
  <w:style w:type="paragraph" w:customStyle="1" w:styleId="ExecSumsub-heading2">
    <w:name w:val="Exec Sum sub-heading 2"/>
    <w:basedOn w:val="ExecSumsub-heading1"/>
    <w:next w:val="Normal"/>
    <w:uiPriority w:val="99"/>
    <w:rsid w:val="0010488E"/>
  </w:style>
  <w:style w:type="paragraph" w:customStyle="1" w:styleId="Version">
    <w:name w:val="Version"/>
    <w:basedOn w:val="Normal"/>
    <w:uiPriority w:val="99"/>
    <w:rsid w:val="0010488E"/>
    <w:pPr>
      <w:tabs>
        <w:tab w:val="num" w:pos="2160"/>
      </w:tabs>
      <w:spacing w:after="120" w:line="240" w:lineRule="auto"/>
      <w:ind w:left="360" w:hanging="360"/>
      <w:jc w:val="both"/>
    </w:pPr>
    <w:rPr>
      <w:rFonts w:ascii="Book Antiqua" w:eastAsia="Times New Roman" w:hAnsi="Book Antiqua" w:cs="Times New Roman"/>
      <w:b/>
      <w:bCs/>
      <w:color w:val="008000"/>
      <w:sz w:val="24"/>
      <w:lang w:eastAsia="en-AU"/>
    </w:rPr>
  </w:style>
  <w:style w:type="paragraph" w:customStyle="1" w:styleId="ContentsHead">
    <w:name w:val="Contents Head"/>
    <w:basedOn w:val="Normal"/>
    <w:uiPriority w:val="99"/>
    <w:rsid w:val="0010488E"/>
    <w:pPr>
      <w:tabs>
        <w:tab w:val="right" w:pos="8505"/>
      </w:tabs>
      <w:spacing w:after="0" w:line="360" w:lineRule="atLeast"/>
      <w:jc w:val="both"/>
    </w:pPr>
    <w:rPr>
      <w:rFonts w:ascii="Book Antiqua" w:eastAsia="Times New Roman" w:hAnsi="Book Antiqua" w:cs="Times New Roman"/>
      <w:b/>
      <w:bCs/>
      <w:caps/>
      <w:color w:val="008000"/>
      <w:sz w:val="28"/>
      <w:szCs w:val="28"/>
      <w:lang w:eastAsia="en-AU"/>
    </w:rPr>
  </w:style>
  <w:style w:type="paragraph" w:customStyle="1" w:styleId="Customer">
    <w:name w:val="Customer"/>
    <w:basedOn w:val="Normal"/>
    <w:uiPriority w:val="99"/>
    <w:rsid w:val="0010488E"/>
    <w:pPr>
      <w:spacing w:before="120" w:after="120" w:line="320" w:lineRule="atLeast"/>
      <w:jc w:val="both"/>
    </w:pPr>
    <w:rPr>
      <w:rFonts w:ascii="Book Antiqua" w:eastAsia="Times New Roman" w:hAnsi="Book Antiqua" w:cs="Times New Roman"/>
      <w:sz w:val="32"/>
      <w:szCs w:val="32"/>
      <w:lang w:eastAsia="en-AU"/>
    </w:rPr>
  </w:style>
  <w:style w:type="paragraph" w:customStyle="1" w:styleId="Heading">
    <w:name w:val="Heading"/>
    <w:basedOn w:val="Normal"/>
    <w:uiPriority w:val="99"/>
    <w:rsid w:val="0010488E"/>
    <w:pPr>
      <w:keepNext/>
      <w:keepLines/>
      <w:pageBreakBefore/>
      <w:spacing w:before="240" w:after="360" w:line="320" w:lineRule="atLeast"/>
      <w:jc w:val="both"/>
      <w:outlineLvl w:val="0"/>
    </w:pPr>
    <w:rPr>
      <w:rFonts w:ascii="Bookman Old Style" w:eastAsia="Times New Roman" w:hAnsi="Bookman Old Style" w:cs="Times New Roman"/>
      <w:b/>
      <w:bCs/>
      <w:caps/>
      <w:color w:val="008000"/>
      <w:sz w:val="28"/>
      <w:szCs w:val="28"/>
      <w:lang w:eastAsia="en-AU"/>
    </w:rPr>
  </w:style>
  <w:style w:type="paragraph" w:customStyle="1" w:styleId="Fax">
    <w:name w:val="Fax"/>
    <w:next w:val="Normal"/>
    <w:rsid w:val="0010488E"/>
    <w:pPr>
      <w:spacing w:line="240" w:lineRule="atLeast"/>
      <w:jc w:val="center"/>
    </w:pPr>
    <w:rPr>
      <w:rFonts w:ascii="Swis721 BT" w:eastAsia="Times New Roman" w:hAnsi="Swis721 BT" w:cs="Times New Roman"/>
      <w:szCs w:val="20"/>
      <w:lang w:val="en-AU"/>
    </w:rPr>
  </w:style>
  <w:style w:type="paragraph" w:customStyle="1" w:styleId="CaptionFig">
    <w:name w:val="Caption Fig"/>
    <w:basedOn w:val="Caption"/>
    <w:rsid w:val="0010488E"/>
    <w:pPr>
      <w:keepLines/>
      <w:tabs>
        <w:tab w:val="num" w:pos="397"/>
      </w:tabs>
      <w:spacing w:before="0" w:after="120" w:line="240" w:lineRule="auto"/>
      <w:ind w:left="397" w:hanging="397"/>
    </w:pPr>
    <w:rPr>
      <w:rFonts w:ascii="Arial" w:eastAsia="Times New Roman" w:hAnsi="Arial" w:cs="Times New Roman"/>
      <w:color w:val="808000"/>
      <w:szCs w:val="20"/>
    </w:rPr>
  </w:style>
  <w:style w:type="paragraph" w:customStyle="1" w:styleId="headingTable">
    <w:name w:val="heading Table"/>
    <w:basedOn w:val="Normal"/>
    <w:next w:val="Normal"/>
    <w:uiPriority w:val="99"/>
    <w:rsid w:val="0010488E"/>
    <w:pPr>
      <w:keepNext/>
      <w:keepLines/>
      <w:spacing w:after="60"/>
      <w:jc w:val="both"/>
    </w:pPr>
    <w:rPr>
      <w:rFonts w:ascii="Swis721 BT" w:eastAsia="Times New Roman" w:hAnsi="Swis721 BT" w:cs="Times New Roman"/>
      <w:b/>
      <w:sz w:val="24"/>
      <w:szCs w:val="20"/>
    </w:rPr>
  </w:style>
  <w:style w:type="paragraph" w:customStyle="1" w:styleId="StandardParaChar1">
    <w:name w:val="Standard Para Char1"/>
    <w:uiPriority w:val="99"/>
    <w:rsid w:val="0010488E"/>
    <w:pPr>
      <w:spacing w:after="120" w:line="340" w:lineRule="atLeast"/>
      <w:jc w:val="both"/>
    </w:pPr>
    <w:rPr>
      <w:rFonts w:ascii="Arial Narrow" w:eastAsia="Times New Roman" w:hAnsi="Arial Narrow" w:cs="Times New Roman"/>
      <w:szCs w:val="20"/>
      <w:lang w:val="en-AU"/>
    </w:rPr>
  </w:style>
  <w:style w:type="paragraph" w:customStyle="1" w:styleId="StandardPara">
    <w:name w:val="Standard Para"/>
    <w:uiPriority w:val="99"/>
    <w:rsid w:val="0010488E"/>
    <w:pPr>
      <w:spacing w:after="120" w:line="340" w:lineRule="atLeast"/>
      <w:jc w:val="both"/>
    </w:pPr>
    <w:rPr>
      <w:rFonts w:ascii="Arial Narrow" w:eastAsia="Times New Roman" w:hAnsi="Arial Narrow" w:cs="Times New Roman"/>
      <w:szCs w:val="20"/>
      <w:lang w:val="en-AU" w:eastAsia="en-AU"/>
    </w:rPr>
  </w:style>
  <w:style w:type="paragraph" w:customStyle="1" w:styleId="Let-StdPara">
    <w:name w:val="Let-Std Para"/>
    <w:basedOn w:val="Normal"/>
    <w:uiPriority w:val="99"/>
    <w:rsid w:val="0010488E"/>
    <w:pPr>
      <w:spacing w:after="0" w:line="240" w:lineRule="auto"/>
      <w:jc w:val="both"/>
    </w:pPr>
    <w:rPr>
      <w:rFonts w:ascii="Swis721 BT" w:eastAsia="Times New Roman" w:hAnsi="Swis721 BT" w:cs="Times New Roman"/>
      <w:sz w:val="24"/>
      <w:szCs w:val="20"/>
      <w:lang w:val="en-GB"/>
    </w:rPr>
  </w:style>
  <w:style w:type="paragraph" w:customStyle="1" w:styleId="FigureHeading">
    <w:name w:val="Figure Heading"/>
    <w:basedOn w:val="Normal"/>
    <w:next w:val="Normal"/>
    <w:uiPriority w:val="99"/>
    <w:rsid w:val="0010488E"/>
    <w:pPr>
      <w:keepNext/>
      <w:keepLines/>
      <w:spacing w:after="60"/>
      <w:ind w:left="1134" w:hanging="1134"/>
      <w:jc w:val="both"/>
    </w:pPr>
    <w:rPr>
      <w:rFonts w:ascii="Arial Narrow" w:eastAsia="Times New Roman" w:hAnsi="Arial Narrow" w:cs="Times New Roman"/>
      <w:b/>
      <w:sz w:val="24"/>
      <w:szCs w:val="20"/>
    </w:rPr>
  </w:style>
  <w:style w:type="paragraph" w:customStyle="1" w:styleId="AppHeadingChar">
    <w:name w:val="App Heading Char"/>
    <w:basedOn w:val="Normal"/>
    <w:next w:val="StandardParaChar1"/>
    <w:autoRedefine/>
    <w:uiPriority w:val="99"/>
    <w:rsid w:val="0010488E"/>
    <w:pPr>
      <w:tabs>
        <w:tab w:val="num" w:pos="360"/>
      </w:tabs>
      <w:spacing w:after="120" w:line="340" w:lineRule="atLeast"/>
      <w:ind w:left="360" w:hanging="360"/>
      <w:outlineLvl w:val="0"/>
    </w:pPr>
    <w:rPr>
      <w:rFonts w:ascii="Arial Narrow" w:eastAsia="Times New Roman" w:hAnsi="Arial Narrow" w:cs="Times New Roman"/>
      <w:b/>
      <w:caps/>
      <w:sz w:val="24"/>
      <w:szCs w:val="20"/>
    </w:rPr>
  </w:style>
  <w:style w:type="paragraph" w:customStyle="1" w:styleId="Table10">
    <w:name w:val="Table10"/>
    <w:basedOn w:val="Normal"/>
    <w:uiPriority w:val="99"/>
    <w:rsid w:val="0010488E"/>
    <w:pPr>
      <w:spacing w:before="60" w:after="60"/>
      <w:jc w:val="both"/>
    </w:pPr>
    <w:rPr>
      <w:rFonts w:ascii="Swis721 BT" w:eastAsia="Times New Roman" w:hAnsi="Swis721 BT" w:cs="Times New Roman"/>
      <w:color w:val="000000"/>
      <w:szCs w:val="20"/>
      <w:lang w:val="en-US"/>
    </w:rPr>
  </w:style>
  <w:style w:type="paragraph" w:customStyle="1" w:styleId="Question">
    <w:name w:val="Question"/>
    <w:basedOn w:val="Bullet2"/>
    <w:uiPriority w:val="99"/>
    <w:rsid w:val="0010488E"/>
    <w:pPr>
      <w:tabs>
        <w:tab w:val="clear" w:pos="397"/>
        <w:tab w:val="num" w:pos="360"/>
      </w:tabs>
      <w:spacing w:after="120" w:line="340" w:lineRule="atLeast"/>
      <w:ind w:left="340" w:hanging="340"/>
    </w:pPr>
    <w:rPr>
      <w:rFonts w:ascii="Arial Narrow" w:hAnsi="Arial Narrow"/>
      <w:sz w:val="24"/>
      <w:szCs w:val="20"/>
      <w:lang w:val="en-US" w:eastAsia="en-US"/>
    </w:rPr>
  </w:style>
  <w:style w:type="paragraph" w:customStyle="1" w:styleId="NameAddress">
    <w:name w:val="Name &amp; Address"/>
    <w:uiPriority w:val="99"/>
    <w:rsid w:val="0010488E"/>
    <w:pPr>
      <w:spacing w:line="240" w:lineRule="atLeast"/>
    </w:pPr>
    <w:rPr>
      <w:rFonts w:ascii="Swis721 BT" w:eastAsia="Times New Roman" w:hAnsi="Swis721 BT" w:cs="Times New Roman"/>
      <w:szCs w:val="20"/>
      <w:lang w:val="en-AU"/>
    </w:rPr>
  </w:style>
  <w:style w:type="paragraph" w:customStyle="1" w:styleId="headingxx">
    <w:name w:val="heading x.x"/>
    <w:basedOn w:val="headingx"/>
    <w:next w:val="Normal"/>
    <w:uiPriority w:val="99"/>
    <w:rsid w:val="0010488E"/>
  </w:style>
  <w:style w:type="paragraph" w:customStyle="1" w:styleId="headingx">
    <w:name w:val="heading x"/>
    <w:next w:val="Normal"/>
    <w:uiPriority w:val="99"/>
    <w:rsid w:val="0010488E"/>
    <w:pPr>
      <w:keepNext/>
      <w:keepLines/>
      <w:spacing w:after="240" w:line="240" w:lineRule="atLeast"/>
      <w:jc w:val="both"/>
    </w:pPr>
    <w:rPr>
      <w:rFonts w:ascii="Swis721 BT" w:eastAsia="Times New Roman" w:hAnsi="Swis721 BT" w:cs="Times New Roman"/>
      <w:b/>
      <w:szCs w:val="20"/>
      <w:lang w:val="en-AU"/>
    </w:rPr>
  </w:style>
  <w:style w:type="paragraph" w:customStyle="1" w:styleId="TableTextHead">
    <w:name w:val="Table Text Head"/>
    <w:basedOn w:val="TableText0"/>
    <w:uiPriority w:val="99"/>
    <w:rsid w:val="0010488E"/>
    <w:pPr>
      <w:spacing w:line="240" w:lineRule="atLeast"/>
      <w:jc w:val="center"/>
    </w:pPr>
    <w:rPr>
      <w:rFonts w:ascii="Swis721 BT" w:hAnsi="Swis721 BT" w:cs="Times New Roman"/>
      <w:lang w:val="en-GB"/>
    </w:rPr>
  </w:style>
  <w:style w:type="paragraph" w:customStyle="1" w:styleId="standard">
    <w:name w:val="standard"/>
    <w:basedOn w:val="Normal"/>
    <w:next w:val="Normal"/>
    <w:uiPriority w:val="99"/>
    <w:rsid w:val="0010488E"/>
    <w:pPr>
      <w:spacing w:after="120" w:line="340" w:lineRule="atLeast"/>
      <w:jc w:val="both"/>
    </w:pPr>
    <w:rPr>
      <w:rFonts w:ascii="Arial Narrow" w:eastAsia="Times New Roman" w:hAnsi="Arial Narrow" w:cs="Times New Roman"/>
      <w:sz w:val="24"/>
      <w:szCs w:val="20"/>
      <w:lang w:val="en-US"/>
    </w:rPr>
  </w:style>
  <w:style w:type="paragraph" w:customStyle="1" w:styleId="NumStandardPara">
    <w:name w:val="Num Standard Para"/>
    <w:basedOn w:val="Normal"/>
    <w:uiPriority w:val="99"/>
    <w:rsid w:val="0010488E"/>
    <w:pPr>
      <w:tabs>
        <w:tab w:val="num" w:pos="720"/>
      </w:tabs>
      <w:spacing w:after="120" w:line="340" w:lineRule="atLeast"/>
      <w:ind w:left="720" w:hanging="360"/>
      <w:jc w:val="both"/>
    </w:pPr>
    <w:rPr>
      <w:rFonts w:ascii="Arial Narrow" w:eastAsia="Times New Roman" w:hAnsi="Arial Narrow" w:cs="Times New Roman"/>
      <w:sz w:val="24"/>
      <w:szCs w:val="20"/>
      <w:lang w:eastAsia="en-AU"/>
    </w:rPr>
  </w:style>
  <w:style w:type="character" w:customStyle="1" w:styleId="Heading3Char1">
    <w:name w:val="Heading 3 Char1"/>
    <w:aliases w:val="h3 Char1,Underavsn. Char,H3 Char1,h3 sub heading Char1,C Sub-Sub/Italic Char1,3 Char1,Normal + num Char,hd3 Char,1st sub-clause Char,Para3 Char,EOI - Heading 3 Char,Head 3 Char1,subhead Char,Heading 3 Char1 Char,Level 3 Head Char"/>
    <w:basedOn w:val="DefaultParagraphFont"/>
    <w:uiPriority w:val="99"/>
    <w:rsid w:val="0010488E"/>
    <w:rPr>
      <w:rFonts w:ascii="Arial Narrow" w:hAnsi="Arial Narrow" w:cs="Times New Roman"/>
      <w:i/>
      <w:sz w:val="24"/>
      <w:lang w:val="en-AU" w:eastAsia="en-US" w:bidi="ar-SA"/>
    </w:rPr>
  </w:style>
  <w:style w:type="character" w:customStyle="1" w:styleId="StandardParaChar1Char">
    <w:name w:val="Standard Para Char1 Char"/>
    <w:basedOn w:val="DefaultParagraphFont"/>
    <w:uiPriority w:val="99"/>
    <w:rsid w:val="0010488E"/>
    <w:rPr>
      <w:rFonts w:ascii="Arial Narrow" w:hAnsi="Arial Narrow" w:cs="Times New Roman"/>
      <w:sz w:val="24"/>
      <w:lang w:val="en-AU" w:eastAsia="en-US" w:bidi="ar-SA"/>
    </w:rPr>
  </w:style>
  <w:style w:type="character" w:customStyle="1" w:styleId="AppHeadingCharChar">
    <w:name w:val="App Heading Char Char"/>
    <w:basedOn w:val="DefaultParagraphFont"/>
    <w:uiPriority w:val="99"/>
    <w:rsid w:val="0010488E"/>
    <w:rPr>
      <w:rFonts w:ascii="Arial Narrow" w:hAnsi="Arial Narrow" w:cs="Times New Roman"/>
      <w:b/>
      <w:caps/>
      <w:sz w:val="24"/>
      <w:lang w:val="en-AU" w:eastAsia="en-US" w:bidi="ar-SA"/>
    </w:rPr>
  </w:style>
  <w:style w:type="character" w:customStyle="1" w:styleId="AppHeading3Char">
    <w:name w:val="App Heading 3 Char"/>
    <w:uiPriority w:val="99"/>
    <w:rsid w:val="0010488E"/>
    <w:rPr>
      <w:rFonts w:ascii="Arial Narrow" w:hAnsi="Arial Narrow"/>
      <w:b/>
      <w:caps/>
      <w:sz w:val="24"/>
      <w:lang w:val="en-AU" w:eastAsia="en-US"/>
    </w:rPr>
  </w:style>
  <w:style w:type="character" w:customStyle="1" w:styleId="CaptionFigChar">
    <w:name w:val="Caption Fig Char"/>
    <w:basedOn w:val="CaptionChar"/>
    <w:uiPriority w:val="99"/>
    <w:rsid w:val="0010488E"/>
    <w:rPr>
      <w:rFonts w:ascii="Arial Narrow" w:hAnsi="Arial Narrow" w:cs="Times New Roman"/>
      <w:b/>
      <w:sz w:val="22"/>
      <w:szCs w:val="22"/>
      <w:lang w:val="en-AU" w:eastAsia="en-US" w:bidi="ar-SA"/>
    </w:rPr>
  </w:style>
  <w:style w:type="paragraph" w:customStyle="1" w:styleId="xl24">
    <w:name w:val="xl24"/>
    <w:basedOn w:val="Normal"/>
    <w:uiPriority w:val="99"/>
    <w:rsid w:val="0010488E"/>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4"/>
      <w:lang w:val="en-US"/>
    </w:rPr>
  </w:style>
  <w:style w:type="paragraph" w:customStyle="1" w:styleId="xl25">
    <w:name w:val="xl25"/>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26">
    <w:name w:val="xl26"/>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27">
    <w:name w:val="xl27"/>
    <w:basedOn w:val="Normal"/>
    <w:uiPriority w:val="99"/>
    <w:rsid w:val="001048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lang w:val="en-US"/>
    </w:rPr>
  </w:style>
  <w:style w:type="paragraph" w:customStyle="1" w:styleId="xl28">
    <w:name w:val="xl28"/>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29">
    <w:name w:val="xl29"/>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30">
    <w:name w:val="xl30"/>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31">
    <w:name w:val="xl31"/>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xl32">
    <w:name w:val="xl32"/>
    <w:basedOn w:val="Normal"/>
    <w:uiPriority w:val="99"/>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val="en-US"/>
    </w:rPr>
  </w:style>
  <w:style w:type="paragraph" w:customStyle="1" w:styleId="head1text">
    <w:name w:val="head 1 text"/>
    <w:basedOn w:val="Normal"/>
    <w:uiPriority w:val="99"/>
    <w:rsid w:val="0010488E"/>
    <w:pPr>
      <w:spacing w:after="240"/>
      <w:ind w:left="1077"/>
    </w:pPr>
    <w:rPr>
      <w:rFonts w:eastAsia="Times New Roman" w:cs="Times New Roman"/>
      <w:sz w:val="22"/>
      <w:szCs w:val="20"/>
    </w:rPr>
  </w:style>
  <w:style w:type="paragraph" w:customStyle="1" w:styleId="Heading3docChar">
    <w:name w:val="Heading 3 doc Char"/>
    <w:basedOn w:val="Normal"/>
    <w:autoRedefine/>
    <w:uiPriority w:val="99"/>
    <w:rsid w:val="0010488E"/>
    <w:pPr>
      <w:spacing w:after="160" w:line="240" w:lineRule="exact"/>
      <w:jc w:val="center"/>
    </w:pPr>
    <w:rPr>
      <w:rFonts w:ascii="Times New Roman" w:eastAsia="MS Mincho" w:hAnsi="Times New Roman" w:cs="Times New Roman"/>
      <w:b/>
      <w:sz w:val="28"/>
      <w:szCs w:val="28"/>
      <w:lang w:val="en-US"/>
    </w:rPr>
  </w:style>
  <w:style w:type="paragraph" w:customStyle="1" w:styleId="StyleHeading2h2After6pt">
    <w:name w:val="Style Heading 2h2 + After:  6 pt"/>
    <w:basedOn w:val="Heading2"/>
    <w:uiPriority w:val="99"/>
    <w:rsid w:val="0010488E"/>
    <w:pPr>
      <w:numPr>
        <w:numId w:val="0"/>
      </w:numPr>
      <w:tabs>
        <w:tab w:val="left" w:pos="851"/>
      </w:tabs>
      <w:spacing w:line="320" w:lineRule="atLeast"/>
      <w:ind w:left="2846" w:hanging="578"/>
      <w:jc w:val="both"/>
    </w:pPr>
    <w:rPr>
      <w:rFonts w:ascii="Book Antiqua" w:eastAsia="Times New Roman" w:hAnsi="Book Antiqua" w:cs="Times New Roman"/>
      <w:color w:val="008000"/>
      <w:szCs w:val="20"/>
      <w:lang w:eastAsia="en-AU"/>
    </w:rPr>
  </w:style>
  <w:style w:type="paragraph" w:customStyle="1" w:styleId="xl64">
    <w:name w:val="xl64"/>
    <w:basedOn w:val="Normal"/>
    <w:rsid w:val="0010488E"/>
    <w:pPr>
      <w:pBdr>
        <w:top w:val="single" w:sz="4" w:space="0" w:color="auto"/>
        <w:right w:val="single" w:sz="4" w:space="0" w:color="auto"/>
      </w:pBdr>
      <w:shd w:val="pct12" w:color="000000" w:fill="C0C0C0"/>
      <w:spacing w:before="100" w:beforeAutospacing="1" w:after="100" w:afterAutospacing="1" w:line="240" w:lineRule="auto"/>
      <w:jc w:val="center"/>
      <w:textAlignment w:val="top"/>
    </w:pPr>
    <w:rPr>
      <w:rFonts w:ascii="Arial Narrow" w:eastAsia="Times New Roman" w:hAnsi="Arial Narrow" w:cs="Times New Roman"/>
      <w:b/>
      <w:bCs/>
      <w:sz w:val="24"/>
      <w:lang w:eastAsia="en-AU"/>
    </w:rPr>
  </w:style>
  <w:style w:type="paragraph" w:customStyle="1" w:styleId="xl65">
    <w:name w:val="xl65"/>
    <w:basedOn w:val="Normal"/>
    <w:rsid w:val="0010488E"/>
    <w:pPr>
      <w:pBdr>
        <w:top w:val="single" w:sz="4" w:space="0" w:color="auto"/>
        <w:right w:val="single" w:sz="4" w:space="0" w:color="auto"/>
      </w:pBdr>
      <w:shd w:val="pct12" w:color="000000" w:fill="C0C0C0"/>
      <w:spacing w:before="100" w:beforeAutospacing="1" w:after="100" w:afterAutospacing="1" w:line="240" w:lineRule="auto"/>
      <w:textAlignment w:val="top"/>
    </w:pPr>
    <w:rPr>
      <w:rFonts w:ascii="Arial Narrow" w:eastAsia="Times New Roman" w:hAnsi="Arial Narrow" w:cs="Times New Roman"/>
      <w:b/>
      <w:bCs/>
      <w:sz w:val="24"/>
      <w:lang w:eastAsia="en-AU"/>
    </w:rPr>
  </w:style>
  <w:style w:type="paragraph" w:customStyle="1" w:styleId="xl66">
    <w:name w:val="xl66"/>
    <w:basedOn w:val="Normal"/>
    <w:rsid w:val="001048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4"/>
      <w:lang w:eastAsia="en-AU"/>
    </w:rPr>
  </w:style>
  <w:style w:type="paragraph" w:customStyle="1" w:styleId="xl67">
    <w:name w:val="xl67"/>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lang w:eastAsia="en-AU"/>
    </w:rPr>
  </w:style>
  <w:style w:type="paragraph" w:customStyle="1" w:styleId="xl68">
    <w:name w:val="xl68"/>
    <w:basedOn w:val="Normal"/>
    <w:rsid w:val="0010488E"/>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4"/>
      <w:lang w:eastAsia="en-AU"/>
    </w:rPr>
  </w:style>
  <w:style w:type="paragraph" w:customStyle="1" w:styleId="xl69">
    <w:name w:val="xl69"/>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0">
    <w:name w:val="xl70"/>
    <w:basedOn w:val="Normal"/>
    <w:rsid w:val="0010488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lang w:eastAsia="en-AU"/>
    </w:rPr>
  </w:style>
  <w:style w:type="paragraph" w:customStyle="1" w:styleId="xl71">
    <w:name w:val="xl71"/>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2">
    <w:name w:val="xl72"/>
    <w:basedOn w:val="Normal"/>
    <w:rsid w:val="0010488E"/>
    <w:pPr>
      <w:pBdr>
        <w:top w:val="single" w:sz="4" w:space="0" w:color="auto"/>
        <w:left w:val="single" w:sz="4" w:space="0" w:color="auto"/>
        <w:right w:val="single" w:sz="4" w:space="0" w:color="auto"/>
      </w:pBdr>
      <w:shd w:val="pct12" w:color="000000" w:fill="C0C0C0"/>
      <w:spacing w:before="100" w:beforeAutospacing="1" w:after="100" w:afterAutospacing="1" w:line="240" w:lineRule="auto"/>
      <w:textAlignment w:val="top"/>
    </w:pPr>
    <w:rPr>
      <w:rFonts w:ascii="Arial Narrow" w:eastAsia="Times New Roman" w:hAnsi="Arial Narrow" w:cs="Times New Roman"/>
      <w:b/>
      <w:bCs/>
      <w:sz w:val="24"/>
      <w:lang w:eastAsia="en-AU"/>
    </w:rPr>
  </w:style>
  <w:style w:type="paragraph" w:customStyle="1" w:styleId="xl73">
    <w:name w:val="xl73"/>
    <w:basedOn w:val="Normal"/>
    <w:rsid w:val="0010488E"/>
    <w:pPr>
      <w:pBdr>
        <w:top w:val="single" w:sz="4" w:space="0" w:color="auto"/>
        <w:left w:val="single" w:sz="4" w:space="0" w:color="auto"/>
        <w:right w:val="single" w:sz="4" w:space="0" w:color="auto"/>
      </w:pBdr>
      <w:shd w:val="pct12" w:color="000000" w:fill="C0C0C0"/>
      <w:spacing w:before="100" w:beforeAutospacing="1" w:after="100" w:afterAutospacing="1" w:line="240" w:lineRule="auto"/>
      <w:jc w:val="center"/>
      <w:textAlignment w:val="top"/>
    </w:pPr>
    <w:rPr>
      <w:rFonts w:ascii="Arial Narrow" w:eastAsia="Times New Roman" w:hAnsi="Arial Narrow" w:cs="Times New Roman"/>
      <w:b/>
      <w:bCs/>
      <w:sz w:val="24"/>
      <w:lang w:eastAsia="en-AU"/>
    </w:rPr>
  </w:style>
  <w:style w:type="paragraph" w:customStyle="1" w:styleId="xl74">
    <w:name w:val="xl74"/>
    <w:basedOn w:val="Normal"/>
    <w:rsid w:val="0010488E"/>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75">
    <w:name w:val="xl75"/>
    <w:basedOn w:val="Normal"/>
    <w:rsid w:val="0010488E"/>
    <w:pPr>
      <w:pBdr>
        <w:left w:val="single" w:sz="4" w:space="0" w:color="000000"/>
      </w:pBd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76">
    <w:name w:val="xl76"/>
    <w:basedOn w:val="Normal"/>
    <w:rsid w:val="0010488E"/>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Narrow" w:eastAsia="Times New Roman" w:hAnsi="Arial Narrow" w:cs="Times New Roman"/>
      <w:sz w:val="24"/>
      <w:lang w:eastAsia="en-AU"/>
    </w:rPr>
  </w:style>
  <w:style w:type="paragraph" w:customStyle="1" w:styleId="xl77">
    <w:name w:val="xl77"/>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8">
    <w:name w:val="xl78"/>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79">
    <w:name w:val="xl79"/>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80">
    <w:name w:val="xl80"/>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81">
    <w:name w:val="xl81"/>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lang w:eastAsia="en-AU"/>
    </w:rPr>
  </w:style>
  <w:style w:type="paragraph" w:customStyle="1" w:styleId="xl82">
    <w:name w:val="xl82"/>
    <w:basedOn w:val="Normal"/>
    <w:rsid w:val="0010488E"/>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i/>
      <w:iCs/>
      <w:sz w:val="24"/>
      <w:lang w:eastAsia="en-AU"/>
    </w:rPr>
  </w:style>
  <w:style w:type="paragraph" w:customStyle="1" w:styleId="xl83">
    <w:name w:val="xl83"/>
    <w:basedOn w:val="Normal"/>
    <w:rsid w:val="0010488E"/>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top"/>
    </w:pPr>
    <w:rPr>
      <w:rFonts w:ascii="Arial Narrow" w:eastAsia="Times New Roman" w:hAnsi="Arial Narrow" w:cs="Times New Roman"/>
      <w:sz w:val="24"/>
      <w:lang w:eastAsia="en-AU"/>
    </w:rPr>
  </w:style>
  <w:style w:type="paragraph" w:customStyle="1" w:styleId="xl84">
    <w:name w:val="xl84"/>
    <w:basedOn w:val="Normal"/>
    <w:rsid w:val="0010488E"/>
    <w:pPr>
      <w:pBdr>
        <w:lef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85">
    <w:name w:val="xl85"/>
    <w:basedOn w:val="Normal"/>
    <w:rsid w:val="0010488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86">
    <w:name w:val="xl86"/>
    <w:basedOn w:val="Normal"/>
    <w:rsid w:val="0010488E"/>
    <w:pPr>
      <w:pBdr>
        <w:left w:val="single" w:sz="4" w:space="0" w:color="000000"/>
      </w:pBdr>
      <w:spacing w:before="100" w:beforeAutospacing="1" w:after="100" w:afterAutospacing="1" w:line="240" w:lineRule="auto"/>
    </w:pPr>
    <w:rPr>
      <w:rFonts w:eastAsia="Times New Roman" w:cs="Arial"/>
      <w:sz w:val="24"/>
      <w:lang w:eastAsia="en-AU"/>
    </w:rPr>
  </w:style>
  <w:style w:type="paragraph" w:customStyle="1" w:styleId="xl87">
    <w:name w:val="xl87"/>
    <w:basedOn w:val="Normal"/>
    <w:rsid w:val="0010488E"/>
    <w:pPr>
      <w:spacing w:before="100" w:beforeAutospacing="1" w:after="100" w:afterAutospacing="1" w:line="240" w:lineRule="auto"/>
    </w:pPr>
    <w:rPr>
      <w:rFonts w:eastAsia="Times New Roman" w:cs="Arial"/>
      <w:sz w:val="24"/>
      <w:lang w:eastAsia="en-AU"/>
    </w:rPr>
  </w:style>
  <w:style w:type="paragraph" w:customStyle="1" w:styleId="xl88">
    <w:name w:val="xl88"/>
    <w:basedOn w:val="Normal"/>
    <w:rsid w:val="0010488E"/>
    <w:pPr>
      <w:pBdr>
        <w:top w:val="single" w:sz="4" w:space="0" w:color="000000"/>
        <w:left w:val="single" w:sz="4" w:space="0" w:color="000000"/>
      </w:pBdr>
      <w:spacing w:before="100" w:beforeAutospacing="1" w:after="100" w:afterAutospacing="1" w:line="240" w:lineRule="auto"/>
    </w:pPr>
    <w:rPr>
      <w:rFonts w:eastAsia="Times New Roman" w:cs="Arial"/>
      <w:sz w:val="24"/>
      <w:lang w:eastAsia="en-AU"/>
    </w:rPr>
  </w:style>
  <w:style w:type="table" w:customStyle="1" w:styleId="TableGrid11">
    <w:name w:val="Table Grid11"/>
    <w:uiPriority w:val="99"/>
    <w:rsid w:val="0010488E"/>
    <w:pPr>
      <w:spacing w:before="80" w:after="80" w:line="320" w:lineRule="atLeast"/>
      <w:jc w:val="both"/>
    </w:pPr>
    <w:rPr>
      <w:rFonts w:ascii="CG Times (W1)" w:eastAsia="Times New Roman" w:hAnsi="CG Times (W1)"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uiPriority w:val="99"/>
    <w:rsid w:val="0010488E"/>
    <w:rPr>
      <w:rFonts w:ascii="Times New Roman" w:eastAsia="Times New Roman" w:hAnsi="Times New Roman" w:cs="Times New Roman"/>
      <w:sz w:val="20"/>
      <w:szCs w:val="20"/>
      <w:lang w:val="en-AU"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Grid3-Accent1">
    <w:name w:val="Medium Grid 3 Accent 1"/>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Classic2">
    <w:name w:val="Table Classic 2"/>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ightList">
    <w:name w:val="Light List"/>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ListBullet"/>
    <w:link w:val="BulletedlistChar"/>
    <w:uiPriority w:val="99"/>
    <w:rsid w:val="0010488E"/>
    <w:pPr>
      <w:tabs>
        <w:tab w:val="clear" w:pos="370"/>
        <w:tab w:val="num" w:pos="360"/>
        <w:tab w:val="num" w:pos="720"/>
      </w:tabs>
      <w:spacing w:after="120" w:line="240" w:lineRule="auto"/>
      <w:ind w:left="360"/>
      <w:contextualSpacing w:val="0"/>
      <w:jc w:val="both"/>
    </w:pPr>
    <w:rPr>
      <w:rFonts w:ascii="Garamond" w:eastAsia="Times New Roman" w:hAnsi="Garamond" w:cs="Times New Roman"/>
      <w:sz w:val="24"/>
    </w:rPr>
  </w:style>
  <w:style w:type="character" w:customStyle="1" w:styleId="BulletedlistChar">
    <w:name w:val="Bulleted list Char"/>
    <w:basedOn w:val="DefaultParagraphFont"/>
    <w:link w:val="Bulletedlist"/>
    <w:uiPriority w:val="99"/>
    <w:locked/>
    <w:rsid w:val="0010488E"/>
    <w:rPr>
      <w:rFonts w:ascii="Garamond" w:eastAsia="Times New Roman" w:hAnsi="Garamond" w:cs="Times New Roman"/>
      <w:lang w:val="en-AU"/>
    </w:rPr>
  </w:style>
  <w:style w:type="character" w:customStyle="1" w:styleId="Para0Char2">
    <w:name w:val="Para 0 Char2"/>
    <w:basedOn w:val="DefaultParagraphFont"/>
    <w:uiPriority w:val="99"/>
    <w:rsid w:val="0010488E"/>
    <w:rPr>
      <w:rFonts w:cs="Times New Roman"/>
      <w:color w:val="000000"/>
      <w:sz w:val="22"/>
      <w:lang w:val="en-GB" w:eastAsia="en-US"/>
    </w:rPr>
  </w:style>
  <w:style w:type="character" w:customStyle="1" w:styleId="Para0Char1">
    <w:name w:val="Para 0 Char1"/>
    <w:basedOn w:val="DefaultParagraphFont"/>
    <w:rsid w:val="0010488E"/>
    <w:rPr>
      <w:rFonts w:cs="Times New Roman"/>
      <w:color w:val="000000"/>
      <w:sz w:val="22"/>
      <w:lang w:val="en-GB" w:eastAsia="en-US"/>
    </w:rPr>
  </w:style>
  <w:style w:type="paragraph" w:customStyle="1" w:styleId="AttachmentHeading">
    <w:name w:val="Attachment Heading"/>
    <w:basedOn w:val="Para0"/>
    <w:uiPriority w:val="99"/>
    <w:rsid w:val="0010488E"/>
    <w:pPr>
      <w:spacing w:before="0" w:after="220" w:line="300" w:lineRule="auto"/>
    </w:pPr>
    <w:rPr>
      <w:rFonts w:ascii="Arial Narrow Bold" w:eastAsia="Times New Roman" w:hAnsi="Arial Narrow Bold" w:cs="Times New Roman"/>
      <w:b/>
      <w:spacing w:val="20"/>
      <w:szCs w:val="20"/>
    </w:rPr>
  </w:style>
  <w:style w:type="paragraph" w:customStyle="1" w:styleId="SKMbodytext">
    <w:name w:val="SKM body text"/>
    <w:basedOn w:val="Normal"/>
    <w:uiPriority w:val="99"/>
    <w:rsid w:val="0010488E"/>
    <w:pPr>
      <w:spacing w:after="200" w:line="240" w:lineRule="auto"/>
    </w:pPr>
    <w:rPr>
      <w:rFonts w:eastAsia="Times New Roman" w:cs="Times New Roman"/>
    </w:rPr>
  </w:style>
  <w:style w:type="paragraph" w:customStyle="1" w:styleId="BHPJobTitle">
    <w:name w:val="BHP Job Title"/>
    <w:basedOn w:val="Normal"/>
    <w:uiPriority w:val="99"/>
    <w:rsid w:val="0010488E"/>
    <w:pPr>
      <w:suppressAutoHyphens/>
      <w:spacing w:after="0"/>
    </w:pPr>
    <w:rPr>
      <w:rFonts w:ascii="Arial Narrow" w:eastAsia="Times New Roman" w:hAnsi="Arial Narrow" w:cs="Times New Roman"/>
      <w:spacing w:val="10"/>
      <w:szCs w:val="20"/>
      <w:lang w:eastAsia="en-AU"/>
    </w:rPr>
  </w:style>
  <w:style w:type="paragraph" w:customStyle="1" w:styleId="Tabletextleft">
    <w:name w:val="Table text left"/>
    <w:basedOn w:val="Para0new"/>
    <w:uiPriority w:val="99"/>
    <w:rsid w:val="0010488E"/>
    <w:pPr>
      <w:spacing w:after="240" w:line="360" w:lineRule="auto"/>
    </w:pPr>
    <w:rPr>
      <w:rFonts w:ascii="Arial Narrow" w:eastAsia="Times New Roman" w:hAnsi="Arial Narrow" w:cs="Times New Roman"/>
      <w:sz w:val="20"/>
      <w:szCs w:val="20"/>
      <w:lang w:eastAsia="en-AU"/>
    </w:rPr>
  </w:style>
  <w:style w:type="paragraph" w:customStyle="1" w:styleId="ProjectExperienceBullet">
    <w:name w:val="Project Experience Bullet"/>
    <w:basedOn w:val="Para0"/>
    <w:uiPriority w:val="99"/>
    <w:rsid w:val="0010488E"/>
    <w:pPr>
      <w:numPr>
        <w:numId w:val="64"/>
      </w:numPr>
      <w:tabs>
        <w:tab w:val="clear" w:pos="720"/>
        <w:tab w:val="num" w:pos="426"/>
      </w:tabs>
      <w:spacing w:before="0" w:line="240" w:lineRule="auto"/>
      <w:ind w:left="425" w:hanging="425"/>
      <w:jc w:val="both"/>
    </w:pPr>
    <w:rPr>
      <w:rFonts w:ascii="Arial Narrow" w:eastAsia="SimSun" w:hAnsi="Arial Narrow" w:cs="Arial"/>
      <w:color w:val="000000"/>
      <w:szCs w:val="20"/>
      <w:lang w:val="en-GB"/>
    </w:rPr>
  </w:style>
  <w:style w:type="character" w:customStyle="1" w:styleId="TableFontChar">
    <w:name w:val="TableFont Char"/>
    <w:basedOn w:val="DefaultParagraphFont"/>
    <w:link w:val="TableFont"/>
    <w:locked/>
    <w:rsid w:val="0010488E"/>
    <w:rPr>
      <w:rFonts w:ascii="Arial" w:eastAsia="Times New Roman" w:hAnsi="Arial" w:cs="Times New Roman"/>
      <w:color w:val="000000"/>
      <w:sz w:val="18"/>
      <w:szCs w:val="20"/>
      <w:lang w:val="en-GB"/>
    </w:rPr>
  </w:style>
  <w:style w:type="paragraph" w:customStyle="1" w:styleId="TT">
    <w:name w:val="TT"/>
    <w:basedOn w:val="Normal"/>
    <w:uiPriority w:val="99"/>
    <w:rsid w:val="0010488E"/>
    <w:pPr>
      <w:spacing w:before="120" w:after="120" w:line="240" w:lineRule="auto"/>
      <w:jc w:val="both"/>
    </w:pPr>
    <w:rPr>
      <w:rFonts w:eastAsia="MS Mincho" w:cs="Times New Roman"/>
      <w:sz w:val="18"/>
      <w:szCs w:val="20"/>
      <w:lang w:val="en-GB"/>
    </w:rPr>
  </w:style>
  <w:style w:type="paragraph" w:customStyle="1" w:styleId="BHPKeySkillstabletextleft">
    <w:name w:val="BHP Key Skills table text left"/>
    <w:basedOn w:val="BHPKeySkillsText"/>
    <w:uiPriority w:val="99"/>
    <w:rsid w:val="0010488E"/>
    <w:pPr>
      <w:spacing w:after="0" w:line="240" w:lineRule="auto"/>
    </w:pPr>
    <w:rPr>
      <w:rFonts w:eastAsia="SimSun"/>
    </w:rPr>
  </w:style>
  <w:style w:type="paragraph" w:customStyle="1" w:styleId="StyleTableHeadingDarkBlueBold">
    <w:name w:val="Style Table Heading Dark Blue + Bold"/>
    <w:basedOn w:val="Normal"/>
    <w:uiPriority w:val="99"/>
    <w:rsid w:val="0010488E"/>
    <w:pPr>
      <w:tabs>
        <w:tab w:val="right" w:pos="9144"/>
      </w:tabs>
      <w:spacing w:before="60" w:after="60"/>
    </w:pPr>
    <w:rPr>
      <w:rFonts w:ascii="Arial Bold" w:eastAsia="Times New Roman" w:hAnsi="Arial Bold" w:cs="Arial"/>
      <w:b/>
      <w:bCs/>
      <w:color w:val="808000"/>
      <w:sz w:val="18"/>
      <w:szCs w:val="18"/>
      <w:lang w:val="en-GB"/>
    </w:rPr>
  </w:style>
  <w:style w:type="table" w:styleId="LightShading-Accent4">
    <w:name w:val="Light Shading Accent 4"/>
    <w:basedOn w:val="TableNormal"/>
    <w:uiPriority w:val="99"/>
    <w:rsid w:val="0010488E"/>
    <w:rPr>
      <w:rFonts w:ascii="Calibri" w:eastAsia="Times New Roman" w:hAnsi="Calibri" w:cs="Times New Roman"/>
      <w:color w:val="5F497A"/>
      <w:sz w:val="20"/>
      <w:szCs w:val="20"/>
      <w:lang w:val="en-A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HeadEntry">
    <w:name w:val="HeadEntry"/>
    <w:basedOn w:val="Normal"/>
    <w:uiPriority w:val="99"/>
    <w:rsid w:val="0010488E"/>
    <w:pPr>
      <w:spacing w:before="80" w:after="80" w:line="240" w:lineRule="auto"/>
    </w:pPr>
    <w:rPr>
      <w:rFonts w:eastAsia="Times New Roman" w:cs="Times New Roman"/>
      <w:color w:val="000000"/>
      <w:szCs w:val="20"/>
      <w:lang w:val="en-GB"/>
    </w:rPr>
  </w:style>
  <w:style w:type="paragraph" w:customStyle="1" w:styleId="ProjectHighlightsheadinggreen">
    <w:name w:val="Project Highlights heading green"/>
    <w:basedOn w:val="Para0new"/>
    <w:uiPriority w:val="99"/>
    <w:rsid w:val="0010488E"/>
    <w:pPr>
      <w:spacing w:after="240" w:line="240" w:lineRule="auto"/>
    </w:pPr>
    <w:rPr>
      <w:rFonts w:ascii="Arial Narrow Bold" w:eastAsia="Times New Roman" w:hAnsi="Arial Narrow Bold" w:cs="Times New Roman"/>
      <w:b/>
      <w:color w:val="69BE28"/>
      <w:spacing w:val="20"/>
      <w:sz w:val="20"/>
      <w:szCs w:val="20"/>
      <w:lang w:val="en-AU"/>
    </w:rPr>
  </w:style>
  <w:style w:type="paragraph" w:customStyle="1" w:styleId="TableTextLeftBold">
    <w:name w:val="Table Text Left Bold"/>
    <w:basedOn w:val="Tabletextleft"/>
    <w:uiPriority w:val="99"/>
    <w:rsid w:val="0010488E"/>
    <w:pPr>
      <w:spacing w:before="120" w:after="0" w:line="240" w:lineRule="atLeast"/>
    </w:pPr>
    <w:rPr>
      <w:b/>
      <w:sz w:val="18"/>
      <w:szCs w:val="18"/>
    </w:rPr>
  </w:style>
  <w:style w:type="paragraph" w:customStyle="1" w:styleId="TabletextBullet">
    <w:name w:val="Table text Bullet"/>
    <w:basedOn w:val="Tabletext"/>
    <w:qFormat/>
    <w:rsid w:val="0010488E"/>
    <w:pPr>
      <w:numPr>
        <w:numId w:val="65"/>
      </w:numPr>
      <w:spacing w:before="120" w:after="120"/>
    </w:pPr>
    <w:rPr>
      <w:rFonts w:ascii="Arial Narrow" w:eastAsia="Times New Roman" w:hAnsi="Arial Narrow" w:cs="Times New Roman"/>
      <w:bCs/>
      <w:sz w:val="18"/>
      <w:szCs w:val="18"/>
    </w:rPr>
  </w:style>
  <w:style w:type="paragraph" w:customStyle="1" w:styleId="ProjectHighlightsHeadingPurple1">
    <w:name w:val="Project Highlights Heading Purple 1"/>
    <w:basedOn w:val="Normal"/>
    <w:uiPriority w:val="99"/>
    <w:rsid w:val="0010488E"/>
    <w:pPr>
      <w:spacing w:after="0" w:line="300" w:lineRule="auto"/>
      <w:jc w:val="both"/>
    </w:pPr>
    <w:rPr>
      <w:rFonts w:ascii="Arial Narrow" w:eastAsia="Times New Roman" w:hAnsi="Arial Narrow" w:cs="Times New Roman"/>
      <w:b/>
      <w:color w:val="7030A0"/>
      <w:sz w:val="22"/>
      <w:szCs w:val="20"/>
      <w:lang w:val="en-GB"/>
    </w:rPr>
  </w:style>
  <w:style w:type="paragraph" w:customStyle="1" w:styleId="Tabletextnumbers">
    <w:name w:val="Table text numbers"/>
    <w:basedOn w:val="Tabletext"/>
    <w:uiPriority w:val="99"/>
    <w:rsid w:val="0010488E"/>
    <w:pPr>
      <w:spacing w:before="120" w:after="120"/>
    </w:pPr>
    <w:rPr>
      <w:rFonts w:ascii="Arial Narrow" w:eastAsia="Times New Roman" w:hAnsi="Arial Narrow" w:cs="Times New Roman"/>
      <w:color w:val="4D4D4D"/>
      <w:sz w:val="18"/>
      <w:szCs w:val="20"/>
    </w:rPr>
  </w:style>
  <w:style w:type="paragraph" w:customStyle="1" w:styleId="ProjectHighlightsHeadingPurple2">
    <w:name w:val="Project Highlights Heading Purple 2"/>
    <w:basedOn w:val="Para0"/>
    <w:uiPriority w:val="99"/>
    <w:rsid w:val="0010488E"/>
    <w:pPr>
      <w:spacing w:before="0" w:after="220" w:line="240" w:lineRule="auto"/>
    </w:pPr>
    <w:rPr>
      <w:rFonts w:ascii="Arial Narrow" w:eastAsia="Times New Roman" w:hAnsi="Arial Narrow" w:cs="Times New Roman"/>
      <w:b/>
      <w:bCs/>
      <w:color w:val="7030A0"/>
      <w:sz w:val="18"/>
      <w:szCs w:val="18"/>
      <w:lang w:val="en-GB"/>
    </w:rPr>
  </w:style>
  <w:style w:type="paragraph" w:customStyle="1" w:styleId="Tabletextcentred">
    <w:name w:val="Table text centred"/>
    <w:basedOn w:val="Tabletextleft"/>
    <w:uiPriority w:val="99"/>
    <w:rsid w:val="0010488E"/>
    <w:pPr>
      <w:jc w:val="center"/>
    </w:pPr>
    <w:rPr>
      <w:bCs/>
      <w:noProof/>
      <w:lang w:val="en-AU"/>
    </w:rPr>
  </w:style>
  <w:style w:type="paragraph" w:customStyle="1" w:styleId="PenpicName">
    <w:name w:val="Penpic Name"/>
    <w:basedOn w:val="Normal"/>
    <w:uiPriority w:val="99"/>
    <w:rsid w:val="0010488E"/>
    <w:pPr>
      <w:spacing w:before="120" w:after="120" w:line="240" w:lineRule="auto"/>
    </w:pPr>
    <w:rPr>
      <w:rFonts w:ascii="Arial Narrow" w:eastAsia="Times New Roman" w:hAnsi="Arial Narrow" w:cs="Times New Roman"/>
      <w:b/>
      <w:bCs/>
      <w:color w:val="42145F"/>
      <w:spacing w:val="100"/>
      <w:sz w:val="24"/>
      <w:szCs w:val="20"/>
      <w:lang w:val="en-GB"/>
    </w:rPr>
  </w:style>
  <w:style w:type="paragraph" w:customStyle="1" w:styleId="PenpicHeading">
    <w:name w:val="Penpic Heading"/>
    <w:basedOn w:val="Normal"/>
    <w:uiPriority w:val="99"/>
    <w:rsid w:val="0010488E"/>
    <w:pPr>
      <w:framePr w:hSpace="180" w:wrap="around" w:vAnchor="text" w:hAnchor="text" w:x="7" w:y="1"/>
      <w:spacing w:before="120" w:after="60" w:line="240" w:lineRule="auto"/>
      <w:suppressOverlap/>
    </w:pPr>
    <w:rPr>
      <w:rFonts w:ascii="Arial Narrow Bold" w:eastAsia="Times New Roman" w:hAnsi="Arial Narrow Bold" w:cs="Times New Roman"/>
      <w:b/>
      <w:bCs/>
      <w:color w:val="42145F"/>
      <w:spacing w:val="20"/>
      <w:sz w:val="21"/>
      <w:szCs w:val="20"/>
      <w:lang w:eastAsia="en-AU"/>
    </w:rPr>
  </w:style>
  <w:style w:type="paragraph" w:customStyle="1" w:styleId="parabulletwhitetext">
    <w:name w:val="para bullet white text"/>
    <w:basedOn w:val="Para0bullet"/>
    <w:uiPriority w:val="99"/>
    <w:rsid w:val="0010488E"/>
    <w:pPr>
      <w:numPr>
        <w:numId w:val="0"/>
      </w:numPr>
      <w:tabs>
        <w:tab w:val="clear" w:pos="851"/>
      </w:tabs>
      <w:spacing w:after="60" w:line="300" w:lineRule="auto"/>
    </w:pPr>
    <w:rPr>
      <w:rFonts w:ascii="Arial Narrow" w:eastAsia="Times New Roman" w:hAnsi="Arial Narrow" w:cs="Times New Roman"/>
      <w:color w:val="FFFFFF"/>
      <w:szCs w:val="20"/>
      <w:lang w:val="en-GB"/>
    </w:rPr>
  </w:style>
  <w:style w:type="paragraph" w:customStyle="1" w:styleId="Parabulletpurpletext">
    <w:name w:val="Para bullet purple text"/>
    <w:basedOn w:val="Para0bullet"/>
    <w:uiPriority w:val="99"/>
    <w:rsid w:val="0010488E"/>
    <w:pPr>
      <w:numPr>
        <w:numId w:val="0"/>
      </w:numPr>
      <w:tabs>
        <w:tab w:val="clear" w:pos="851"/>
      </w:tabs>
      <w:spacing w:after="60" w:line="300" w:lineRule="auto"/>
      <w:ind w:hanging="425"/>
    </w:pPr>
    <w:rPr>
      <w:rFonts w:ascii="Arial Narrow" w:eastAsia="Times New Roman" w:hAnsi="Arial Narrow" w:cs="Times New Roman"/>
      <w:color w:val="7030A0"/>
      <w:szCs w:val="20"/>
      <w:lang w:val="en-GB"/>
    </w:rPr>
  </w:style>
  <w:style w:type="paragraph" w:customStyle="1" w:styleId="Tabletextpurple">
    <w:name w:val="Table text purple"/>
    <w:basedOn w:val="Normal"/>
    <w:uiPriority w:val="99"/>
    <w:rsid w:val="0010488E"/>
    <w:pPr>
      <w:tabs>
        <w:tab w:val="right" w:pos="3828"/>
      </w:tabs>
      <w:spacing w:after="60" w:line="300" w:lineRule="auto"/>
    </w:pPr>
    <w:rPr>
      <w:rFonts w:ascii="Arial Narrow" w:eastAsia="Times New Roman" w:hAnsi="Arial Narrow" w:cs="Arial"/>
      <w:color w:val="42145F"/>
      <w:sz w:val="18"/>
      <w:szCs w:val="18"/>
      <w:lang w:val="en-GB"/>
    </w:rPr>
  </w:style>
  <w:style w:type="paragraph" w:customStyle="1" w:styleId="ProjectHighlightsheadinggreen2">
    <w:name w:val="Project Highlights heading green 2"/>
    <w:basedOn w:val="ProjectHighlightsheadinggreen"/>
    <w:uiPriority w:val="99"/>
    <w:rsid w:val="0010488E"/>
    <w:rPr>
      <w:sz w:val="18"/>
      <w:szCs w:val="18"/>
    </w:rPr>
  </w:style>
  <w:style w:type="paragraph" w:customStyle="1" w:styleId="ProjectHighlightsheadingblack">
    <w:name w:val="Project Highlights heading black"/>
    <w:basedOn w:val="TableTextLeftBold"/>
    <w:uiPriority w:val="99"/>
    <w:rsid w:val="0010488E"/>
  </w:style>
  <w:style w:type="character" w:customStyle="1" w:styleId="NoSpacingChar">
    <w:name w:val="No Spacing Char"/>
    <w:basedOn w:val="DefaultParagraphFont"/>
    <w:link w:val="NoSpacing"/>
    <w:uiPriority w:val="99"/>
    <w:locked/>
    <w:rsid w:val="0010488E"/>
    <w:rPr>
      <w:rFonts w:ascii="Arial" w:eastAsia="Times New Roman" w:hAnsi="Arial" w:cs="Times New Roman"/>
      <w:color w:val="000000"/>
      <w:sz w:val="20"/>
      <w:szCs w:val="20"/>
      <w:lang w:val="en-GB"/>
    </w:rPr>
  </w:style>
  <w:style w:type="table" w:customStyle="1" w:styleId="LightList-Accent11">
    <w:name w:val="Light List - Accent 11"/>
    <w:uiPriority w:val="99"/>
    <w:rsid w:val="0010488E"/>
    <w:rPr>
      <w:rFonts w:ascii="Times New Roman" w:eastAsia="Times New Roman" w:hAnsi="Times New Roman"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ash">
    <w:name w:val="Dash"/>
    <w:basedOn w:val="Normal"/>
    <w:link w:val="DashChar"/>
    <w:uiPriority w:val="99"/>
    <w:rsid w:val="0010488E"/>
    <w:pPr>
      <w:tabs>
        <w:tab w:val="num" w:pos="-3355"/>
      </w:tabs>
      <w:spacing w:before="140" w:after="140" w:line="280" w:lineRule="atLeast"/>
      <w:ind w:left="-3355" w:hanging="520"/>
    </w:pPr>
    <w:rPr>
      <w:rFonts w:eastAsia="Times New Roman" w:cs="Arial"/>
      <w:sz w:val="22"/>
      <w:szCs w:val="22"/>
      <w:lang w:eastAsia="en-AU"/>
    </w:rPr>
  </w:style>
  <w:style w:type="paragraph" w:customStyle="1" w:styleId="DoubleDot">
    <w:name w:val="Double Dot"/>
    <w:basedOn w:val="Normal"/>
    <w:uiPriority w:val="99"/>
    <w:rsid w:val="0010488E"/>
    <w:pPr>
      <w:tabs>
        <w:tab w:val="num" w:pos="-2835"/>
      </w:tabs>
      <w:spacing w:before="140" w:after="140" w:line="280" w:lineRule="atLeast"/>
      <w:ind w:left="-2835" w:hanging="520"/>
    </w:pPr>
    <w:rPr>
      <w:rFonts w:eastAsia="Times New Roman" w:cs="Arial"/>
      <w:sz w:val="22"/>
      <w:szCs w:val="22"/>
      <w:lang w:eastAsia="en-AU"/>
    </w:rPr>
  </w:style>
  <w:style w:type="table" w:styleId="MediumShading2-Accent4">
    <w:name w:val="Medium Shading 2 Accent 4"/>
    <w:basedOn w:val="TableNormal"/>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MediumList11">
    <w:name w:val="Medium List 11"/>
    <w:uiPriority w:val="99"/>
    <w:rsid w:val="0010488E"/>
    <w:rPr>
      <w:rFonts w:ascii="Times New Roman" w:eastAsia="Times New Roman" w:hAnsi="Times New Roman" w:cs="Times New Roman"/>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Heading2Char1">
    <w:name w:val="Heading 2 Char1"/>
    <w:aliases w:val="h2 main heading Char1,Heading 2 Main Heading Char1,heading 2body Char1,h2 Char1,Attribute Heading 2 Char1,body Char1,test Char1,H2 Char1,l2 Char1,list 2 Char1,list 2 Char1,heading 2TOC Char1,Head 2 Char1,List level 2 Char1,2 Char1"/>
    <w:basedOn w:val="DefaultParagraphFont"/>
    <w:uiPriority w:val="99"/>
    <w:locked/>
    <w:rsid w:val="0010488E"/>
    <w:rPr>
      <w:rFonts w:ascii="Arial" w:hAnsi="Arial"/>
      <w:b/>
      <w:color w:val="42145F"/>
      <w:lang w:val="en-GB" w:eastAsia="en-US"/>
    </w:rPr>
  </w:style>
  <w:style w:type="character" w:customStyle="1" w:styleId="Heading7Char1">
    <w:name w:val="Heading 7 Char1"/>
    <w:aliases w:val="Sub-Heading Char1,Legal Level 1.1. Char1,hd7 Char1,h7 Char1,i. Char1,DO NOT USE 7 Char1,not Kinhill1 Char1,. [(1)] Char1"/>
    <w:basedOn w:val="DefaultParagraphFont"/>
    <w:uiPriority w:val="99"/>
    <w:locked/>
    <w:rsid w:val="0010488E"/>
    <w:rPr>
      <w:rFonts w:ascii="Arial" w:hAnsi="Arial" w:cs="Times New Roman"/>
      <w:b/>
      <w:color w:val="42145F"/>
      <w:sz w:val="22"/>
      <w:szCs w:val="22"/>
      <w:lang w:val="en-GB" w:eastAsia="en-US" w:bidi="ar-SA"/>
    </w:rPr>
  </w:style>
  <w:style w:type="table" w:styleId="MediumShading2-Accent3">
    <w:name w:val="Medium Shading 2 Accent 3"/>
    <w:basedOn w:val="TableNormal"/>
    <w:uiPriority w:val="99"/>
    <w:rsid w:val="0010488E"/>
    <w:rPr>
      <w:rFonts w:ascii="Calibri" w:eastAsia="Times New Roman" w:hAnsi="Calibri" w:cs="Times New Roman"/>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99"/>
    <w:rsid w:val="0010488E"/>
    <w:rPr>
      <w:rFonts w:ascii="Cambria" w:eastAsia="Times New Roman" w:hAnsi="Cambria" w:cs="Times New Roman"/>
      <w:color w:val="000000"/>
      <w:sz w:val="20"/>
      <w:szCs w:val="20"/>
      <w:lang w:val="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Heading5Char2">
    <w:name w:val="Heading 5 Char2"/>
    <w:aliases w:val="H5 Char1,Appendix Char1,Heading 5 StGeorge Char1,Level 3 - i Char1,Level 5 Char1,L5 Char1,l5+toc5 Char1,(A) Char1,h5 Char1,Sub4Para Char1,Sub-Para a. Char1,h51 Char1,h52 Char1,hd5 Char1,Section Sub Point Char1,Contents Sub Char1,(i) Char"/>
    <w:basedOn w:val="DefaultParagraphFont"/>
    <w:uiPriority w:val="99"/>
    <w:locked/>
    <w:rsid w:val="0010488E"/>
    <w:rPr>
      <w:rFonts w:ascii="Arial" w:hAnsi="Arial" w:cs="Times New Roman"/>
      <w:b/>
      <w:color w:val="42145F"/>
      <w:sz w:val="22"/>
      <w:szCs w:val="22"/>
      <w:lang w:val="en-GB" w:eastAsia="en-US" w:bidi="ar-SA"/>
    </w:rPr>
  </w:style>
  <w:style w:type="table" w:customStyle="1" w:styleId="MediumGrid2-Accent51">
    <w:name w:val="Medium Grid 2 - Accent 51"/>
    <w:uiPriority w:val="99"/>
    <w:rsid w:val="0010488E"/>
    <w:rPr>
      <w:rFonts w:ascii="Cambria" w:eastAsia="Times New Roman" w:hAnsi="Cambria" w:cs="Cambria"/>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paragraph" w:customStyle="1" w:styleId="ReferenceCharChar">
    <w:name w:val="Reference Char Char"/>
    <w:next w:val="Normal"/>
    <w:uiPriority w:val="99"/>
    <w:rsid w:val="0010488E"/>
    <w:rPr>
      <w:rFonts w:ascii="Book Antiqua" w:eastAsia="Times New Roman" w:hAnsi="Book Antiqua" w:cs="Book Antiqua"/>
      <w:sz w:val="16"/>
      <w:szCs w:val="16"/>
      <w:lang w:val="en-AU"/>
    </w:rPr>
  </w:style>
  <w:style w:type="character" w:customStyle="1" w:styleId="BulletCharChar">
    <w:name w:val="Bullet Char Char"/>
    <w:basedOn w:val="DefaultParagraphFont"/>
    <w:uiPriority w:val="99"/>
    <w:rsid w:val="0010488E"/>
    <w:rPr>
      <w:rFonts w:ascii="Book Antiqua" w:hAnsi="Book Antiqua" w:cs="Book Antiqua"/>
      <w:sz w:val="22"/>
      <w:szCs w:val="22"/>
      <w:lang w:val="en-AU" w:eastAsia="en-AU"/>
    </w:rPr>
  </w:style>
  <w:style w:type="paragraph" w:customStyle="1" w:styleId="TextChar">
    <w:name w:val="Text Char"/>
    <w:basedOn w:val="Normal"/>
    <w:uiPriority w:val="99"/>
    <w:rsid w:val="0010488E"/>
    <w:pPr>
      <w:keepLines/>
      <w:spacing w:after="180" w:line="270" w:lineRule="exact"/>
      <w:jc w:val="both"/>
    </w:pPr>
    <w:rPr>
      <w:rFonts w:eastAsia="Times New Roman" w:cs="Times New Roman"/>
      <w:szCs w:val="20"/>
    </w:rPr>
  </w:style>
  <w:style w:type="paragraph" w:customStyle="1" w:styleId="Char">
    <w:name w:val="Char"/>
    <w:basedOn w:val="Normal"/>
    <w:uiPriority w:val="99"/>
    <w:rsid w:val="0010488E"/>
    <w:pPr>
      <w:spacing w:after="160" w:line="240" w:lineRule="exact"/>
    </w:pPr>
    <w:rPr>
      <w:rFonts w:ascii="Verdana" w:eastAsia="Times New Roman" w:hAnsi="Verdana" w:cs="Verdana"/>
      <w:szCs w:val="20"/>
      <w:lang w:val="en-US"/>
    </w:rPr>
  </w:style>
  <w:style w:type="paragraph" w:customStyle="1" w:styleId="Appendixheading">
    <w:name w:val="Appendix heading"/>
    <w:basedOn w:val="Heading1"/>
    <w:link w:val="AppendixheadingChar"/>
    <w:uiPriority w:val="99"/>
    <w:rsid w:val="0010488E"/>
    <w:pPr>
      <w:keepLines w:val="0"/>
      <w:numPr>
        <w:numId w:val="0"/>
      </w:numPr>
      <w:tabs>
        <w:tab w:val="num" w:pos="397"/>
        <w:tab w:val="num" w:pos="851"/>
      </w:tabs>
      <w:spacing w:before="0" w:after="240" w:line="240" w:lineRule="auto"/>
      <w:ind w:left="851" w:hanging="851"/>
    </w:pPr>
    <w:rPr>
      <w:rFonts w:eastAsia="Times New Roman" w:cs="Times New Roman"/>
      <w:bCs w:val="0"/>
      <w:color w:val="000000"/>
      <w:sz w:val="36"/>
      <w:szCs w:val="20"/>
      <w:lang w:val="en-GB"/>
    </w:rPr>
  </w:style>
  <w:style w:type="character" w:customStyle="1" w:styleId="AppendixheadingChar">
    <w:name w:val="Appendix heading Char"/>
    <w:basedOn w:val="Heading1Char"/>
    <w:link w:val="Appendixheading"/>
    <w:uiPriority w:val="99"/>
    <w:locked/>
    <w:rsid w:val="0010488E"/>
    <w:rPr>
      <w:rFonts w:ascii="Arial" w:eastAsia="Times New Roman" w:hAnsi="Arial" w:cs="Times New Roman"/>
      <w:b/>
      <w:bCs w:val="0"/>
      <w:color w:val="000000"/>
      <w:sz w:val="36"/>
      <w:szCs w:val="20"/>
      <w:lang w:val="en-GB"/>
    </w:rPr>
  </w:style>
  <w:style w:type="character" w:styleId="PlaceholderText">
    <w:name w:val="Placeholder Text"/>
    <w:basedOn w:val="DefaultParagraphFont"/>
    <w:uiPriority w:val="99"/>
    <w:semiHidden/>
    <w:rsid w:val="0010488E"/>
    <w:rPr>
      <w:rFonts w:cs="Times New Roman"/>
      <w:color w:val="808080"/>
    </w:rPr>
  </w:style>
  <w:style w:type="character" w:customStyle="1" w:styleId="DashChar">
    <w:name w:val="Dash Char"/>
    <w:basedOn w:val="DefaultParagraphFont"/>
    <w:link w:val="Dash"/>
    <w:uiPriority w:val="99"/>
    <w:locked/>
    <w:rsid w:val="0010488E"/>
    <w:rPr>
      <w:rFonts w:ascii="Arial" w:eastAsia="Times New Roman" w:hAnsi="Arial" w:cs="Arial"/>
      <w:sz w:val="22"/>
      <w:szCs w:val="22"/>
      <w:lang w:val="en-AU" w:eastAsia="en-AU"/>
    </w:rPr>
  </w:style>
  <w:style w:type="character" w:customStyle="1" w:styleId="FootnoteCharacters">
    <w:name w:val="Footnote Characters"/>
    <w:basedOn w:val="DefaultParagraphFont"/>
    <w:uiPriority w:val="99"/>
    <w:rsid w:val="0010488E"/>
    <w:rPr>
      <w:rFonts w:cs="Times New Roman"/>
      <w:vertAlign w:val="superscript"/>
    </w:rPr>
  </w:style>
  <w:style w:type="paragraph" w:customStyle="1" w:styleId="WW-Default">
    <w:name w:val="WW-Default"/>
    <w:uiPriority w:val="99"/>
    <w:rsid w:val="0010488E"/>
    <w:pPr>
      <w:suppressAutoHyphens/>
      <w:overflowPunct w:val="0"/>
      <w:autoSpaceDE w:val="0"/>
      <w:autoSpaceDN w:val="0"/>
      <w:adjustRightInd w:val="0"/>
      <w:textAlignment w:val="baseline"/>
    </w:pPr>
    <w:rPr>
      <w:rFonts w:ascii="MOMBKL+TimesNewRoman" w:eastAsia="Times New Roman" w:hAnsi="MOMBKL+TimesNewRoman" w:cs="MOMBKL+TimesNewRoman"/>
      <w:color w:val="000000"/>
    </w:rPr>
  </w:style>
  <w:style w:type="table" w:customStyle="1" w:styleId="LightGrid-Accent51">
    <w:name w:val="Light Grid - Accent 5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MediumGrid1-Accent51">
    <w:name w:val="Medium Grid 1 - Accent 5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List1-Accent51">
    <w:name w:val="Medium List 1 - Accent 51"/>
    <w:uiPriority w:val="99"/>
    <w:rsid w:val="0010488E"/>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MediumShading1-Accent51">
    <w:name w:val="Medium Shading 1 - Accent 5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CABNETParagraphAtt">
    <w:name w:val="CABNET Paragraph Att"/>
    <w:basedOn w:val="Normal"/>
    <w:link w:val="CABNETParagraphAttChar"/>
    <w:uiPriority w:val="99"/>
    <w:rsid w:val="0010488E"/>
    <w:pPr>
      <w:spacing w:before="120" w:after="120" w:line="240" w:lineRule="auto"/>
    </w:pPr>
    <w:rPr>
      <w:rFonts w:ascii="Verdana" w:eastAsia="Times New Roman" w:hAnsi="Verdana" w:cs="Verdana"/>
      <w:szCs w:val="20"/>
      <w:lang w:eastAsia="en-AU"/>
    </w:rPr>
  </w:style>
  <w:style w:type="character" w:customStyle="1" w:styleId="CABNETParagraphAttChar">
    <w:name w:val="CABNET Paragraph Att Char"/>
    <w:basedOn w:val="DefaultParagraphFont"/>
    <w:link w:val="CABNETParagraphAtt"/>
    <w:uiPriority w:val="99"/>
    <w:locked/>
    <w:rsid w:val="0010488E"/>
    <w:rPr>
      <w:rFonts w:ascii="Verdana" w:eastAsia="Times New Roman" w:hAnsi="Verdana" w:cs="Verdana"/>
      <w:sz w:val="20"/>
      <w:szCs w:val="20"/>
      <w:lang w:val="en-AU" w:eastAsia="en-AU"/>
    </w:rPr>
  </w:style>
  <w:style w:type="table" w:styleId="TableColumns4">
    <w:name w:val="Table Columns 4"/>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List4">
    <w:name w:val="Table List 4"/>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1">
    <w:name w:val="Table Simple 1"/>
    <w:basedOn w:val="TableNormal"/>
    <w:uiPriority w:val="99"/>
    <w:rsid w:val="0010488E"/>
    <w:pPr>
      <w:spacing w:after="220" w:line="30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MediumList2-Accent51">
    <w:name w:val="Medium List 2 - Accent 51"/>
    <w:uiPriority w:val="99"/>
    <w:rsid w:val="0010488E"/>
    <w:rPr>
      <w:rFonts w:ascii="Cambria" w:eastAsia="Times New Roman" w:hAnsi="Cambria" w:cs="Cambria"/>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Grid3-Accent41">
    <w:name w:val="Medium Grid 3 - Accent 41"/>
    <w:uiPriority w:val="99"/>
    <w:rsid w:val="0010488E"/>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MediumGrid2-Accent41">
    <w:name w:val="Medium Grid 2 - Accent 41"/>
    <w:uiPriority w:val="99"/>
    <w:rsid w:val="0010488E"/>
    <w:rPr>
      <w:rFonts w:ascii="Cambria" w:eastAsia="Times New Roman" w:hAnsi="Cambria" w:cs="Cambria"/>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styleId="MediumGrid2-Accent4">
    <w:name w:val="Medium Grid 2 Accent 4"/>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character" w:styleId="IntenseEmphasis">
    <w:name w:val="Intense Emphasis"/>
    <w:basedOn w:val="DefaultParagraphFont"/>
    <w:uiPriority w:val="99"/>
    <w:qFormat/>
    <w:rsid w:val="0010488E"/>
    <w:rPr>
      <w:rFonts w:cs="Times New Roman"/>
      <w:b/>
      <w:bCs/>
      <w:i/>
      <w:iCs/>
      <w:color w:val="4F81BD"/>
    </w:rPr>
  </w:style>
  <w:style w:type="table" w:styleId="MediumList2-Accent5">
    <w:name w:val="Medium List 2 Accent 5"/>
    <w:basedOn w:val="TableNormal"/>
    <w:uiPriority w:val="99"/>
    <w:rsid w:val="0010488E"/>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5">
    <w:name w:val="Light Shading Accent 5"/>
    <w:basedOn w:val="TableNormal"/>
    <w:uiPriority w:val="99"/>
    <w:rsid w:val="0010488E"/>
    <w:rPr>
      <w:rFonts w:ascii="Times New Roman" w:eastAsia="Times New Roman" w:hAnsi="Times New Roman" w:cs="Times New Roman"/>
      <w:color w:val="31849B"/>
      <w:sz w:val="20"/>
      <w:szCs w:val="20"/>
      <w:lang w:val="en-AU" w:eastAsia="en-A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ont5">
    <w:name w:val="font5"/>
    <w:basedOn w:val="Normal"/>
    <w:uiPriority w:val="99"/>
    <w:rsid w:val="0010488E"/>
    <w:pPr>
      <w:spacing w:before="100" w:beforeAutospacing="1" w:after="100" w:afterAutospacing="1" w:line="240" w:lineRule="auto"/>
    </w:pPr>
    <w:rPr>
      <w:rFonts w:ascii="Calibri" w:eastAsia="Times New Roman" w:hAnsi="Calibri" w:cs="Times New Roman"/>
      <w:b/>
      <w:bCs/>
      <w:i/>
      <w:iCs/>
      <w:color w:val="F79646"/>
      <w:sz w:val="22"/>
      <w:szCs w:val="22"/>
      <w:lang w:eastAsia="en-AU"/>
    </w:rPr>
  </w:style>
  <w:style w:type="paragraph" w:customStyle="1" w:styleId="font6">
    <w:name w:val="font6"/>
    <w:basedOn w:val="Normal"/>
    <w:uiPriority w:val="99"/>
    <w:rsid w:val="0010488E"/>
    <w:pPr>
      <w:spacing w:before="100" w:beforeAutospacing="1" w:after="100" w:afterAutospacing="1" w:line="240" w:lineRule="auto"/>
    </w:pPr>
    <w:rPr>
      <w:rFonts w:ascii="Tahoma" w:eastAsia="Times New Roman" w:hAnsi="Tahoma" w:cs="Tahoma"/>
      <w:b/>
      <w:bCs/>
      <w:color w:val="000000"/>
      <w:sz w:val="16"/>
      <w:szCs w:val="16"/>
      <w:lang w:eastAsia="en-AU"/>
    </w:rPr>
  </w:style>
  <w:style w:type="paragraph" w:customStyle="1" w:styleId="font7">
    <w:name w:val="font7"/>
    <w:basedOn w:val="Normal"/>
    <w:uiPriority w:val="99"/>
    <w:rsid w:val="0010488E"/>
    <w:pPr>
      <w:spacing w:before="100" w:beforeAutospacing="1" w:after="100" w:afterAutospacing="1" w:line="240" w:lineRule="auto"/>
    </w:pPr>
    <w:rPr>
      <w:rFonts w:ascii="Tahoma" w:eastAsia="Times New Roman" w:hAnsi="Tahoma" w:cs="Tahoma"/>
      <w:color w:val="000000"/>
      <w:sz w:val="16"/>
      <w:szCs w:val="16"/>
      <w:lang w:eastAsia="en-AU"/>
    </w:rPr>
  </w:style>
  <w:style w:type="paragraph" w:customStyle="1" w:styleId="font8">
    <w:name w:val="font8"/>
    <w:basedOn w:val="Normal"/>
    <w:uiPriority w:val="99"/>
    <w:rsid w:val="0010488E"/>
    <w:pPr>
      <w:spacing w:before="100" w:beforeAutospacing="1" w:after="100" w:afterAutospacing="1" w:line="240" w:lineRule="auto"/>
    </w:pPr>
    <w:rPr>
      <w:rFonts w:ascii="Tahoma" w:eastAsia="Times New Roman" w:hAnsi="Tahoma" w:cs="Tahoma"/>
      <w:b/>
      <w:bCs/>
      <w:color w:val="000000"/>
      <w:sz w:val="28"/>
      <w:szCs w:val="28"/>
      <w:lang w:eastAsia="en-AU"/>
    </w:rPr>
  </w:style>
  <w:style w:type="paragraph" w:customStyle="1" w:styleId="font9">
    <w:name w:val="font9"/>
    <w:basedOn w:val="Normal"/>
    <w:uiPriority w:val="99"/>
    <w:rsid w:val="0010488E"/>
    <w:pPr>
      <w:spacing w:before="100" w:beforeAutospacing="1" w:after="100" w:afterAutospacing="1" w:line="240" w:lineRule="auto"/>
    </w:pPr>
    <w:rPr>
      <w:rFonts w:ascii="Tahoma" w:eastAsia="Times New Roman" w:hAnsi="Tahoma" w:cs="Tahoma"/>
      <w:color w:val="000000"/>
      <w:sz w:val="28"/>
      <w:szCs w:val="28"/>
      <w:lang w:eastAsia="en-AU"/>
    </w:rPr>
  </w:style>
  <w:style w:type="paragraph" w:customStyle="1" w:styleId="xl274">
    <w:name w:val="xl274"/>
    <w:basedOn w:val="Normal"/>
    <w:uiPriority w:val="99"/>
    <w:rsid w:val="0010488E"/>
    <w:pPr>
      <w:spacing w:before="100" w:beforeAutospacing="1" w:after="100" w:afterAutospacing="1" w:line="240" w:lineRule="auto"/>
      <w:jc w:val="center"/>
    </w:pPr>
    <w:rPr>
      <w:rFonts w:ascii="Times New Roman" w:eastAsia="Times New Roman" w:hAnsi="Times New Roman" w:cs="Times New Roman"/>
      <w:sz w:val="24"/>
      <w:lang w:eastAsia="en-AU"/>
    </w:rPr>
  </w:style>
  <w:style w:type="paragraph" w:customStyle="1" w:styleId="xl275">
    <w:name w:val="xl275"/>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76">
    <w:name w:val="xl276"/>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77">
    <w:name w:val="xl277"/>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78">
    <w:name w:val="xl278"/>
    <w:basedOn w:val="Normal"/>
    <w:uiPriority w:val="99"/>
    <w:rsid w:val="0010488E"/>
    <w:pPr>
      <w:shd w:val="clear" w:color="4F81BD" w:fill="4F81BD"/>
      <w:spacing w:before="100" w:beforeAutospacing="1" w:after="100" w:afterAutospacing="1" w:line="240" w:lineRule="auto"/>
    </w:pPr>
    <w:rPr>
      <w:rFonts w:ascii="Times New Roman" w:eastAsia="Times New Roman" w:hAnsi="Times New Roman" w:cs="Times New Roman"/>
      <w:b/>
      <w:bCs/>
      <w:i/>
      <w:iCs/>
      <w:color w:val="FFFFFF"/>
      <w:sz w:val="24"/>
      <w:lang w:eastAsia="en-AU"/>
    </w:rPr>
  </w:style>
  <w:style w:type="paragraph" w:customStyle="1" w:styleId="xl279">
    <w:name w:val="xl279"/>
    <w:basedOn w:val="Normal"/>
    <w:uiPriority w:val="99"/>
    <w:rsid w:val="0010488E"/>
    <w:pPr>
      <w:shd w:val="clear" w:color="4F81BD" w:fill="4F81BD"/>
      <w:spacing w:before="100" w:beforeAutospacing="1" w:after="100" w:afterAutospacing="1" w:line="240" w:lineRule="auto"/>
    </w:pPr>
    <w:rPr>
      <w:rFonts w:ascii="Times New Roman" w:eastAsia="Times New Roman" w:hAnsi="Times New Roman" w:cs="Times New Roman"/>
      <w:b/>
      <w:bCs/>
      <w:i/>
      <w:iCs/>
      <w:color w:val="FFFFFF"/>
      <w:sz w:val="24"/>
      <w:lang w:eastAsia="en-AU"/>
    </w:rPr>
  </w:style>
  <w:style w:type="paragraph" w:customStyle="1" w:styleId="xl280">
    <w:name w:val="xl280"/>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81">
    <w:name w:val="xl281"/>
    <w:basedOn w:val="Normal"/>
    <w:uiPriority w:val="99"/>
    <w:rsid w:val="0010488E"/>
    <w:pPr>
      <w:shd w:val="clear" w:color="4F81BD" w:fill="4F81BD"/>
      <w:spacing w:before="100" w:beforeAutospacing="1" w:after="100" w:afterAutospacing="1" w:line="240" w:lineRule="auto"/>
    </w:pPr>
    <w:rPr>
      <w:rFonts w:ascii="Times New Roman" w:eastAsia="Times New Roman" w:hAnsi="Times New Roman" w:cs="Times New Roman"/>
      <w:b/>
      <w:bCs/>
      <w:i/>
      <w:iCs/>
      <w:color w:val="FFFFFF"/>
      <w:sz w:val="24"/>
      <w:lang w:eastAsia="en-AU"/>
    </w:rPr>
  </w:style>
  <w:style w:type="paragraph" w:customStyle="1" w:styleId="xl282">
    <w:name w:val="xl282"/>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79646"/>
      <w:sz w:val="24"/>
      <w:lang w:eastAsia="en-AU"/>
    </w:rPr>
  </w:style>
  <w:style w:type="paragraph" w:customStyle="1" w:styleId="xl283">
    <w:name w:val="xl283"/>
    <w:basedOn w:val="Normal"/>
    <w:uiPriority w:val="99"/>
    <w:rsid w:val="0010488E"/>
    <w:pPr>
      <w:shd w:val="clear" w:color="4F81BD" w:fill="4F81BD"/>
      <w:spacing w:before="100" w:beforeAutospacing="1" w:after="100" w:afterAutospacing="1" w:line="240" w:lineRule="auto"/>
      <w:jc w:val="center"/>
    </w:pPr>
    <w:rPr>
      <w:rFonts w:ascii="Times New Roman" w:eastAsia="Times New Roman" w:hAnsi="Times New Roman" w:cs="Times New Roman"/>
      <w:b/>
      <w:bCs/>
      <w:i/>
      <w:iCs/>
      <w:color w:val="FFFFFF"/>
      <w:sz w:val="24"/>
      <w:lang w:eastAsia="en-AU"/>
    </w:rPr>
  </w:style>
  <w:style w:type="paragraph" w:customStyle="1" w:styleId="xl284">
    <w:name w:val="xl284"/>
    <w:basedOn w:val="Normal"/>
    <w:uiPriority w:val="99"/>
    <w:rsid w:val="0010488E"/>
    <w:pPr>
      <w:spacing w:before="100" w:beforeAutospacing="1" w:after="100" w:afterAutospacing="1" w:line="240" w:lineRule="auto"/>
      <w:jc w:val="center"/>
    </w:pPr>
    <w:rPr>
      <w:rFonts w:ascii="Courier" w:eastAsia="Times New Roman" w:hAnsi="Courier" w:cs="Times New Roman"/>
      <w:sz w:val="24"/>
      <w:lang w:eastAsia="en-AU"/>
    </w:rPr>
  </w:style>
  <w:style w:type="paragraph" w:customStyle="1" w:styleId="xl285">
    <w:name w:val="xl285"/>
    <w:basedOn w:val="Normal"/>
    <w:uiPriority w:val="99"/>
    <w:rsid w:val="0010488E"/>
    <w:pPr>
      <w:shd w:val="clear" w:color="000000" w:fill="FFFFFF"/>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86">
    <w:name w:val="xl286"/>
    <w:basedOn w:val="Normal"/>
    <w:uiPriority w:val="99"/>
    <w:rsid w:val="0010488E"/>
    <w:pPr>
      <w:spacing w:before="100" w:beforeAutospacing="1" w:after="100" w:afterAutospacing="1" w:line="240" w:lineRule="auto"/>
    </w:pPr>
    <w:rPr>
      <w:rFonts w:ascii="Courier" w:eastAsia="Times New Roman" w:hAnsi="Courier" w:cs="Times New Roman"/>
      <w:sz w:val="24"/>
      <w:lang w:eastAsia="en-AU"/>
    </w:rPr>
  </w:style>
  <w:style w:type="paragraph" w:customStyle="1" w:styleId="xl287">
    <w:name w:val="xl287"/>
    <w:basedOn w:val="Normal"/>
    <w:uiPriority w:val="99"/>
    <w:rsid w:val="0010488E"/>
    <w:pPr>
      <w:spacing w:before="100" w:beforeAutospacing="1" w:after="100" w:afterAutospacing="1" w:line="240" w:lineRule="auto"/>
      <w:jc w:val="center"/>
    </w:pPr>
    <w:rPr>
      <w:rFonts w:ascii="Times New Roman" w:eastAsia="Times New Roman" w:hAnsi="Times New Roman" w:cs="Times New Roman"/>
      <w:sz w:val="24"/>
      <w:lang w:eastAsia="en-AU"/>
    </w:rPr>
  </w:style>
  <w:style w:type="paragraph" w:customStyle="1" w:styleId="xl288">
    <w:name w:val="xl288"/>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89">
    <w:name w:val="xl289"/>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0">
    <w:name w:val="xl290"/>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1">
    <w:name w:val="xl291"/>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2">
    <w:name w:val="xl292"/>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3">
    <w:name w:val="xl293"/>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294">
    <w:name w:val="xl294"/>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296">
    <w:name w:val="xl296"/>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97">
    <w:name w:val="xl297"/>
    <w:basedOn w:val="Normal"/>
    <w:uiPriority w:val="99"/>
    <w:rsid w:val="0010488E"/>
    <w:pPr>
      <w:shd w:val="clear" w:color="000000" w:fill="FFFFFF"/>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298">
    <w:name w:val="xl298"/>
    <w:basedOn w:val="Normal"/>
    <w:uiPriority w:val="99"/>
    <w:rsid w:val="0010488E"/>
    <w:pPr>
      <w:spacing w:before="100" w:beforeAutospacing="1" w:after="100" w:afterAutospacing="1" w:line="240" w:lineRule="auto"/>
    </w:pPr>
    <w:rPr>
      <w:rFonts w:ascii="Times New Roman" w:eastAsia="Times New Roman" w:hAnsi="Times New Roman" w:cs="Times New Roman"/>
      <w:b/>
      <w:bCs/>
      <w:color w:val="FF0000"/>
      <w:sz w:val="24"/>
      <w:lang w:eastAsia="en-AU"/>
    </w:rPr>
  </w:style>
  <w:style w:type="paragraph" w:customStyle="1" w:styleId="xl299">
    <w:name w:val="xl299"/>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300">
    <w:name w:val="xl300"/>
    <w:basedOn w:val="Normal"/>
    <w:uiPriority w:val="99"/>
    <w:rsid w:val="0010488E"/>
    <w:pPr>
      <w:shd w:val="clear" w:color="000000" w:fill="FFFF00"/>
      <w:spacing w:before="100" w:beforeAutospacing="1" w:after="100" w:afterAutospacing="1" w:line="240" w:lineRule="auto"/>
      <w:jc w:val="right"/>
    </w:pPr>
    <w:rPr>
      <w:rFonts w:eastAsia="Times New Roman" w:cs="Arial"/>
      <w:szCs w:val="20"/>
      <w:lang w:eastAsia="en-AU"/>
    </w:rPr>
  </w:style>
  <w:style w:type="paragraph" w:customStyle="1" w:styleId="xl301">
    <w:name w:val="xl301"/>
    <w:basedOn w:val="Normal"/>
    <w:uiPriority w:val="99"/>
    <w:rsid w:val="0010488E"/>
    <w:pPr>
      <w:shd w:val="clear" w:color="000000" w:fill="FFFF00"/>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2">
    <w:name w:val="xl302"/>
    <w:basedOn w:val="Normal"/>
    <w:uiPriority w:val="99"/>
    <w:rsid w:val="0010488E"/>
    <w:pPr>
      <w:shd w:val="clear" w:color="000000" w:fill="FFFF00"/>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3">
    <w:name w:val="xl303"/>
    <w:basedOn w:val="Normal"/>
    <w:uiPriority w:val="99"/>
    <w:rsid w:val="0010488E"/>
    <w:pPr>
      <w:shd w:val="clear" w:color="000000" w:fill="FFFFFF"/>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4">
    <w:name w:val="xl304"/>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5">
    <w:name w:val="xl305"/>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6">
    <w:name w:val="xl306"/>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307">
    <w:name w:val="xl307"/>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8">
    <w:name w:val="xl308"/>
    <w:basedOn w:val="Normal"/>
    <w:uiPriority w:val="99"/>
    <w:rsid w:val="0010488E"/>
    <w:pPr>
      <w:shd w:val="clear" w:color="000000" w:fill="FFFF00"/>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09">
    <w:name w:val="xl309"/>
    <w:basedOn w:val="Normal"/>
    <w:uiPriority w:val="99"/>
    <w:rsid w:val="0010488E"/>
    <w:pPr>
      <w:spacing w:before="100" w:beforeAutospacing="1" w:after="100" w:afterAutospacing="1" w:line="240" w:lineRule="auto"/>
      <w:jc w:val="right"/>
    </w:pPr>
    <w:rPr>
      <w:rFonts w:ascii="Book Antiqua" w:eastAsia="Times New Roman" w:hAnsi="Book Antiqua" w:cs="Times New Roman"/>
      <w:szCs w:val="20"/>
      <w:lang w:eastAsia="en-AU"/>
    </w:rPr>
  </w:style>
  <w:style w:type="paragraph" w:customStyle="1" w:styleId="xl310">
    <w:name w:val="xl310"/>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11">
    <w:name w:val="xl311"/>
    <w:basedOn w:val="Normal"/>
    <w:uiPriority w:val="99"/>
    <w:rsid w:val="0010488E"/>
    <w:pPr>
      <w:shd w:val="clear" w:color="000000" w:fill="DDD9C4"/>
      <w:spacing w:before="100" w:beforeAutospacing="1" w:after="100" w:afterAutospacing="1" w:line="240" w:lineRule="auto"/>
      <w:jc w:val="right"/>
    </w:pPr>
    <w:rPr>
      <w:rFonts w:eastAsia="Times New Roman" w:cs="Arial"/>
      <w:szCs w:val="20"/>
      <w:lang w:eastAsia="en-AU"/>
    </w:rPr>
  </w:style>
  <w:style w:type="paragraph" w:customStyle="1" w:styleId="xl312">
    <w:name w:val="xl312"/>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13">
    <w:name w:val="xl313"/>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xl314">
    <w:name w:val="xl314"/>
    <w:basedOn w:val="Normal"/>
    <w:uiPriority w:val="99"/>
    <w:rsid w:val="0010488E"/>
    <w:pPr>
      <w:shd w:val="clear" w:color="000000" w:fill="DDD9C4"/>
      <w:spacing w:before="100" w:beforeAutospacing="1" w:after="100" w:afterAutospacing="1" w:line="240" w:lineRule="auto"/>
      <w:jc w:val="right"/>
    </w:pPr>
    <w:rPr>
      <w:rFonts w:eastAsia="Times New Roman" w:cs="Arial"/>
      <w:szCs w:val="20"/>
      <w:lang w:eastAsia="en-AU"/>
    </w:rPr>
  </w:style>
  <w:style w:type="paragraph" w:customStyle="1" w:styleId="xl315">
    <w:name w:val="xl315"/>
    <w:basedOn w:val="Normal"/>
    <w:uiPriority w:val="99"/>
    <w:rsid w:val="0010488E"/>
    <w:pPr>
      <w:shd w:val="clear" w:color="000000" w:fill="DDD9C4"/>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18">
    <w:name w:val="xl318"/>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20">
    <w:name w:val="xl320"/>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22">
    <w:name w:val="xl322"/>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3">
    <w:name w:val="xl323"/>
    <w:basedOn w:val="Normal"/>
    <w:uiPriority w:val="99"/>
    <w:rsid w:val="0010488E"/>
    <w:pPr>
      <w:spacing w:before="100" w:beforeAutospacing="1" w:after="100" w:afterAutospacing="1" w:line="240" w:lineRule="auto"/>
      <w:jc w:val="center"/>
    </w:pPr>
    <w:rPr>
      <w:rFonts w:ascii="Courier" w:eastAsia="Times New Roman" w:hAnsi="Courier" w:cs="Times New Roman"/>
      <w:color w:val="00B050"/>
      <w:sz w:val="24"/>
      <w:lang w:eastAsia="en-AU"/>
    </w:rPr>
  </w:style>
  <w:style w:type="paragraph" w:customStyle="1" w:styleId="xl324">
    <w:name w:val="xl324"/>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5">
    <w:name w:val="xl325"/>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6">
    <w:name w:val="xl326"/>
    <w:basedOn w:val="Normal"/>
    <w:uiPriority w:val="99"/>
    <w:rsid w:val="0010488E"/>
    <w:pPr>
      <w:spacing w:before="100" w:beforeAutospacing="1" w:after="100" w:afterAutospacing="1" w:line="240" w:lineRule="auto"/>
    </w:pPr>
    <w:rPr>
      <w:rFonts w:ascii="Courier" w:eastAsia="Times New Roman" w:hAnsi="Courier" w:cs="Times New Roman"/>
      <w:color w:val="00B050"/>
      <w:sz w:val="24"/>
      <w:lang w:eastAsia="en-AU"/>
    </w:rPr>
  </w:style>
  <w:style w:type="paragraph" w:customStyle="1" w:styleId="xl327">
    <w:name w:val="xl327"/>
    <w:basedOn w:val="Normal"/>
    <w:uiPriority w:val="99"/>
    <w:rsid w:val="0010488E"/>
    <w:pPr>
      <w:spacing w:before="100" w:beforeAutospacing="1" w:after="100" w:afterAutospacing="1" w:line="240" w:lineRule="auto"/>
      <w:jc w:val="center"/>
    </w:pPr>
    <w:rPr>
      <w:rFonts w:ascii="Times New Roman" w:eastAsia="Times New Roman" w:hAnsi="Times New Roman" w:cs="Times New Roman"/>
      <w:color w:val="00B050"/>
      <w:sz w:val="24"/>
      <w:lang w:eastAsia="en-AU"/>
    </w:rPr>
  </w:style>
  <w:style w:type="paragraph" w:customStyle="1" w:styleId="xl328">
    <w:name w:val="xl328"/>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29">
    <w:name w:val="xl329"/>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0">
    <w:name w:val="xl330"/>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1">
    <w:name w:val="xl331"/>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2">
    <w:name w:val="xl332"/>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3">
    <w:name w:val="xl333"/>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4">
    <w:name w:val="xl334"/>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5">
    <w:name w:val="xl335"/>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36">
    <w:name w:val="xl336"/>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7">
    <w:name w:val="xl337"/>
    <w:basedOn w:val="Normal"/>
    <w:uiPriority w:val="99"/>
    <w:rsid w:val="0010488E"/>
    <w:pPr>
      <w:spacing w:before="100" w:beforeAutospacing="1" w:after="100" w:afterAutospacing="1" w:line="240" w:lineRule="auto"/>
    </w:pPr>
    <w:rPr>
      <w:rFonts w:ascii="Times New Roman" w:eastAsia="Times New Roman" w:hAnsi="Times New Roman" w:cs="Times New Roman"/>
      <w:color w:val="00B050"/>
      <w:sz w:val="24"/>
      <w:lang w:eastAsia="en-AU"/>
    </w:rPr>
  </w:style>
  <w:style w:type="paragraph" w:customStyle="1" w:styleId="xl338">
    <w:name w:val="xl338"/>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39">
    <w:name w:val="xl339"/>
    <w:basedOn w:val="Normal"/>
    <w:uiPriority w:val="99"/>
    <w:rsid w:val="0010488E"/>
    <w:pPr>
      <w:spacing w:before="100" w:beforeAutospacing="1" w:after="100" w:afterAutospacing="1" w:line="240" w:lineRule="auto"/>
      <w:jc w:val="center"/>
    </w:pPr>
    <w:rPr>
      <w:rFonts w:ascii="Courier" w:eastAsia="Times New Roman" w:hAnsi="Courier" w:cs="Times New Roman"/>
      <w:color w:val="F79646"/>
      <w:sz w:val="24"/>
      <w:lang w:eastAsia="en-AU"/>
    </w:rPr>
  </w:style>
  <w:style w:type="paragraph" w:customStyle="1" w:styleId="xl340">
    <w:name w:val="xl340"/>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41">
    <w:name w:val="xl341"/>
    <w:basedOn w:val="Normal"/>
    <w:uiPriority w:val="99"/>
    <w:rsid w:val="0010488E"/>
    <w:pPr>
      <w:spacing w:before="100" w:beforeAutospacing="1" w:after="100" w:afterAutospacing="1" w:line="240" w:lineRule="auto"/>
    </w:pPr>
    <w:rPr>
      <w:rFonts w:ascii="Courier" w:eastAsia="Times New Roman" w:hAnsi="Courier" w:cs="Times New Roman"/>
      <w:color w:val="F79646"/>
      <w:sz w:val="24"/>
      <w:lang w:eastAsia="en-AU"/>
    </w:rPr>
  </w:style>
  <w:style w:type="paragraph" w:customStyle="1" w:styleId="xl342">
    <w:name w:val="xl342"/>
    <w:basedOn w:val="Normal"/>
    <w:uiPriority w:val="99"/>
    <w:rsid w:val="0010488E"/>
    <w:pPr>
      <w:spacing w:before="100" w:beforeAutospacing="1" w:after="100" w:afterAutospacing="1" w:line="240" w:lineRule="auto"/>
      <w:jc w:val="center"/>
    </w:pPr>
    <w:rPr>
      <w:rFonts w:ascii="Times New Roman" w:eastAsia="Times New Roman" w:hAnsi="Times New Roman" w:cs="Times New Roman"/>
      <w:color w:val="F79646"/>
      <w:sz w:val="24"/>
      <w:lang w:eastAsia="en-AU"/>
    </w:rPr>
  </w:style>
  <w:style w:type="paragraph" w:customStyle="1" w:styleId="xl343">
    <w:name w:val="xl343"/>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44">
    <w:name w:val="xl344"/>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45">
    <w:name w:val="xl345"/>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6">
    <w:name w:val="xl346"/>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7">
    <w:name w:val="xl347"/>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8">
    <w:name w:val="xl348"/>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49">
    <w:name w:val="xl349"/>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50">
    <w:name w:val="xl350"/>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F79646"/>
      <w:sz w:val="24"/>
      <w:lang w:eastAsia="en-AU"/>
    </w:rPr>
  </w:style>
  <w:style w:type="paragraph" w:customStyle="1" w:styleId="xl351">
    <w:name w:val="xl351"/>
    <w:basedOn w:val="Normal"/>
    <w:uiPriority w:val="99"/>
    <w:rsid w:val="0010488E"/>
    <w:pPr>
      <w:spacing w:before="100" w:beforeAutospacing="1" w:after="100" w:afterAutospacing="1" w:line="240" w:lineRule="auto"/>
    </w:pPr>
    <w:rPr>
      <w:rFonts w:ascii="Times New Roman" w:eastAsia="Times New Roman" w:hAnsi="Times New Roman" w:cs="Times New Roman"/>
      <w:color w:val="F79646"/>
      <w:sz w:val="24"/>
      <w:lang w:eastAsia="en-AU"/>
    </w:rPr>
  </w:style>
  <w:style w:type="paragraph" w:customStyle="1" w:styleId="xl352">
    <w:name w:val="xl352"/>
    <w:basedOn w:val="Normal"/>
    <w:uiPriority w:val="99"/>
    <w:rsid w:val="0010488E"/>
    <w:pPr>
      <w:shd w:val="clear" w:color="000000" w:fill="F79646"/>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53">
    <w:name w:val="xl353"/>
    <w:basedOn w:val="Normal"/>
    <w:uiPriority w:val="99"/>
    <w:rsid w:val="0010488E"/>
    <w:pPr>
      <w:spacing w:before="100" w:beforeAutospacing="1" w:after="100" w:afterAutospacing="1" w:line="240" w:lineRule="auto"/>
      <w:jc w:val="right"/>
    </w:pPr>
    <w:rPr>
      <w:rFonts w:ascii="Times New Roman" w:eastAsia="Times New Roman" w:hAnsi="Times New Roman" w:cs="Times New Roman"/>
      <w:color w:val="00B050"/>
      <w:sz w:val="24"/>
      <w:lang w:eastAsia="en-AU"/>
    </w:rPr>
  </w:style>
  <w:style w:type="paragraph" w:customStyle="1" w:styleId="xl355">
    <w:name w:val="xl355"/>
    <w:basedOn w:val="Normal"/>
    <w:uiPriority w:val="99"/>
    <w:rsid w:val="0010488E"/>
    <w:pPr>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56">
    <w:name w:val="xl356"/>
    <w:basedOn w:val="Normal"/>
    <w:uiPriority w:val="99"/>
    <w:rsid w:val="0010488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358">
    <w:name w:val="xl358"/>
    <w:basedOn w:val="Normal"/>
    <w:uiPriority w:val="99"/>
    <w:rsid w:val="0010488E"/>
    <w:pPr>
      <w:shd w:val="clear" w:color="000000" w:fill="FFFF0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359">
    <w:name w:val="xl359"/>
    <w:basedOn w:val="Normal"/>
    <w:uiPriority w:val="99"/>
    <w:rsid w:val="0010488E"/>
    <w:pPr>
      <w:shd w:val="clear" w:color="000000" w:fill="C4BD97"/>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60">
    <w:name w:val="xl360"/>
    <w:basedOn w:val="Normal"/>
    <w:uiPriority w:val="99"/>
    <w:rsid w:val="0010488E"/>
    <w:pPr>
      <w:shd w:val="clear" w:color="000000" w:fill="FFFFFF"/>
      <w:spacing w:before="100" w:beforeAutospacing="1" w:after="100" w:afterAutospacing="1" w:line="240" w:lineRule="auto"/>
      <w:jc w:val="right"/>
    </w:pPr>
    <w:rPr>
      <w:rFonts w:ascii="Times New Roman" w:eastAsia="Times New Roman" w:hAnsi="Times New Roman" w:cs="Times New Roman"/>
      <w:sz w:val="24"/>
      <w:lang w:eastAsia="en-AU"/>
    </w:rPr>
  </w:style>
  <w:style w:type="paragraph" w:customStyle="1" w:styleId="xl361">
    <w:name w:val="xl361"/>
    <w:basedOn w:val="Normal"/>
    <w:uiPriority w:val="99"/>
    <w:rsid w:val="0010488E"/>
    <w:pPr>
      <w:spacing w:before="100" w:beforeAutospacing="1" w:after="100" w:afterAutospacing="1" w:line="240" w:lineRule="auto"/>
    </w:pPr>
    <w:rPr>
      <w:rFonts w:eastAsia="Times New Roman" w:cs="Arial"/>
      <w:szCs w:val="20"/>
      <w:lang w:eastAsia="en-AU"/>
    </w:rPr>
  </w:style>
  <w:style w:type="paragraph" w:customStyle="1" w:styleId="xl362">
    <w:name w:val="xl362"/>
    <w:basedOn w:val="Normal"/>
    <w:uiPriority w:val="99"/>
    <w:rsid w:val="0010488E"/>
    <w:pPr>
      <w:spacing w:before="100" w:beforeAutospacing="1" w:after="100" w:afterAutospacing="1" w:line="240" w:lineRule="auto"/>
      <w:jc w:val="right"/>
    </w:pPr>
    <w:rPr>
      <w:rFonts w:eastAsia="Times New Roman" w:cs="Arial"/>
      <w:szCs w:val="20"/>
      <w:lang w:eastAsia="en-AU"/>
    </w:rPr>
  </w:style>
  <w:style w:type="paragraph" w:customStyle="1" w:styleId="captionforfigures">
    <w:name w:val="caption for figures"/>
    <w:basedOn w:val="Caption"/>
    <w:link w:val="captionforfiguresChar"/>
    <w:uiPriority w:val="99"/>
    <w:rsid w:val="0010488E"/>
    <w:pPr>
      <w:keepLines/>
      <w:tabs>
        <w:tab w:val="num" w:pos="397"/>
      </w:tabs>
      <w:spacing w:before="0" w:after="120" w:line="240" w:lineRule="auto"/>
      <w:ind w:left="397" w:hanging="397"/>
    </w:pPr>
    <w:rPr>
      <w:rFonts w:ascii="Arial" w:eastAsia="Times New Roman" w:hAnsi="Arial" w:cs="Times New Roman"/>
      <w:color w:val="808000"/>
      <w:szCs w:val="20"/>
      <w:lang w:val="en-GB"/>
    </w:rPr>
  </w:style>
  <w:style w:type="character" w:customStyle="1" w:styleId="CaptionChar1">
    <w:name w:val="Caption Char1"/>
    <w:aliases w:val="PAE Char,Item Char,Table Caption Char,Table Caption1 Char,Figure Char,CDM B/Caption Char,TABLE Char"/>
    <w:basedOn w:val="Para0Char"/>
    <w:locked/>
    <w:rsid w:val="0010488E"/>
    <w:rPr>
      <w:rFonts w:ascii="Arial" w:hAnsi="Arial" w:cs="Times New Roman"/>
      <w:b/>
      <w:color w:val="808000"/>
      <w:sz w:val="20"/>
      <w:szCs w:val="20"/>
      <w:lang w:val="en-GB" w:eastAsia="en-US"/>
    </w:rPr>
  </w:style>
  <w:style w:type="character" w:customStyle="1" w:styleId="captionforfiguresChar">
    <w:name w:val="caption for figures Char"/>
    <w:basedOn w:val="CaptionChar1"/>
    <w:link w:val="captionforfigures"/>
    <w:uiPriority w:val="99"/>
    <w:locked/>
    <w:rsid w:val="0010488E"/>
    <w:rPr>
      <w:rFonts w:ascii="Arial" w:eastAsia="Times New Roman" w:hAnsi="Arial" w:cs="Times New Roman"/>
      <w:b/>
      <w:color w:val="808000"/>
      <w:sz w:val="20"/>
      <w:szCs w:val="20"/>
      <w:lang w:val="en-GB" w:eastAsia="en-US"/>
    </w:rPr>
  </w:style>
  <w:style w:type="paragraph" w:customStyle="1" w:styleId="StyleHeading3ArialNarrow10ptNotBold">
    <w:name w:val="Style Heading 3 + Arial Narrow 10 pt Not Bold"/>
    <w:basedOn w:val="Heading3"/>
    <w:uiPriority w:val="99"/>
    <w:rsid w:val="0010488E"/>
    <w:pPr>
      <w:keepLines w:val="0"/>
      <w:numPr>
        <w:numId w:val="63"/>
      </w:numPr>
      <w:tabs>
        <w:tab w:val="num" w:pos="851"/>
      </w:tabs>
      <w:spacing w:line="240" w:lineRule="auto"/>
    </w:pPr>
    <w:rPr>
      <w:rFonts w:ascii="Arial Narrow" w:eastAsia="Times New Roman" w:hAnsi="Arial Narrow" w:cs="Times New Roman"/>
      <w:b w:val="0"/>
      <w:bCs w:val="0"/>
      <w:color w:val="42145F"/>
      <w:szCs w:val="22"/>
      <w:lang w:val="en-GB"/>
    </w:rPr>
  </w:style>
  <w:style w:type="paragraph" w:customStyle="1" w:styleId="Source1">
    <w:name w:val="Source1"/>
    <w:basedOn w:val="Normal"/>
    <w:link w:val="Source1Char"/>
    <w:uiPriority w:val="99"/>
    <w:rsid w:val="0010488E"/>
    <w:pPr>
      <w:spacing w:line="300" w:lineRule="auto"/>
    </w:pPr>
    <w:rPr>
      <w:rFonts w:eastAsia="Times New Roman" w:cs="Arial"/>
      <w:i/>
      <w:color w:val="000000"/>
      <w:sz w:val="16"/>
      <w:szCs w:val="16"/>
      <w:lang w:val="en-GB"/>
    </w:rPr>
  </w:style>
  <w:style w:type="character" w:customStyle="1" w:styleId="Source1Char">
    <w:name w:val="Source1 Char"/>
    <w:basedOn w:val="DefaultParagraphFont"/>
    <w:link w:val="Source1"/>
    <w:uiPriority w:val="99"/>
    <w:locked/>
    <w:rsid w:val="0010488E"/>
    <w:rPr>
      <w:rFonts w:ascii="Arial" w:eastAsia="Times New Roman" w:hAnsi="Arial" w:cs="Arial"/>
      <w:i/>
      <w:color w:val="000000"/>
      <w:sz w:val="16"/>
      <w:szCs w:val="16"/>
      <w:lang w:val="en-GB"/>
    </w:rPr>
  </w:style>
  <w:style w:type="numbering" w:customStyle="1" w:styleId="Tabletextnumbered">
    <w:name w:val="Table text numbered"/>
    <w:rsid w:val="0010488E"/>
    <w:pPr>
      <w:numPr>
        <w:numId w:val="66"/>
      </w:numPr>
    </w:pPr>
  </w:style>
  <w:style w:type="table" w:styleId="ColorfulShading-Accent5">
    <w:name w:val="Colorful Shading Accent 5"/>
    <w:basedOn w:val="TableNormal"/>
    <w:uiPriority w:val="71"/>
    <w:rsid w:val="0010488E"/>
    <w:rPr>
      <w:color w:val="000000" w:themeColor="text1"/>
    </w:rPr>
    <w:tblPr>
      <w:tblStyleRowBandSize w:val="1"/>
      <w:tblStyleColBandSize w:val="1"/>
      <w:tblBorders>
        <w:top w:val="single" w:sz="24" w:space="0" w:color="00338D" w:themeColor="accent6"/>
        <w:left w:val="single" w:sz="4" w:space="0" w:color="6C6F70" w:themeColor="accent5"/>
        <w:bottom w:val="single" w:sz="4" w:space="0" w:color="6C6F70" w:themeColor="accent5"/>
        <w:right w:val="single" w:sz="4" w:space="0" w:color="6C6F70" w:themeColor="accent5"/>
        <w:insideH w:val="single" w:sz="4" w:space="0" w:color="FFFFFF" w:themeColor="background1"/>
        <w:insideV w:val="single" w:sz="4" w:space="0" w:color="FFFFFF" w:themeColor="background1"/>
      </w:tblBorders>
    </w:tblPr>
    <w:tcPr>
      <w:shd w:val="clear" w:color="auto" w:fill="F0F0F1" w:themeFill="accent5" w:themeFillTint="19"/>
    </w:tcPr>
    <w:tblStylePr w:type="firstRow">
      <w:rPr>
        <w:b/>
        <w:bCs/>
      </w:rPr>
      <w:tblPr/>
      <w:tcPr>
        <w:tcBorders>
          <w:top w:val="nil"/>
          <w:left w:val="nil"/>
          <w:bottom w:val="single" w:sz="24" w:space="0" w:color="0033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4243" w:themeFill="accent5" w:themeFillShade="99"/>
      </w:tcPr>
    </w:tblStylePr>
    <w:tblStylePr w:type="firstCol">
      <w:rPr>
        <w:color w:val="FFFFFF" w:themeColor="background1"/>
      </w:rPr>
      <w:tblPr/>
      <w:tcPr>
        <w:tcBorders>
          <w:top w:val="nil"/>
          <w:left w:val="nil"/>
          <w:bottom w:val="nil"/>
          <w:right w:val="nil"/>
          <w:insideH w:val="single" w:sz="4" w:space="0" w:color="414243" w:themeColor="accent5" w:themeShade="99"/>
          <w:insideV w:val="nil"/>
        </w:tcBorders>
        <w:shd w:val="clear" w:color="auto" w:fill="4142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14243" w:themeFill="accent5" w:themeFillShade="99"/>
      </w:tcPr>
    </w:tblStylePr>
    <w:tblStylePr w:type="band1Vert">
      <w:tblPr/>
      <w:tcPr>
        <w:shd w:val="clear" w:color="auto" w:fill="C3C5C6" w:themeFill="accent5" w:themeFillTint="66"/>
      </w:tcPr>
    </w:tblStylePr>
    <w:tblStylePr w:type="band1Horz">
      <w:tblPr/>
      <w:tcPr>
        <w:shd w:val="clear" w:color="auto" w:fill="B5B7B8" w:themeFill="accent5" w:themeFillTint="7F"/>
      </w:tcPr>
    </w:tblStylePr>
    <w:tblStylePr w:type="neCell">
      <w:rPr>
        <w:color w:val="000000" w:themeColor="text1"/>
      </w:rPr>
    </w:tblStylePr>
    <w:tblStylePr w:type="nwCell">
      <w:rPr>
        <w:color w:val="000000" w:themeColor="text1"/>
      </w:rPr>
    </w:tblStylePr>
  </w:style>
  <w:style w:type="table" w:styleId="LightList-Accent5">
    <w:name w:val="Light List Accent 5"/>
    <w:basedOn w:val="TableNormal"/>
    <w:uiPriority w:val="61"/>
    <w:rsid w:val="0010488E"/>
    <w:tblPr>
      <w:tblStyleRowBandSize w:val="1"/>
      <w:tblStyleColBandSize w:val="1"/>
      <w:tblBorders>
        <w:top w:val="single" w:sz="8" w:space="0" w:color="6C6F70" w:themeColor="accent5"/>
        <w:left w:val="single" w:sz="8" w:space="0" w:color="6C6F70" w:themeColor="accent5"/>
        <w:bottom w:val="single" w:sz="8" w:space="0" w:color="6C6F70" w:themeColor="accent5"/>
        <w:right w:val="single" w:sz="8" w:space="0" w:color="6C6F70" w:themeColor="accent5"/>
      </w:tblBorders>
    </w:tblPr>
    <w:tblStylePr w:type="firstRow">
      <w:pPr>
        <w:spacing w:before="0" w:after="0" w:line="240" w:lineRule="auto"/>
      </w:pPr>
      <w:rPr>
        <w:b/>
        <w:bCs/>
        <w:color w:val="FFFFFF" w:themeColor="background1"/>
      </w:rPr>
      <w:tblPr/>
      <w:tcPr>
        <w:shd w:val="clear" w:color="auto" w:fill="6C6F70" w:themeFill="accent5"/>
      </w:tcPr>
    </w:tblStylePr>
    <w:tblStylePr w:type="lastRow">
      <w:pPr>
        <w:spacing w:before="0" w:after="0" w:line="240" w:lineRule="auto"/>
      </w:pPr>
      <w:rPr>
        <w:b/>
        <w:bCs/>
      </w:rPr>
      <w:tblPr/>
      <w:tcPr>
        <w:tcBorders>
          <w:top w:val="double" w:sz="6" w:space="0" w:color="6C6F70" w:themeColor="accent5"/>
          <w:left w:val="single" w:sz="8" w:space="0" w:color="6C6F70" w:themeColor="accent5"/>
          <w:bottom w:val="single" w:sz="8" w:space="0" w:color="6C6F70" w:themeColor="accent5"/>
          <w:right w:val="single" w:sz="8" w:space="0" w:color="6C6F70" w:themeColor="accent5"/>
        </w:tcBorders>
      </w:tcPr>
    </w:tblStylePr>
    <w:tblStylePr w:type="firstCol">
      <w:rPr>
        <w:b/>
        <w:bCs/>
      </w:rPr>
    </w:tblStylePr>
    <w:tblStylePr w:type="lastCol">
      <w:rPr>
        <w:b/>
        <w:bCs/>
      </w:rPr>
    </w:tblStylePr>
    <w:tblStylePr w:type="band1Vert">
      <w:tblPr/>
      <w:tcPr>
        <w:tcBorders>
          <w:top w:val="single" w:sz="8" w:space="0" w:color="6C6F70" w:themeColor="accent5"/>
          <w:left w:val="single" w:sz="8" w:space="0" w:color="6C6F70" w:themeColor="accent5"/>
          <w:bottom w:val="single" w:sz="8" w:space="0" w:color="6C6F70" w:themeColor="accent5"/>
          <w:right w:val="single" w:sz="8" w:space="0" w:color="6C6F70" w:themeColor="accent5"/>
        </w:tcBorders>
      </w:tcPr>
    </w:tblStylePr>
    <w:tblStylePr w:type="band1Horz">
      <w:tblPr/>
      <w:tcPr>
        <w:tcBorders>
          <w:top w:val="single" w:sz="8" w:space="0" w:color="6C6F70" w:themeColor="accent5"/>
          <w:left w:val="single" w:sz="8" w:space="0" w:color="6C6F70" w:themeColor="accent5"/>
          <w:bottom w:val="single" w:sz="8" w:space="0" w:color="6C6F70" w:themeColor="accent5"/>
          <w:right w:val="single" w:sz="8" w:space="0" w:color="6C6F70" w:themeColor="accent5"/>
        </w:tcBorders>
      </w:tcPr>
    </w:tblStylePr>
  </w:style>
  <w:style w:type="paragraph" w:customStyle="1" w:styleId="xl167">
    <w:name w:val="xl167"/>
    <w:basedOn w:val="Normal"/>
    <w:rsid w:val="0010488E"/>
    <w:pPr>
      <w:shd w:val="clear" w:color="000000" w:fill="C0C0C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168">
    <w:name w:val="xl168"/>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69">
    <w:name w:val="xl169"/>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0">
    <w:name w:val="xl170"/>
    <w:basedOn w:val="Normal"/>
    <w:rsid w:val="0010488E"/>
    <w:pPr>
      <w:shd w:val="clear" w:color="000000" w:fill="C0C0C0"/>
      <w:spacing w:before="100" w:beforeAutospacing="1" w:after="100" w:afterAutospacing="1" w:line="240" w:lineRule="auto"/>
    </w:pPr>
    <w:rPr>
      <w:rFonts w:ascii="Cambria" w:eastAsia="Times New Roman" w:hAnsi="Cambria" w:cs="Times New Roman"/>
      <w:color w:val="0069B3"/>
      <w:sz w:val="24"/>
      <w:lang w:eastAsia="en-AU"/>
    </w:rPr>
  </w:style>
  <w:style w:type="paragraph" w:customStyle="1" w:styleId="xl171">
    <w:name w:val="xl171"/>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2">
    <w:name w:val="xl172"/>
    <w:basedOn w:val="Normal"/>
    <w:rsid w:val="0010488E"/>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3">
    <w:name w:val="xl173"/>
    <w:basedOn w:val="Normal"/>
    <w:rsid w:val="0010488E"/>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4">
    <w:name w:val="xl174"/>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5">
    <w:name w:val="xl175"/>
    <w:basedOn w:val="Normal"/>
    <w:rsid w:val="0010488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6">
    <w:name w:val="xl176"/>
    <w:basedOn w:val="Normal"/>
    <w:rsid w:val="0010488E"/>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line="240" w:lineRule="auto"/>
    </w:pPr>
    <w:rPr>
      <w:rFonts w:ascii="Times New Roman" w:eastAsia="Times New Roman" w:hAnsi="Times New Roman" w:cs="Times New Roman"/>
      <w:color w:val="0069B3"/>
      <w:sz w:val="24"/>
      <w:lang w:eastAsia="en-AU"/>
    </w:rPr>
  </w:style>
  <w:style w:type="paragraph" w:customStyle="1" w:styleId="xl177">
    <w:name w:val="xl177"/>
    <w:basedOn w:val="Normal"/>
    <w:rsid w:val="0010488E"/>
    <w:pPr>
      <w:pBdr>
        <w:top w:val="single" w:sz="4" w:space="0" w:color="C0C0C0"/>
        <w:left w:val="single" w:sz="4" w:space="0" w:color="C0C0C0"/>
        <w:bottom w:val="single" w:sz="4" w:space="0" w:color="C0C0C0"/>
        <w:right w:val="single" w:sz="4" w:space="0" w:color="C0C0C0"/>
      </w:pBdr>
      <w:shd w:val="clear" w:color="000000" w:fill="FEB80A"/>
      <w:spacing w:before="100" w:beforeAutospacing="1" w:after="100" w:afterAutospacing="1" w:line="240" w:lineRule="auto"/>
    </w:pPr>
    <w:rPr>
      <w:rFonts w:ascii="Times New Roman" w:eastAsia="Times New Roman" w:hAnsi="Times New Roman" w:cs="Times New Roman"/>
      <w:color w:val="0069B3"/>
      <w:sz w:val="24"/>
      <w:lang w:eastAsia="en-AU"/>
    </w:rPr>
  </w:style>
  <w:style w:type="table" w:customStyle="1" w:styleId="LightList-Accent121">
    <w:name w:val="Light List - Accent 121"/>
    <w:basedOn w:val="TableNormal"/>
    <w:uiPriority w:val="61"/>
    <w:rsid w:val="0010488E"/>
    <w:rPr>
      <w:rFonts w:eastAsia="Times New Roman"/>
      <w:sz w:val="22"/>
      <w:szCs w:val="22"/>
      <w:lang w:val="en-AU"/>
    </w:rPr>
    <w:tblPr>
      <w:tblStyleRowBandSize w:val="1"/>
      <w:tblStyleColBandSize w:val="1"/>
      <w:tblBorders>
        <w:top w:val="single" w:sz="8" w:space="0" w:color="597AB5" w:themeColor="accent1"/>
        <w:left w:val="single" w:sz="8" w:space="0" w:color="597AB5" w:themeColor="accent1"/>
        <w:bottom w:val="single" w:sz="8" w:space="0" w:color="597AB5" w:themeColor="accent1"/>
        <w:right w:val="single" w:sz="8" w:space="0" w:color="597AB5" w:themeColor="accent1"/>
      </w:tblBorders>
    </w:tblPr>
    <w:tblStylePr w:type="firstRow">
      <w:pPr>
        <w:spacing w:before="0" w:after="0" w:line="240" w:lineRule="auto"/>
      </w:pPr>
      <w:rPr>
        <w:b/>
        <w:bCs/>
        <w:color w:val="FFFFFF" w:themeColor="background1"/>
      </w:rPr>
      <w:tblPr/>
      <w:tcPr>
        <w:shd w:val="clear" w:color="auto" w:fill="597AB5" w:themeFill="accent1"/>
      </w:tcPr>
    </w:tblStylePr>
    <w:tblStylePr w:type="lastRow">
      <w:pPr>
        <w:spacing w:before="0" w:after="0" w:line="240" w:lineRule="auto"/>
      </w:pPr>
      <w:rPr>
        <w:b/>
        <w:bCs/>
      </w:rPr>
      <w:tblPr/>
      <w:tcPr>
        <w:tcBorders>
          <w:top w:val="double" w:sz="6" w:space="0" w:color="597AB5" w:themeColor="accent1"/>
          <w:left w:val="single" w:sz="8" w:space="0" w:color="597AB5" w:themeColor="accent1"/>
          <w:bottom w:val="single" w:sz="8" w:space="0" w:color="597AB5" w:themeColor="accent1"/>
          <w:right w:val="single" w:sz="8" w:space="0" w:color="597AB5" w:themeColor="accent1"/>
        </w:tcBorders>
      </w:tcPr>
    </w:tblStylePr>
    <w:tblStylePr w:type="firstCol">
      <w:rPr>
        <w:b/>
        <w:bCs/>
      </w:rPr>
    </w:tblStylePr>
    <w:tblStylePr w:type="lastCol">
      <w:rPr>
        <w:b/>
        <w:bCs/>
      </w:rPr>
    </w:tblStylePr>
    <w:tblStylePr w:type="band1Vert">
      <w:tblPr/>
      <w:tcPr>
        <w:tcBorders>
          <w:top w:val="single" w:sz="8" w:space="0" w:color="597AB5" w:themeColor="accent1"/>
          <w:left w:val="single" w:sz="8" w:space="0" w:color="597AB5" w:themeColor="accent1"/>
          <w:bottom w:val="single" w:sz="8" w:space="0" w:color="597AB5" w:themeColor="accent1"/>
          <w:right w:val="single" w:sz="8" w:space="0" w:color="597AB5" w:themeColor="accent1"/>
        </w:tcBorders>
      </w:tcPr>
    </w:tblStylePr>
    <w:tblStylePr w:type="band1Horz">
      <w:tblPr/>
      <w:tcPr>
        <w:tcBorders>
          <w:top w:val="single" w:sz="8" w:space="0" w:color="597AB5" w:themeColor="accent1"/>
          <w:left w:val="single" w:sz="8" w:space="0" w:color="597AB5" w:themeColor="accent1"/>
          <w:bottom w:val="single" w:sz="8" w:space="0" w:color="597AB5" w:themeColor="accent1"/>
          <w:right w:val="single" w:sz="8" w:space="0" w:color="597AB5" w:themeColor="accent1"/>
        </w:tcBorders>
      </w:tcPr>
    </w:tblStylePr>
  </w:style>
  <w:style w:type="paragraph" w:customStyle="1" w:styleId="tableA9black">
    <w:name w:val="table A9 black"/>
    <w:basedOn w:val="Normal"/>
    <w:link w:val="tableA9blackChar"/>
    <w:qFormat/>
    <w:rsid w:val="0010488E"/>
    <w:pPr>
      <w:keepNext/>
      <w:spacing w:after="0" w:line="240" w:lineRule="auto"/>
    </w:pPr>
    <w:rPr>
      <w:rFonts w:eastAsia="Times New Roman" w:cs="Arial"/>
      <w:b/>
      <w:sz w:val="18"/>
      <w:szCs w:val="18"/>
      <w:lang w:eastAsia="en-AU"/>
    </w:rPr>
  </w:style>
  <w:style w:type="character" w:customStyle="1" w:styleId="tableA9blackChar">
    <w:name w:val="table A9 black Char"/>
    <w:basedOn w:val="DefaultParagraphFont"/>
    <w:link w:val="tableA9black"/>
    <w:rsid w:val="0010488E"/>
    <w:rPr>
      <w:rFonts w:ascii="Arial" w:eastAsia="Times New Roman" w:hAnsi="Arial" w:cs="Arial"/>
      <w:b/>
      <w:sz w:val="18"/>
      <w:szCs w:val="18"/>
      <w:lang w:val="en-AU" w:eastAsia="en-AU"/>
    </w:rPr>
  </w:style>
  <w:style w:type="paragraph" w:customStyle="1" w:styleId="Sectionsubheading">
    <w:name w:val="Section sub heading"/>
    <w:basedOn w:val="Heading2"/>
    <w:next w:val="Para0"/>
    <w:qFormat/>
    <w:rsid w:val="009E0DE2"/>
    <w:pPr>
      <w:numPr>
        <w:ilvl w:val="0"/>
        <w:numId w:val="0"/>
      </w:numPr>
      <w:spacing w:before="0" w:after="240"/>
    </w:pPr>
    <w:rPr>
      <w:rFonts w:ascii="Arial Narrow" w:hAnsi="Arial Narrow"/>
      <w:color w:val="42145F"/>
      <w:szCs w:val="24"/>
    </w:rPr>
  </w:style>
  <w:style w:type="paragraph" w:customStyle="1" w:styleId="Sectionminorheading">
    <w:name w:val="Section minor heading"/>
    <w:basedOn w:val="Heading3"/>
    <w:next w:val="Para0"/>
    <w:qFormat/>
    <w:rsid w:val="009E0DE2"/>
    <w:pPr>
      <w:numPr>
        <w:ilvl w:val="0"/>
        <w:numId w:val="0"/>
      </w:numPr>
      <w:spacing w:before="0" w:after="240"/>
    </w:pPr>
    <w:rPr>
      <w:rFonts w:ascii="Arial Narrow" w:hAnsi="Arial Narrow"/>
      <w:color w:val="939598"/>
      <w:sz w:val="22"/>
      <w:szCs w:val="22"/>
    </w:rPr>
  </w:style>
  <w:style w:type="paragraph" w:customStyle="1" w:styleId="Level2">
    <w:name w:val="Level 2"/>
    <w:basedOn w:val="Normal"/>
    <w:rsid w:val="009E0DE2"/>
    <w:pPr>
      <w:tabs>
        <w:tab w:val="num" w:pos="680"/>
      </w:tabs>
      <w:spacing w:after="140" w:line="288" w:lineRule="auto"/>
      <w:ind w:left="680" w:hanging="680"/>
      <w:jc w:val="both"/>
      <w:outlineLvl w:val="1"/>
    </w:pPr>
    <w:rPr>
      <w:rFonts w:eastAsia="Times New Roman" w:cs="Times New Roman"/>
      <w:kern w:val="20"/>
      <w:szCs w:val="28"/>
      <w:lang w:val="en-GB"/>
    </w:rPr>
  </w:style>
  <w:style w:type="paragraph" w:customStyle="1" w:styleId="Level3">
    <w:name w:val="Level 3"/>
    <w:basedOn w:val="Normal"/>
    <w:rsid w:val="009E0DE2"/>
    <w:pPr>
      <w:tabs>
        <w:tab w:val="num" w:pos="1361"/>
      </w:tabs>
      <w:spacing w:after="140" w:line="288" w:lineRule="auto"/>
      <w:ind w:left="1361" w:hanging="681"/>
      <w:jc w:val="both"/>
      <w:outlineLvl w:val="2"/>
    </w:pPr>
    <w:rPr>
      <w:rFonts w:eastAsia="Times New Roman" w:cs="Times New Roman"/>
      <w:kern w:val="20"/>
      <w:szCs w:val="28"/>
      <w:lang w:val="en-GB"/>
    </w:rPr>
  </w:style>
  <w:style w:type="paragraph" w:customStyle="1" w:styleId="Level4">
    <w:name w:val="Level 4"/>
    <w:basedOn w:val="Normal"/>
    <w:rsid w:val="009E0DE2"/>
    <w:pPr>
      <w:tabs>
        <w:tab w:val="num" w:pos="2041"/>
      </w:tabs>
      <w:spacing w:after="140" w:line="288" w:lineRule="auto"/>
      <w:ind w:left="2041" w:hanging="680"/>
      <w:jc w:val="both"/>
      <w:outlineLvl w:val="3"/>
    </w:pPr>
    <w:rPr>
      <w:rFonts w:eastAsia="Times New Roman" w:cs="Times New Roman"/>
      <w:kern w:val="20"/>
      <w:lang w:val="en-GB"/>
    </w:rPr>
  </w:style>
  <w:style w:type="paragraph" w:customStyle="1" w:styleId="Level6">
    <w:name w:val="Level 6"/>
    <w:basedOn w:val="Normal"/>
    <w:rsid w:val="009E0DE2"/>
    <w:pPr>
      <w:tabs>
        <w:tab w:val="num" w:pos="3288"/>
      </w:tabs>
      <w:spacing w:after="140" w:line="288" w:lineRule="auto"/>
      <w:ind w:left="3288" w:hanging="680"/>
      <w:jc w:val="both"/>
      <w:outlineLvl w:val="5"/>
    </w:pPr>
    <w:rPr>
      <w:rFonts w:eastAsia="Times New Roman" w:cs="Times New Roman"/>
      <w:kern w:val="20"/>
      <w:lang w:val="en-GB"/>
    </w:rPr>
  </w:style>
  <w:style w:type="paragraph" w:customStyle="1" w:styleId="Level7">
    <w:name w:val="Level 7"/>
    <w:basedOn w:val="Normal"/>
    <w:rsid w:val="009E0DE2"/>
    <w:pPr>
      <w:tabs>
        <w:tab w:val="num" w:pos="3288"/>
      </w:tabs>
      <w:spacing w:after="140" w:line="288" w:lineRule="auto"/>
      <w:ind w:left="3288" w:hanging="680"/>
      <w:jc w:val="both"/>
      <w:outlineLvl w:val="6"/>
    </w:pPr>
    <w:rPr>
      <w:rFonts w:eastAsia="Times New Roman" w:cs="Times New Roman"/>
      <w:kern w:val="20"/>
      <w:lang w:val="en-GB"/>
    </w:rPr>
  </w:style>
  <w:style w:type="paragraph" w:customStyle="1" w:styleId="Level8">
    <w:name w:val="Level 8"/>
    <w:basedOn w:val="Normal"/>
    <w:rsid w:val="009E0DE2"/>
    <w:pPr>
      <w:tabs>
        <w:tab w:val="num" w:pos="3288"/>
      </w:tabs>
      <w:spacing w:after="140" w:line="288" w:lineRule="auto"/>
      <w:ind w:left="3288" w:hanging="680"/>
      <w:jc w:val="both"/>
      <w:outlineLvl w:val="7"/>
    </w:pPr>
    <w:rPr>
      <w:rFonts w:eastAsia="Times New Roman" w:cs="Times New Roman"/>
      <w:kern w:val="20"/>
      <w:lang w:val="en-GB"/>
    </w:rPr>
  </w:style>
  <w:style w:type="paragraph" w:customStyle="1" w:styleId="Level9">
    <w:name w:val="Level 9"/>
    <w:basedOn w:val="Normal"/>
    <w:rsid w:val="009E0DE2"/>
    <w:pPr>
      <w:tabs>
        <w:tab w:val="num" w:pos="3288"/>
      </w:tabs>
      <w:spacing w:after="140" w:line="288" w:lineRule="auto"/>
      <w:ind w:left="3288" w:hanging="680"/>
      <w:jc w:val="both"/>
      <w:outlineLvl w:val="8"/>
    </w:pPr>
    <w:rPr>
      <w:rFonts w:eastAsia="Times New Roman" w:cs="Times New Roman"/>
      <w:kern w:val="20"/>
      <w:lang w:val="en-GB"/>
    </w:rPr>
  </w:style>
  <w:style w:type="paragraph" w:customStyle="1" w:styleId="xl89">
    <w:name w:val="xl89"/>
    <w:basedOn w:val="Normal"/>
    <w:rsid w:val="009E0DE2"/>
    <w:pPr>
      <w:pBdr>
        <w:left w:val="single" w:sz="4" w:space="0" w:color="000000"/>
      </w:pBdr>
      <w:shd w:val="clear" w:color="000000" w:fill="C0C0C0"/>
      <w:spacing w:before="100" w:beforeAutospacing="1" w:after="100" w:afterAutospacing="1" w:line="240" w:lineRule="auto"/>
    </w:pPr>
    <w:rPr>
      <w:rFonts w:eastAsia="Times New Roman" w:cs="Arial"/>
      <w:sz w:val="24"/>
      <w:lang w:eastAsia="en-AU"/>
    </w:rPr>
  </w:style>
  <w:style w:type="paragraph" w:customStyle="1" w:styleId="AttachmentTitle">
    <w:name w:val="Attachment Title"/>
    <w:basedOn w:val="Heading1"/>
    <w:next w:val="BodyText"/>
    <w:qFormat/>
    <w:rsid w:val="008945A8"/>
    <w:pPr>
      <w:numPr>
        <w:numId w:val="70"/>
      </w:numPr>
      <w:suppressLineNumbers/>
      <w:suppressAutoHyphens/>
      <w:spacing w:before="360" w:line="240" w:lineRule="atLeast"/>
    </w:pPr>
    <w:rPr>
      <w:rFonts w:asciiTheme="minorHAnsi" w:eastAsia="Times New Roman" w:hAnsiTheme="minorHAnsi" w:cs="Times New Roman"/>
      <w:bCs w:val="0"/>
      <w:caps/>
      <w:color w:val="auto"/>
      <w:kern w:val="28"/>
      <w:sz w:val="28"/>
      <w:szCs w:val="20"/>
      <w:u w:color="568A9E"/>
      <w:lang w:val="en-GB"/>
    </w:rPr>
  </w:style>
  <w:style w:type="paragraph" w:customStyle="1" w:styleId="AttachmentHeading1">
    <w:name w:val="Attachment Heading 1"/>
    <w:basedOn w:val="Heading2"/>
    <w:next w:val="Normal"/>
    <w:link w:val="AttachmentHeading1Char"/>
    <w:rsid w:val="008945A8"/>
    <w:pPr>
      <w:numPr>
        <w:numId w:val="70"/>
      </w:numPr>
      <w:suppressLineNumbers/>
      <w:tabs>
        <w:tab w:val="left" w:pos="709"/>
      </w:tabs>
      <w:suppressAutoHyphens/>
    </w:pPr>
    <w:rPr>
      <w:rFonts w:eastAsia="Times New Roman" w:cs="Times New Roman"/>
      <w:bCs w:val="0"/>
      <w:szCs w:val="20"/>
      <w:lang w:val="en-GB"/>
    </w:rPr>
  </w:style>
  <w:style w:type="paragraph" w:customStyle="1" w:styleId="AttachmentHeading2">
    <w:name w:val="Attachment Heading 2"/>
    <w:basedOn w:val="AttachmentHeading1"/>
    <w:link w:val="AttachmentHeading2Char"/>
    <w:qFormat/>
    <w:rsid w:val="008945A8"/>
    <w:pPr>
      <w:numPr>
        <w:ilvl w:val="2"/>
      </w:numPr>
      <w:tabs>
        <w:tab w:val="clear" w:pos="709"/>
      </w:tabs>
    </w:pPr>
    <w:rPr>
      <w:i/>
      <w:sz w:val="22"/>
      <w:szCs w:val="22"/>
    </w:rPr>
  </w:style>
  <w:style w:type="character" w:customStyle="1" w:styleId="AttachmentHeading1Char">
    <w:name w:val="Attachment Heading 1 Char"/>
    <w:basedOn w:val="Heading2Char"/>
    <w:link w:val="AttachmentHeading1"/>
    <w:rsid w:val="008945A8"/>
    <w:rPr>
      <w:rFonts w:ascii="Arial" w:eastAsia="Times New Roman" w:hAnsi="Arial" w:cs="Times New Roman"/>
      <w:b/>
      <w:bCs w:val="0"/>
      <w:color w:val="00338D"/>
      <w:szCs w:val="20"/>
      <w:lang w:val="en-GB"/>
    </w:rPr>
  </w:style>
  <w:style w:type="character" w:customStyle="1" w:styleId="AttachmentHeading2Char">
    <w:name w:val="Attachment Heading 2 Char"/>
    <w:basedOn w:val="AttachmentHeading1Char"/>
    <w:link w:val="AttachmentHeading2"/>
    <w:rsid w:val="008945A8"/>
    <w:rPr>
      <w:rFonts w:ascii="Arial" w:eastAsia="Times New Roman" w:hAnsi="Arial" w:cs="Times New Roman"/>
      <w:b/>
      <w:bCs w:val="0"/>
      <w:i/>
      <w:color w:val="00338D"/>
      <w:sz w:val="22"/>
      <w:szCs w:val="22"/>
      <w:lang w:val="en-GB"/>
    </w:rPr>
  </w:style>
  <w:style w:type="table" w:styleId="LightShading">
    <w:name w:val="Light Shading"/>
    <w:basedOn w:val="TableNormal"/>
    <w:uiPriority w:val="60"/>
    <w:rsid w:val="00F67BCA"/>
    <w:rPr>
      <w:rFonts w:ascii="Calibri" w:eastAsia="Calibri" w:hAnsi="Calibri" w:cs="Times New Roman"/>
      <w:color w:val="000000" w:themeColor="text1" w:themeShade="BF"/>
      <w:sz w:val="20"/>
      <w:szCs w:val="20"/>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67BCA"/>
    <w:rPr>
      <w:color w:val="3E598B" w:themeColor="accent1" w:themeShade="BF"/>
    </w:rPr>
    <w:tblPr>
      <w:tblStyleRowBandSize w:val="1"/>
      <w:tblStyleColBandSize w:val="1"/>
      <w:tblBorders>
        <w:top w:val="single" w:sz="8" w:space="0" w:color="597AB5" w:themeColor="accent1"/>
        <w:bottom w:val="single" w:sz="8" w:space="0" w:color="597AB5" w:themeColor="accent1"/>
      </w:tblBorders>
    </w:tblPr>
    <w:tblStylePr w:type="firstRow">
      <w:pPr>
        <w:spacing w:before="0" w:after="0" w:line="240" w:lineRule="auto"/>
      </w:pPr>
      <w:rPr>
        <w:b/>
        <w:bCs/>
      </w:rPr>
      <w:tblPr/>
      <w:tcPr>
        <w:tcBorders>
          <w:top w:val="single" w:sz="8" w:space="0" w:color="597AB5" w:themeColor="accent1"/>
          <w:left w:val="nil"/>
          <w:bottom w:val="single" w:sz="8" w:space="0" w:color="597AB5" w:themeColor="accent1"/>
          <w:right w:val="nil"/>
          <w:insideH w:val="nil"/>
          <w:insideV w:val="nil"/>
        </w:tcBorders>
      </w:tcPr>
    </w:tblStylePr>
    <w:tblStylePr w:type="lastRow">
      <w:pPr>
        <w:spacing w:before="0" w:after="0" w:line="240" w:lineRule="auto"/>
      </w:pPr>
      <w:rPr>
        <w:b/>
        <w:bCs/>
      </w:rPr>
      <w:tblPr/>
      <w:tcPr>
        <w:tcBorders>
          <w:top w:val="single" w:sz="8" w:space="0" w:color="597AB5" w:themeColor="accent1"/>
          <w:left w:val="nil"/>
          <w:bottom w:val="single" w:sz="8" w:space="0" w:color="597A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EEC" w:themeFill="accent1" w:themeFillTint="3F"/>
      </w:tcPr>
    </w:tblStylePr>
    <w:tblStylePr w:type="band1Horz">
      <w:tblPr/>
      <w:tcPr>
        <w:tcBorders>
          <w:left w:val="nil"/>
          <w:right w:val="nil"/>
          <w:insideH w:val="nil"/>
          <w:insideV w:val="nil"/>
        </w:tcBorders>
        <w:shd w:val="clear" w:color="auto" w:fill="D5DEEC"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648">
      <w:bodyDiv w:val="1"/>
      <w:marLeft w:val="0"/>
      <w:marRight w:val="0"/>
      <w:marTop w:val="0"/>
      <w:marBottom w:val="0"/>
      <w:divBdr>
        <w:top w:val="none" w:sz="0" w:space="0" w:color="auto"/>
        <w:left w:val="none" w:sz="0" w:space="0" w:color="auto"/>
        <w:bottom w:val="none" w:sz="0" w:space="0" w:color="auto"/>
        <w:right w:val="none" w:sz="0" w:space="0" w:color="auto"/>
      </w:divBdr>
    </w:div>
    <w:div w:id="42488813">
      <w:bodyDiv w:val="1"/>
      <w:marLeft w:val="0"/>
      <w:marRight w:val="0"/>
      <w:marTop w:val="0"/>
      <w:marBottom w:val="0"/>
      <w:divBdr>
        <w:top w:val="none" w:sz="0" w:space="0" w:color="auto"/>
        <w:left w:val="none" w:sz="0" w:space="0" w:color="auto"/>
        <w:bottom w:val="none" w:sz="0" w:space="0" w:color="auto"/>
        <w:right w:val="none" w:sz="0" w:space="0" w:color="auto"/>
      </w:divBdr>
    </w:div>
    <w:div w:id="75904891">
      <w:bodyDiv w:val="1"/>
      <w:marLeft w:val="0"/>
      <w:marRight w:val="0"/>
      <w:marTop w:val="0"/>
      <w:marBottom w:val="0"/>
      <w:divBdr>
        <w:top w:val="none" w:sz="0" w:space="0" w:color="auto"/>
        <w:left w:val="none" w:sz="0" w:space="0" w:color="auto"/>
        <w:bottom w:val="none" w:sz="0" w:space="0" w:color="auto"/>
        <w:right w:val="none" w:sz="0" w:space="0" w:color="auto"/>
      </w:divBdr>
    </w:div>
    <w:div w:id="167064079">
      <w:bodyDiv w:val="1"/>
      <w:marLeft w:val="0"/>
      <w:marRight w:val="0"/>
      <w:marTop w:val="0"/>
      <w:marBottom w:val="0"/>
      <w:divBdr>
        <w:top w:val="none" w:sz="0" w:space="0" w:color="auto"/>
        <w:left w:val="none" w:sz="0" w:space="0" w:color="auto"/>
        <w:bottom w:val="none" w:sz="0" w:space="0" w:color="auto"/>
        <w:right w:val="none" w:sz="0" w:space="0" w:color="auto"/>
      </w:divBdr>
    </w:div>
    <w:div w:id="178549865">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330983827">
      <w:bodyDiv w:val="1"/>
      <w:marLeft w:val="0"/>
      <w:marRight w:val="0"/>
      <w:marTop w:val="0"/>
      <w:marBottom w:val="0"/>
      <w:divBdr>
        <w:top w:val="none" w:sz="0" w:space="0" w:color="auto"/>
        <w:left w:val="none" w:sz="0" w:space="0" w:color="auto"/>
        <w:bottom w:val="none" w:sz="0" w:space="0" w:color="auto"/>
        <w:right w:val="none" w:sz="0" w:space="0" w:color="auto"/>
      </w:divBdr>
    </w:div>
    <w:div w:id="333651149">
      <w:bodyDiv w:val="1"/>
      <w:marLeft w:val="0"/>
      <w:marRight w:val="0"/>
      <w:marTop w:val="0"/>
      <w:marBottom w:val="0"/>
      <w:divBdr>
        <w:top w:val="none" w:sz="0" w:space="0" w:color="auto"/>
        <w:left w:val="none" w:sz="0" w:space="0" w:color="auto"/>
        <w:bottom w:val="none" w:sz="0" w:space="0" w:color="auto"/>
        <w:right w:val="none" w:sz="0" w:space="0" w:color="auto"/>
      </w:divBdr>
    </w:div>
    <w:div w:id="354422940">
      <w:bodyDiv w:val="1"/>
      <w:marLeft w:val="0"/>
      <w:marRight w:val="0"/>
      <w:marTop w:val="0"/>
      <w:marBottom w:val="0"/>
      <w:divBdr>
        <w:top w:val="none" w:sz="0" w:space="0" w:color="auto"/>
        <w:left w:val="none" w:sz="0" w:space="0" w:color="auto"/>
        <w:bottom w:val="none" w:sz="0" w:space="0" w:color="auto"/>
        <w:right w:val="none" w:sz="0" w:space="0" w:color="auto"/>
      </w:divBdr>
    </w:div>
    <w:div w:id="397870019">
      <w:bodyDiv w:val="1"/>
      <w:marLeft w:val="0"/>
      <w:marRight w:val="0"/>
      <w:marTop w:val="0"/>
      <w:marBottom w:val="0"/>
      <w:divBdr>
        <w:top w:val="none" w:sz="0" w:space="0" w:color="auto"/>
        <w:left w:val="none" w:sz="0" w:space="0" w:color="auto"/>
        <w:bottom w:val="none" w:sz="0" w:space="0" w:color="auto"/>
        <w:right w:val="none" w:sz="0" w:space="0" w:color="auto"/>
      </w:divBdr>
    </w:div>
    <w:div w:id="424696379">
      <w:bodyDiv w:val="1"/>
      <w:marLeft w:val="0"/>
      <w:marRight w:val="0"/>
      <w:marTop w:val="0"/>
      <w:marBottom w:val="0"/>
      <w:divBdr>
        <w:top w:val="none" w:sz="0" w:space="0" w:color="auto"/>
        <w:left w:val="none" w:sz="0" w:space="0" w:color="auto"/>
        <w:bottom w:val="none" w:sz="0" w:space="0" w:color="auto"/>
        <w:right w:val="none" w:sz="0" w:space="0" w:color="auto"/>
      </w:divBdr>
    </w:div>
    <w:div w:id="430899480">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48174126">
      <w:bodyDiv w:val="1"/>
      <w:marLeft w:val="0"/>
      <w:marRight w:val="0"/>
      <w:marTop w:val="0"/>
      <w:marBottom w:val="0"/>
      <w:divBdr>
        <w:top w:val="none" w:sz="0" w:space="0" w:color="auto"/>
        <w:left w:val="none" w:sz="0" w:space="0" w:color="auto"/>
        <w:bottom w:val="none" w:sz="0" w:space="0" w:color="auto"/>
        <w:right w:val="none" w:sz="0" w:space="0" w:color="auto"/>
      </w:divBdr>
    </w:div>
    <w:div w:id="856192664">
      <w:bodyDiv w:val="1"/>
      <w:marLeft w:val="0"/>
      <w:marRight w:val="0"/>
      <w:marTop w:val="0"/>
      <w:marBottom w:val="0"/>
      <w:divBdr>
        <w:top w:val="none" w:sz="0" w:space="0" w:color="auto"/>
        <w:left w:val="none" w:sz="0" w:space="0" w:color="auto"/>
        <w:bottom w:val="none" w:sz="0" w:space="0" w:color="auto"/>
        <w:right w:val="none" w:sz="0" w:space="0" w:color="auto"/>
      </w:divBdr>
    </w:div>
    <w:div w:id="915282372">
      <w:bodyDiv w:val="1"/>
      <w:marLeft w:val="0"/>
      <w:marRight w:val="0"/>
      <w:marTop w:val="0"/>
      <w:marBottom w:val="0"/>
      <w:divBdr>
        <w:top w:val="none" w:sz="0" w:space="0" w:color="auto"/>
        <w:left w:val="none" w:sz="0" w:space="0" w:color="auto"/>
        <w:bottom w:val="none" w:sz="0" w:space="0" w:color="auto"/>
        <w:right w:val="none" w:sz="0" w:space="0" w:color="auto"/>
      </w:divBdr>
    </w:div>
    <w:div w:id="1259748965">
      <w:bodyDiv w:val="1"/>
      <w:marLeft w:val="0"/>
      <w:marRight w:val="0"/>
      <w:marTop w:val="0"/>
      <w:marBottom w:val="0"/>
      <w:divBdr>
        <w:top w:val="none" w:sz="0" w:space="0" w:color="auto"/>
        <w:left w:val="none" w:sz="0" w:space="0" w:color="auto"/>
        <w:bottom w:val="none" w:sz="0" w:space="0" w:color="auto"/>
        <w:right w:val="none" w:sz="0" w:space="0" w:color="auto"/>
      </w:divBdr>
    </w:div>
    <w:div w:id="1482112499">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703700590">
      <w:bodyDiv w:val="1"/>
      <w:marLeft w:val="0"/>
      <w:marRight w:val="0"/>
      <w:marTop w:val="0"/>
      <w:marBottom w:val="0"/>
      <w:divBdr>
        <w:top w:val="none" w:sz="0" w:space="0" w:color="auto"/>
        <w:left w:val="none" w:sz="0" w:space="0" w:color="auto"/>
        <w:bottom w:val="none" w:sz="0" w:space="0" w:color="auto"/>
        <w:right w:val="none" w:sz="0" w:space="0" w:color="auto"/>
      </w:divBdr>
    </w:div>
    <w:div w:id="1894388628">
      <w:bodyDiv w:val="1"/>
      <w:marLeft w:val="0"/>
      <w:marRight w:val="0"/>
      <w:marTop w:val="0"/>
      <w:marBottom w:val="0"/>
      <w:divBdr>
        <w:top w:val="none" w:sz="0" w:space="0" w:color="auto"/>
        <w:left w:val="none" w:sz="0" w:space="0" w:color="auto"/>
        <w:bottom w:val="none" w:sz="0" w:space="0" w:color="auto"/>
        <w:right w:val="none" w:sz="0" w:space="0" w:color="auto"/>
      </w:divBdr>
    </w:div>
    <w:div w:id="1907253131">
      <w:bodyDiv w:val="1"/>
      <w:marLeft w:val="0"/>
      <w:marRight w:val="0"/>
      <w:marTop w:val="0"/>
      <w:marBottom w:val="0"/>
      <w:divBdr>
        <w:top w:val="none" w:sz="0" w:space="0" w:color="auto"/>
        <w:left w:val="none" w:sz="0" w:space="0" w:color="auto"/>
        <w:bottom w:val="none" w:sz="0" w:space="0" w:color="auto"/>
        <w:right w:val="none" w:sz="0" w:space="0" w:color="auto"/>
      </w:divBdr>
    </w:div>
    <w:div w:id="1957448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2.emf"/><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3.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ubmissions@climatechangeauthority.gov.au" TargetMode="External"/><Relationship Id="rId32" Type="http://schemas.openxmlformats.org/officeDocument/2006/relationships/image" Target="media/image7.png"/><Relationship Id="rId37" Type="http://schemas.openxmlformats.org/officeDocument/2006/relationships/footer" Target="footer7.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diagramLayout" Target="diagrams/layout1.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3.jpg"/><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png"/><Relationship Id="rId43"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www.climatechangeauthority.gov.au" TargetMode="External"/><Relationship Id="rId33" Type="http://schemas.openxmlformats.org/officeDocument/2006/relationships/image" Target="media/image8.png"/><Relationship Id="rId38" Type="http://schemas.openxmlformats.org/officeDocument/2006/relationships/image" Target="media/image11.wmf"/><Relationship Id="rId20" Type="http://schemas.openxmlformats.org/officeDocument/2006/relationships/header" Target="header4.xml"/><Relationship Id="rId41" Type="http://schemas.openxmlformats.org/officeDocument/2006/relationships/footer" Target="footer8.xml"/></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Re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18821D-4FE8-46E5-A55E-12319DE1C27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AU"/>
        </a:p>
      </dgm:t>
    </dgm:pt>
    <dgm:pt modelId="{021381C0-4812-4510-A234-9EC6EFFB6C0D}">
      <dgm:prSet phldrT="[Text]"/>
      <dgm:spPr/>
      <dgm:t>
        <a:bodyPr/>
        <a:lstStyle/>
        <a:p>
          <a:r>
            <a:rPr lang="en-AU"/>
            <a:t>Exogenous inputs</a:t>
          </a:r>
        </a:p>
      </dgm:t>
    </dgm:pt>
    <dgm:pt modelId="{2E644239-57BA-4BFA-B31A-DCF196B4F052}" type="parTrans" cxnId="{D192F23E-42A2-4335-AF29-D635CCC74ACD}">
      <dgm:prSet/>
      <dgm:spPr/>
      <dgm:t>
        <a:bodyPr/>
        <a:lstStyle/>
        <a:p>
          <a:endParaRPr lang="en-AU"/>
        </a:p>
      </dgm:t>
    </dgm:pt>
    <dgm:pt modelId="{24B96E66-A854-46A1-B476-1CB702C9BCB3}" type="sibTrans" cxnId="{D192F23E-42A2-4335-AF29-D635CCC74ACD}">
      <dgm:prSet/>
      <dgm:spPr/>
      <dgm:t>
        <a:bodyPr/>
        <a:lstStyle/>
        <a:p>
          <a:endParaRPr lang="en-AU"/>
        </a:p>
      </dgm:t>
    </dgm:pt>
    <dgm:pt modelId="{ABB4B33E-90F2-4186-87DA-D0B8441D3365}">
      <dgm:prSet phldrT="[Text]"/>
      <dgm:spPr/>
      <dgm:t>
        <a:bodyPr/>
        <a:lstStyle/>
        <a:p>
          <a:r>
            <a:rPr lang="en-AU"/>
            <a:t>Fuel prices</a:t>
          </a:r>
        </a:p>
      </dgm:t>
    </dgm:pt>
    <dgm:pt modelId="{F2DC5FF3-63F5-414B-8E3F-9143B231ED6D}" type="parTrans" cxnId="{D7A69CAF-61CF-46F4-A657-5424A17A1945}">
      <dgm:prSet/>
      <dgm:spPr/>
      <dgm:t>
        <a:bodyPr/>
        <a:lstStyle/>
        <a:p>
          <a:endParaRPr lang="en-AU"/>
        </a:p>
      </dgm:t>
    </dgm:pt>
    <dgm:pt modelId="{FEA37687-7E49-47ED-915D-EF2E359C6B95}" type="sibTrans" cxnId="{D7A69CAF-61CF-46F4-A657-5424A17A1945}">
      <dgm:prSet/>
      <dgm:spPr/>
      <dgm:t>
        <a:bodyPr/>
        <a:lstStyle/>
        <a:p>
          <a:endParaRPr lang="en-AU"/>
        </a:p>
      </dgm:t>
    </dgm:pt>
    <dgm:pt modelId="{2CFACDCB-FA0D-40C0-9636-E6465506B23B}">
      <dgm:prSet phldrT="[Text]"/>
      <dgm:spPr/>
      <dgm:t>
        <a:bodyPr/>
        <a:lstStyle/>
        <a:p>
          <a:r>
            <a:rPr lang="en-AU"/>
            <a:t>Native demand</a:t>
          </a:r>
        </a:p>
      </dgm:t>
    </dgm:pt>
    <dgm:pt modelId="{824E61EB-7244-4892-AA5A-D0353D42A9EE}" type="parTrans" cxnId="{6E3CB066-EAD9-41D2-B2C3-ECB1E8E7BA22}">
      <dgm:prSet/>
      <dgm:spPr/>
      <dgm:t>
        <a:bodyPr/>
        <a:lstStyle/>
        <a:p>
          <a:endParaRPr lang="en-AU"/>
        </a:p>
      </dgm:t>
    </dgm:pt>
    <dgm:pt modelId="{F18271EA-A357-41C9-BEF0-90512011D1F9}" type="sibTrans" cxnId="{6E3CB066-EAD9-41D2-B2C3-ECB1E8E7BA22}">
      <dgm:prSet/>
      <dgm:spPr/>
      <dgm:t>
        <a:bodyPr/>
        <a:lstStyle/>
        <a:p>
          <a:endParaRPr lang="en-AU"/>
        </a:p>
      </dgm:t>
    </dgm:pt>
    <dgm:pt modelId="{8D028A92-EB12-4204-B01C-059178610BBE}">
      <dgm:prSet phldrT="[Text]"/>
      <dgm:spPr/>
      <dgm:t>
        <a:bodyPr/>
        <a:lstStyle/>
        <a:p>
          <a:r>
            <a:rPr lang="en-AU"/>
            <a:t>Ancillary models</a:t>
          </a:r>
        </a:p>
      </dgm:t>
    </dgm:pt>
    <dgm:pt modelId="{BA3B1818-007F-4F5B-9C11-CCA5B21BD567}" type="parTrans" cxnId="{CF2C356F-C365-4A91-A431-F0248BE94F49}">
      <dgm:prSet/>
      <dgm:spPr/>
      <dgm:t>
        <a:bodyPr/>
        <a:lstStyle/>
        <a:p>
          <a:endParaRPr lang="en-AU"/>
        </a:p>
      </dgm:t>
    </dgm:pt>
    <dgm:pt modelId="{20AE72A8-6F4F-4415-9C7B-9A524657CA6D}" type="sibTrans" cxnId="{CF2C356F-C365-4A91-A431-F0248BE94F49}">
      <dgm:prSet/>
      <dgm:spPr/>
      <dgm:t>
        <a:bodyPr/>
        <a:lstStyle/>
        <a:p>
          <a:endParaRPr lang="en-AU"/>
        </a:p>
      </dgm:t>
    </dgm:pt>
    <dgm:pt modelId="{F1E252B7-4D03-45C3-8F72-17796C020717}">
      <dgm:prSet phldrT="[Text]"/>
      <dgm:spPr/>
      <dgm:t>
        <a:bodyPr/>
        <a:lstStyle/>
        <a:p>
          <a:r>
            <a:rPr lang="en-AU"/>
            <a:t>REMMA - determines mix of renewable to meet targets</a:t>
          </a:r>
        </a:p>
      </dgm:t>
    </dgm:pt>
    <dgm:pt modelId="{74ED02E7-5B8A-4742-8F9C-7476ED8A5DDD}" type="parTrans" cxnId="{8C32BF8F-8044-487A-8782-9AE0A072D37D}">
      <dgm:prSet/>
      <dgm:spPr/>
      <dgm:t>
        <a:bodyPr/>
        <a:lstStyle/>
        <a:p>
          <a:endParaRPr lang="en-AU"/>
        </a:p>
      </dgm:t>
    </dgm:pt>
    <dgm:pt modelId="{820F7B80-DCC1-45D2-B566-F61F2C74B6AF}" type="sibTrans" cxnId="{8C32BF8F-8044-487A-8782-9AE0A072D37D}">
      <dgm:prSet/>
      <dgm:spPr/>
      <dgm:t>
        <a:bodyPr/>
        <a:lstStyle/>
        <a:p>
          <a:endParaRPr lang="en-AU"/>
        </a:p>
      </dgm:t>
    </dgm:pt>
    <dgm:pt modelId="{2B2260A7-C79C-48AF-8B84-3B8E99888F3F}">
      <dgm:prSet phldrT="[Text]"/>
      <dgm:spPr/>
      <dgm:t>
        <a:bodyPr/>
        <a:lstStyle/>
        <a:p>
          <a:r>
            <a:rPr lang="en-AU"/>
            <a:t>DOGMMA - determines small scale distributed and embedded generation and, hence, grid based demand</a:t>
          </a:r>
        </a:p>
      </dgm:t>
    </dgm:pt>
    <dgm:pt modelId="{D2B11D38-801B-4678-B7E1-402361CF84D9}" type="parTrans" cxnId="{C82410A2-190B-4911-BB5B-C9B22A032CE2}">
      <dgm:prSet/>
      <dgm:spPr/>
      <dgm:t>
        <a:bodyPr/>
        <a:lstStyle/>
        <a:p>
          <a:endParaRPr lang="en-AU"/>
        </a:p>
      </dgm:t>
    </dgm:pt>
    <dgm:pt modelId="{9076085E-83C3-4A33-AAFE-7C8A1B7421D0}" type="sibTrans" cxnId="{C82410A2-190B-4911-BB5B-C9B22A032CE2}">
      <dgm:prSet/>
      <dgm:spPr/>
      <dgm:t>
        <a:bodyPr/>
        <a:lstStyle/>
        <a:p>
          <a:endParaRPr lang="en-AU"/>
        </a:p>
      </dgm:t>
    </dgm:pt>
    <dgm:pt modelId="{20E4B023-8765-41C1-B231-D08A7BD66457}">
      <dgm:prSet phldrT="[Text]"/>
      <dgm:spPr/>
      <dgm:t>
        <a:bodyPr/>
        <a:lstStyle/>
        <a:p>
          <a:r>
            <a:rPr lang="en-AU"/>
            <a:t>Electricity market model</a:t>
          </a:r>
        </a:p>
      </dgm:t>
    </dgm:pt>
    <dgm:pt modelId="{F538856B-D66F-49E8-81E1-1DC28BF5EF03}" type="parTrans" cxnId="{BFE8D87D-D7A0-4EEB-963E-236152A303D9}">
      <dgm:prSet/>
      <dgm:spPr/>
      <dgm:t>
        <a:bodyPr/>
        <a:lstStyle/>
        <a:p>
          <a:endParaRPr lang="en-AU"/>
        </a:p>
      </dgm:t>
    </dgm:pt>
    <dgm:pt modelId="{29F95C07-ECF6-47B3-BB2B-5C9551088528}" type="sibTrans" cxnId="{BFE8D87D-D7A0-4EEB-963E-236152A303D9}">
      <dgm:prSet/>
      <dgm:spPr/>
      <dgm:t>
        <a:bodyPr/>
        <a:lstStyle/>
        <a:p>
          <a:endParaRPr lang="en-AU"/>
        </a:p>
      </dgm:t>
    </dgm:pt>
    <dgm:pt modelId="{58BECE4E-8442-4D46-9D84-3E2AE19B3802}">
      <dgm:prSet phldrT="[Text]"/>
      <dgm:spPr/>
      <dgm:t>
        <a:bodyPr/>
        <a:lstStyle/>
        <a:p>
          <a:r>
            <a:rPr lang="en-AU"/>
            <a:t>Wholesale and retail prices</a:t>
          </a:r>
        </a:p>
      </dgm:t>
    </dgm:pt>
    <dgm:pt modelId="{A2C6DB36-9496-417F-B246-EFECE8FA4036}" type="parTrans" cxnId="{C33B2EF3-E2F8-483F-B1AF-D9D6D79E83B0}">
      <dgm:prSet/>
      <dgm:spPr/>
      <dgm:t>
        <a:bodyPr/>
        <a:lstStyle/>
        <a:p>
          <a:endParaRPr lang="en-AU"/>
        </a:p>
      </dgm:t>
    </dgm:pt>
    <dgm:pt modelId="{1B09AC0C-2A3D-44DB-BEE9-F7B4434D7FDB}" type="sibTrans" cxnId="{C33B2EF3-E2F8-483F-B1AF-D9D6D79E83B0}">
      <dgm:prSet/>
      <dgm:spPr/>
      <dgm:t>
        <a:bodyPr/>
        <a:lstStyle/>
        <a:p>
          <a:endParaRPr lang="en-AU"/>
        </a:p>
      </dgm:t>
    </dgm:pt>
    <dgm:pt modelId="{B10F4651-6F5B-45F3-89B3-639FA37952F2}">
      <dgm:prSet phldrT="[Text]"/>
      <dgm:spPr/>
      <dgm:t>
        <a:bodyPr/>
        <a:lstStyle/>
        <a:p>
          <a:r>
            <a:rPr lang="en-AU"/>
            <a:t>Generation mix</a:t>
          </a:r>
        </a:p>
      </dgm:t>
    </dgm:pt>
    <dgm:pt modelId="{BB4E3A99-2BB8-42AC-9326-DA35DEFA9E51}" type="parTrans" cxnId="{13CDBAE4-A62A-46DD-B862-14F9E037937C}">
      <dgm:prSet/>
      <dgm:spPr/>
      <dgm:t>
        <a:bodyPr/>
        <a:lstStyle/>
        <a:p>
          <a:endParaRPr lang="en-AU"/>
        </a:p>
      </dgm:t>
    </dgm:pt>
    <dgm:pt modelId="{C9AB907E-88B2-4AA6-8162-F83705B71691}" type="sibTrans" cxnId="{13CDBAE4-A62A-46DD-B862-14F9E037937C}">
      <dgm:prSet/>
      <dgm:spPr/>
      <dgm:t>
        <a:bodyPr/>
        <a:lstStyle/>
        <a:p>
          <a:endParaRPr lang="en-AU"/>
        </a:p>
      </dgm:t>
    </dgm:pt>
    <dgm:pt modelId="{4F22DB95-09CC-47D9-A41C-6CB9FB5EC4FA}">
      <dgm:prSet phldrT="[Text]"/>
      <dgm:spPr/>
      <dgm:t>
        <a:bodyPr/>
        <a:lstStyle/>
        <a:p>
          <a:r>
            <a:rPr lang="en-AU"/>
            <a:t>Investment mix</a:t>
          </a:r>
        </a:p>
      </dgm:t>
    </dgm:pt>
    <dgm:pt modelId="{E50B476D-C45E-4284-93AE-E18B754C9CD8}" type="parTrans" cxnId="{5023EECA-D148-4C34-B9D5-58084177C264}">
      <dgm:prSet/>
      <dgm:spPr/>
      <dgm:t>
        <a:bodyPr/>
        <a:lstStyle/>
        <a:p>
          <a:endParaRPr lang="en-AU"/>
        </a:p>
      </dgm:t>
    </dgm:pt>
    <dgm:pt modelId="{C603D1A5-B6FB-4296-A0CC-E04C9D6A340F}" type="sibTrans" cxnId="{5023EECA-D148-4C34-B9D5-58084177C264}">
      <dgm:prSet/>
      <dgm:spPr/>
      <dgm:t>
        <a:bodyPr/>
        <a:lstStyle/>
        <a:p>
          <a:endParaRPr lang="en-AU"/>
        </a:p>
      </dgm:t>
    </dgm:pt>
    <dgm:pt modelId="{A29DF1F9-ADA5-4267-82F5-B134EB3AEE7C}">
      <dgm:prSet phldrT="[Text]"/>
      <dgm:spPr/>
      <dgm:t>
        <a:bodyPr/>
        <a:lstStyle/>
        <a:p>
          <a:r>
            <a:rPr lang="en-AU"/>
            <a:t>Resource costs</a:t>
          </a:r>
        </a:p>
      </dgm:t>
    </dgm:pt>
    <dgm:pt modelId="{2B11E4E9-3599-4363-840D-E1874068C4A4}" type="parTrans" cxnId="{91C12D35-24B5-400B-AAFD-07D51FF0C8B3}">
      <dgm:prSet/>
      <dgm:spPr/>
      <dgm:t>
        <a:bodyPr/>
        <a:lstStyle/>
        <a:p>
          <a:endParaRPr lang="en-AU"/>
        </a:p>
      </dgm:t>
    </dgm:pt>
    <dgm:pt modelId="{5825B72A-674C-4347-8F80-95FDCE408BCE}" type="sibTrans" cxnId="{91C12D35-24B5-400B-AAFD-07D51FF0C8B3}">
      <dgm:prSet/>
      <dgm:spPr/>
      <dgm:t>
        <a:bodyPr/>
        <a:lstStyle/>
        <a:p>
          <a:endParaRPr lang="en-AU"/>
        </a:p>
      </dgm:t>
    </dgm:pt>
    <dgm:pt modelId="{4B7225C3-9A4B-4A03-AD9C-3797CDCD7971}">
      <dgm:prSet phldrT="[Text]"/>
      <dgm:spPr/>
      <dgm:t>
        <a:bodyPr/>
        <a:lstStyle/>
        <a:p>
          <a:r>
            <a:rPr lang="en-AU"/>
            <a:t>Emissions</a:t>
          </a:r>
        </a:p>
      </dgm:t>
    </dgm:pt>
    <dgm:pt modelId="{A4C2BB6D-8453-421A-97C3-41A99A5A5840}" type="parTrans" cxnId="{7DF97EE2-62A8-4EB5-8FC7-A2A1ED4B3AD8}">
      <dgm:prSet/>
      <dgm:spPr/>
      <dgm:t>
        <a:bodyPr/>
        <a:lstStyle/>
        <a:p>
          <a:endParaRPr lang="en-AU"/>
        </a:p>
      </dgm:t>
    </dgm:pt>
    <dgm:pt modelId="{C57E7D31-B14B-4B75-83B0-1139A642935A}" type="sibTrans" cxnId="{7DF97EE2-62A8-4EB5-8FC7-A2A1ED4B3AD8}">
      <dgm:prSet/>
      <dgm:spPr/>
      <dgm:t>
        <a:bodyPr/>
        <a:lstStyle/>
        <a:p>
          <a:endParaRPr lang="en-AU"/>
        </a:p>
      </dgm:t>
    </dgm:pt>
    <dgm:pt modelId="{F6AF3927-CD52-4D0F-A89B-D4066829501A}">
      <dgm:prSet phldrT="[Text]"/>
      <dgm:spPr/>
      <dgm:t>
        <a:bodyPr/>
        <a:lstStyle/>
        <a:p>
          <a:r>
            <a:rPr lang="en-AU"/>
            <a:t>Technology costs</a:t>
          </a:r>
        </a:p>
      </dgm:t>
    </dgm:pt>
    <dgm:pt modelId="{F0E7AFE5-DC51-4847-81F0-0FB92DC4A20F}" type="parTrans" cxnId="{E849CE3B-B1AF-47D6-8970-BFFAE228185E}">
      <dgm:prSet/>
      <dgm:spPr/>
      <dgm:t>
        <a:bodyPr/>
        <a:lstStyle/>
        <a:p>
          <a:endParaRPr lang="en-AU"/>
        </a:p>
      </dgm:t>
    </dgm:pt>
    <dgm:pt modelId="{51642857-B08B-4EFB-9A86-E22BD6E6F635}" type="sibTrans" cxnId="{E849CE3B-B1AF-47D6-8970-BFFAE228185E}">
      <dgm:prSet/>
      <dgm:spPr/>
      <dgm:t>
        <a:bodyPr/>
        <a:lstStyle/>
        <a:p>
          <a:endParaRPr lang="en-AU"/>
        </a:p>
      </dgm:t>
    </dgm:pt>
    <dgm:pt modelId="{21DBFE64-0999-43EA-A65C-3B817B4B4289}">
      <dgm:prSet phldrT="[Text]"/>
      <dgm:spPr/>
      <dgm:t>
        <a:bodyPr/>
        <a:lstStyle/>
        <a:p>
          <a:r>
            <a:rPr lang="en-AU"/>
            <a:t>STRATEGIST electricty market model</a:t>
          </a:r>
        </a:p>
      </dgm:t>
    </dgm:pt>
    <dgm:pt modelId="{F538F8C9-31AC-4BC6-8C13-0348D017B2C4}" type="parTrans" cxnId="{A3AC1773-378F-438D-B31C-BC2E55C65EC8}">
      <dgm:prSet/>
      <dgm:spPr/>
      <dgm:t>
        <a:bodyPr/>
        <a:lstStyle/>
        <a:p>
          <a:endParaRPr lang="en-AU"/>
        </a:p>
      </dgm:t>
    </dgm:pt>
    <dgm:pt modelId="{45537738-42B6-492D-AC6B-F0736E4FFEB8}" type="sibTrans" cxnId="{A3AC1773-378F-438D-B31C-BC2E55C65EC8}">
      <dgm:prSet/>
      <dgm:spPr/>
      <dgm:t>
        <a:bodyPr/>
        <a:lstStyle/>
        <a:p>
          <a:endParaRPr lang="en-AU"/>
        </a:p>
      </dgm:t>
    </dgm:pt>
    <dgm:pt modelId="{B28833D9-91AE-48E7-8BAA-713DA9B15E61}" type="pres">
      <dgm:prSet presAssocID="{C218821D-4FE8-46E5-A55E-12319DE1C271}" presName="Name0" presStyleCnt="0">
        <dgm:presLayoutVars>
          <dgm:dir/>
          <dgm:animLvl val="lvl"/>
          <dgm:resizeHandles val="exact"/>
        </dgm:presLayoutVars>
      </dgm:prSet>
      <dgm:spPr/>
      <dgm:t>
        <a:bodyPr/>
        <a:lstStyle/>
        <a:p>
          <a:endParaRPr lang="en-AU"/>
        </a:p>
      </dgm:t>
    </dgm:pt>
    <dgm:pt modelId="{7C235CEC-934C-4EF8-B7DB-7BFC32E24D1A}" type="pres">
      <dgm:prSet presAssocID="{C218821D-4FE8-46E5-A55E-12319DE1C271}" presName="tSp" presStyleCnt="0"/>
      <dgm:spPr/>
    </dgm:pt>
    <dgm:pt modelId="{B0E89C0F-1096-4649-A065-D8F98C9E6EFC}" type="pres">
      <dgm:prSet presAssocID="{C218821D-4FE8-46E5-A55E-12319DE1C271}" presName="bSp" presStyleCnt="0"/>
      <dgm:spPr/>
    </dgm:pt>
    <dgm:pt modelId="{DE2378E1-8008-4440-A661-0AF54E438E76}" type="pres">
      <dgm:prSet presAssocID="{C218821D-4FE8-46E5-A55E-12319DE1C271}" presName="process" presStyleCnt="0"/>
      <dgm:spPr/>
    </dgm:pt>
    <dgm:pt modelId="{84DCC5CC-14E8-468D-B36E-8AB8B3903F67}" type="pres">
      <dgm:prSet presAssocID="{021381C0-4812-4510-A234-9EC6EFFB6C0D}" presName="composite1" presStyleCnt="0"/>
      <dgm:spPr/>
    </dgm:pt>
    <dgm:pt modelId="{13DC5599-C002-4AD6-BE0C-B28931A9FFE5}" type="pres">
      <dgm:prSet presAssocID="{021381C0-4812-4510-A234-9EC6EFFB6C0D}" presName="dummyNode1" presStyleLbl="node1" presStyleIdx="0" presStyleCnt="3"/>
      <dgm:spPr/>
    </dgm:pt>
    <dgm:pt modelId="{69C6C09A-E289-4BBF-9C6A-E81CA4B08E65}" type="pres">
      <dgm:prSet presAssocID="{021381C0-4812-4510-A234-9EC6EFFB6C0D}" presName="childNode1" presStyleLbl="bgAcc1" presStyleIdx="0" presStyleCnt="3">
        <dgm:presLayoutVars>
          <dgm:bulletEnabled val="1"/>
        </dgm:presLayoutVars>
      </dgm:prSet>
      <dgm:spPr/>
      <dgm:t>
        <a:bodyPr/>
        <a:lstStyle/>
        <a:p>
          <a:endParaRPr lang="en-AU"/>
        </a:p>
      </dgm:t>
    </dgm:pt>
    <dgm:pt modelId="{930D9C6B-172C-4435-A57A-846858C51F8F}" type="pres">
      <dgm:prSet presAssocID="{021381C0-4812-4510-A234-9EC6EFFB6C0D}" presName="childNode1tx" presStyleLbl="bgAcc1" presStyleIdx="0" presStyleCnt="3">
        <dgm:presLayoutVars>
          <dgm:bulletEnabled val="1"/>
        </dgm:presLayoutVars>
      </dgm:prSet>
      <dgm:spPr/>
      <dgm:t>
        <a:bodyPr/>
        <a:lstStyle/>
        <a:p>
          <a:endParaRPr lang="en-AU"/>
        </a:p>
      </dgm:t>
    </dgm:pt>
    <dgm:pt modelId="{4777AC68-05F2-4043-9065-E9F272E02936}" type="pres">
      <dgm:prSet presAssocID="{021381C0-4812-4510-A234-9EC6EFFB6C0D}" presName="parentNode1" presStyleLbl="node1" presStyleIdx="0" presStyleCnt="3">
        <dgm:presLayoutVars>
          <dgm:chMax val="1"/>
          <dgm:bulletEnabled val="1"/>
        </dgm:presLayoutVars>
      </dgm:prSet>
      <dgm:spPr/>
      <dgm:t>
        <a:bodyPr/>
        <a:lstStyle/>
        <a:p>
          <a:endParaRPr lang="en-AU"/>
        </a:p>
      </dgm:t>
    </dgm:pt>
    <dgm:pt modelId="{F9D0BE9F-0D2E-4E80-B49E-766B55988BA1}" type="pres">
      <dgm:prSet presAssocID="{021381C0-4812-4510-A234-9EC6EFFB6C0D}" presName="connSite1" presStyleCnt="0"/>
      <dgm:spPr/>
    </dgm:pt>
    <dgm:pt modelId="{F00AA860-930E-4A7C-AEB3-4FE7F706B20E}" type="pres">
      <dgm:prSet presAssocID="{24B96E66-A854-46A1-B476-1CB702C9BCB3}" presName="Name9" presStyleLbl="sibTrans2D1" presStyleIdx="0" presStyleCnt="2"/>
      <dgm:spPr/>
      <dgm:t>
        <a:bodyPr/>
        <a:lstStyle/>
        <a:p>
          <a:endParaRPr lang="en-AU"/>
        </a:p>
      </dgm:t>
    </dgm:pt>
    <dgm:pt modelId="{19205B78-083D-4931-B96C-CF808FFF20A9}" type="pres">
      <dgm:prSet presAssocID="{8D028A92-EB12-4204-B01C-059178610BBE}" presName="composite2" presStyleCnt="0"/>
      <dgm:spPr/>
    </dgm:pt>
    <dgm:pt modelId="{00A87F36-AB13-44D0-AD5E-9B172D6CB235}" type="pres">
      <dgm:prSet presAssocID="{8D028A92-EB12-4204-B01C-059178610BBE}" presName="dummyNode2" presStyleLbl="node1" presStyleIdx="0" presStyleCnt="3"/>
      <dgm:spPr/>
    </dgm:pt>
    <dgm:pt modelId="{0C104777-ED5C-42D2-8733-E4B34FDD7F57}" type="pres">
      <dgm:prSet presAssocID="{8D028A92-EB12-4204-B01C-059178610BBE}" presName="childNode2" presStyleLbl="bgAcc1" presStyleIdx="1" presStyleCnt="3">
        <dgm:presLayoutVars>
          <dgm:bulletEnabled val="1"/>
        </dgm:presLayoutVars>
      </dgm:prSet>
      <dgm:spPr/>
      <dgm:t>
        <a:bodyPr/>
        <a:lstStyle/>
        <a:p>
          <a:endParaRPr lang="en-AU"/>
        </a:p>
      </dgm:t>
    </dgm:pt>
    <dgm:pt modelId="{8CF50977-26B9-4BC7-AD13-9B4CB43DB7C0}" type="pres">
      <dgm:prSet presAssocID="{8D028A92-EB12-4204-B01C-059178610BBE}" presName="childNode2tx" presStyleLbl="bgAcc1" presStyleIdx="1" presStyleCnt="3">
        <dgm:presLayoutVars>
          <dgm:bulletEnabled val="1"/>
        </dgm:presLayoutVars>
      </dgm:prSet>
      <dgm:spPr/>
      <dgm:t>
        <a:bodyPr/>
        <a:lstStyle/>
        <a:p>
          <a:endParaRPr lang="en-AU"/>
        </a:p>
      </dgm:t>
    </dgm:pt>
    <dgm:pt modelId="{9C1B7AFE-B6A0-4834-B476-8D0D95E5C15A}" type="pres">
      <dgm:prSet presAssocID="{8D028A92-EB12-4204-B01C-059178610BBE}" presName="parentNode2" presStyleLbl="node1" presStyleIdx="1" presStyleCnt="3">
        <dgm:presLayoutVars>
          <dgm:chMax val="0"/>
          <dgm:bulletEnabled val="1"/>
        </dgm:presLayoutVars>
      </dgm:prSet>
      <dgm:spPr/>
      <dgm:t>
        <a:bodyPr/>
        <a:lstStyle/>
        <a:p>
          <a:endParaRPr lang="en-AU"/>
        </a:p>
      </dgm:t>
    </dgm:pt>
    <dgm:pt modelId="{3393DAF8-AE41-4EE7-967E-D62D75777837}" type="pres">
      <dgm:prSet presAssocID="{8D028A92-EB12-4204-B01C-059178610BBE}" presName="connSite2" presStyleCnt="0"/>
      <dgm:spPr/>
    </dgm:pt>
    <dgm:pt modelId="{8A408CE0-1BE0-4238-98B2-DBB1877993CB}" type="pres">
      <dgm:prSet presAssocID="{20AE72A8-6F4F-4415-9C7B-9A524657CA6D}" presName="Name18" presStyleLbl="sibTrans2D1" presStyleIdx="1" presStyleCnt="2"/>
      <dgm:spPr/>
      <dgm:t>
        <a:bodyPr/>
        <a:lstStyle/>
        <a:p>
          <a:endParaRPr lang="en-AU"/>
        </a:p>
      </dgm:t>
    </dgm:pt>
    <dgm:pt modelId="{BCD5EC50-E305-4D45-B896-AC3F6CA87709}" type="pres">
      <dgm:prSet presAssocID="{20E4B023-8765-41C1-B231-D08A7BD66457}" presName="composite1" presStyleCnt="0"/>
      <dgm:spPr/>
    </dgm:pt>
    <dgm:pt modelId="{CB9EB249-3372-4FDD-A48B-340C43ED044D}" type="pres">
      <dgm:prSet presAssocID="{20E4B023-8765-41C1-B231-D08A7BD66457}" presName="dummyNode1" presStyleLbl="node1" presStyleIdx="1" presStyleCnt="3"/>
      <dgm:spPr/>
    </dgm:pt>
    <dgm:pt modelId="{613A429E-CB6F-4052-9B78-C8DE7B404F03}" type="pres">
      <dgm:prSet presAssocID="{20E4B023-8765-41C1-B231-D08A7BD66457}" presName="childNode1" presStyleLbl="bgAcc1" presStyleIdx="2" presStyleCnt="3">
        <dgm:presLayoutVars>
          <dgm:bulletEnabled val="1"/>
        </dgm:presLayoutVars>
      </dgm:prSet>
      <dgm:spPr/>
      <dgm:t>
        <a:bodyPr/>
        <a:lstStyle/>
        <a:p>
          <a:endParaRPr lang="en-AU"/>
        </a:p>
      </dgm:t>
    </dgm:pt>
    <dgm:pt modelId="{782BEDF7-F46A-411F-A36F-58D2821F8D3C}" type="pres">
      <dgm:prSet presAssocID="{20E4B023-8765-41C1-B231-D08A7BD66457}" presName="childNode1tx" presStyleLbl="bgAcc1" presStyleIdx="2" presStyleCnt="3">
        <dgm:presLayoutVars>
          <dgm:bulletEnabled val="1"/>
        </dgm:presLayoutVars>
      </dgm:prSet>
      <dgm:spPr/>
      <dgm:t>
        <a:bodyPr/>
        <a:lstStyle/>
        <a:p>
          <a:endParaRPr lang="en-AU"/>
        </a:p>
      </dgm:t>
    </dgm:pt>
    <dgm:pt modelId="{E04CBD17-9748-4792-AE35-EFA49F4042C5}" type="pres">
      <dgm:prSet presAssocID="{20E4B023-8765-41C1-B231-D08A7BD66457}" presName="parentNode1" presStyleLbl="node1" presStyleIdx="2" presStyleCnt="3">
        <dgm:presLayoutVars>
          <dgm:chMax val="1"/>
          <dgm:bulletEnabled val="1"/>
        </dgm:presLayoutVars>
      </dgm:prSet>
      <dgm:spPr/>
      <dgm:t>
        <a:bodyPr/>
        <a:lstStyle/>
        <a:p>
          <a:endParaRPr lang="en-AU"/>
        </a:p>
      </dgm:t>
    </dgm:pt>
    <dgm:pt modelId="{DAAA8C32-EF82-46FF-A569-B4D89F7AB98E}" type="pres">
      <dgm:prSet presAssocID="{20E4B023-8765-41C1-B231-D08A7BD66457}" presName="connSite1" presStyleCnt="0"/>
      <dgm:spPr/>
    </dgm:pt>
  </dgm:ptLst>
  <dgm:cxnLst>
    <dgm:cxn modelId="{28FC0C93-954C-41F9-9F73-2ACE27DA8E35}" type="presOf" srcId="{F6AF3927-CD52-4D0F-A89B-D4066829501A}" destId="{69C6C09A-E289-4BBF-9C6A-E81CA4B08E65}" srcOrd="0" destOrd="2" presId="urn:microsoft.com/office/officeart/2005/8/layout/hProcess4"/>
    <dgm:cxn modelId="{634FE06B-ADD6-4476-8B5F-DAF1E5D40C46}" type="presOf" srcId="{4B7225C3-9A4B-4A03-AD9C-3797CDCD7971}" destId="{782BEDF7-F46A-411F-A36F-58D2821F8D3C}" srcOrd="1" destOrd="5" presId="urn:microsoft.com/office/officeart/2005/8/layout/hProcess4"/>
    <dgm:cxn modelId="{08DD4589-638E-48D1-9D02-E60C4BE663F9}" type="presOf" srcId="{4F22DB95-09CC-47D9-A41C-6CB9FB5EC4FA}" destId="{782BEDF7-F46A-411F-A36F-58D2821F8D3C}" srcOrd="1" destOrd="3" presId="urn:microsoft.com/office/officeart/2005/8/layout/hProcess4"/>
    <dgm:cxn modelId="{8C32BF8F-8044-487A-8782-9AE0A072D37D}" srcId="{8D028A92-EB12-4204-B01C-059178610BBE}" destId="{F1E252B7-4D03-45C3-8F72-17796C020717}" srcOrd="0" destOrd="0" parTransId="{74ED02E7-5B8A-4742-8F9C-7476ED8A5DDD}" sibTransId="{820F7B80-DCC1-45D2-B566-F61F2C74B6AF}"/>
    <dgm:cxn modelId="{C33B2EF3-E2F8-483F-B1AF-D9D6D79E83B0}" srcId="{20E4B023-8765-41C1-B231-D08A7BD66457}" destId="{58BECE4E-8442-4D46-9D84-3E2AE19B3802}" srcOrd="1" destOrd="0" parTransId="{A2C6DB36-9496-417F-B246-EFECE8FA4036}" sibTransId="{1B09AC0C-2A3D-44DB-BEE9-F7B4434D7FDB}"/>
    <dgm:cxn modelId="{5023EECA-D148-4C34-B9D5-58084177C264}" srcId="{20E4B023-8765-41C1-B231-D08A7BD66457}" destId="{4F22DB95-09CC-47D9-A41C-6CB9FB5EC4FA}" srcOrd="3" destOrd="0" parTransId="{E50B476D-C45E-4284-93AE-E18B754C9CD8}" sibTransId="{C603D1A5-B6FB-4296-A0CC-E04C9D6A340F}"/>
    <dgm:cxn modelId="{1D7C162A-D3AD-4663-BBD9-3572B3CE6E5F}" type="presOf" srcId="{021381C0-4812-4510-A234-9EC6EFFB6C0D}" destId="{4777AC68-05F2-4043-9065-E9F272E02936}" srcOrd="0" destOrd="0" presId="urn:microsoft.com/office/officeart/2005/8/layout/hProcess4"/>
    <dgm:cxn modelId="{0501AC7F-C053-46C1-A610-1564E1878AD1}" type="presOf" srcId="{21DBFE64-0999-43EA-A65C-3B817B4B4289}" destId="{782BEDF7-F46A-411F-A36F-58D2821F8D3C}" srcOrd="1" destOrd="0" presId="urn:microsoft.com/office/officeart/2005/8/layout/hProcess4"/>
    <dgm:cxn modelId="{BFE8D87D-D7A0-4EEB-963E-236152A303D9}" srcId="{C218821D-4FE8-46E5-A55E-12319DE1C271}" destId="{20E4B023-8765-41C1-B231-D08A7BD66457}" srcOrd="2" destOrd="0" parTransId="{F538856B-D66F-49E8-81E1-1DC28BF5EF03}" sibTransId="{29F95C07-ECF6-47B3-BB2B-5C9551088528}"/>
    <dgm:cxn modelId="{BA2E1224-3CB1-4CDF-8C3C-F445330C23DA}" type="presOf" srcId="{2B2260A7-C79C-48AF-8B84-3B8E99888F3F}" destId="{8CF50977-26B9-4BC7-AD13-9B4CB43DB7C0}" srcOrd="1" destOrd="1" presId="urn:microsoft.com/office/officeart/2005/8/layout/hProcess4"/>
    <dgm:cxn modelId="{E849CE3B-B1AF-47D6-8970-BFFAE228185E}" srcId="{021381C0-4812-4510-A234-9EC6EFFB6C0D}" destId="{F6AF3927-CD52-4D0F-A89B-D4066829501A}" srcOrd="2" destOrd="0" parTransId="{F0E7AFE5-DC51-4847-81F0-0FB92DC4A20F}" sibTransId="{51642857-B08B-4EFB-9A86-E22BD6E6F635}"/>
    <dgm:cxn modelId="{A122FF9F-6DC7-4301-AEC9-4F65DA0A0A24}" type="presOf" srcId="{A29DF1F9-ADA5-4267-82F5-B134EB3AEE7C}" destId="{613A429E-CB6F-4052-9B78-C8DE7B404F03}" srcOrd="0" destOrd="4" presId="urn:microsoft.com/office/officeart/2005/8/layout/hProcess4"/>
    <dgm:cxn modelId="{6C8293DA-9DED-4A8A-B709-46A324697E2B}" type="presOf" srcId="{A29DF1F9-ADA5-4267-82F5-B134EB3AEE7C}" destId="{782BEDF7-F46A-411F-A36F-58D2821F8D3C}" srcOrd="1" destOrd="4" presId="urn:microsoft.com/office/officeart/2005/8/layout/hProcess4"/>
    <dgm:cxn modelId="{CF2C356F-C365-4A91-A431-F0248BE94F49}" srcId="{C218821D-4FE8-46E5-A55E-12319DE1C271}" destId="{8D028A92-EB12-4204-B01C-059178610BBE}" srcOrd="1" destOrd="0" parTransId="{BA3B1818-007F-4F5B-9C11-CCA5B21BD567}" sibTransId="{20AE72A8-6F4F-4415-9C7B-9A524657CA6D}"/>
    <dgm:cxn modelId="{D4E6984F-81AD-4DCB-9FEE-7801F4EB3C37}" type="presOf" srcId="{2CFACDCB-FA0D-40C0-9636-E6465506B23B}" destId="{930D9C6B-172C-4435-A57A-846858C51F8F}" srcOrd="1" destOrd="1" presId="urn:microsoft.com/office/officeart/2005/8/layout/hProcess4"/>
    <dgm:cxn modelId="{2C4A8DD2-BA85-4634-BDD5-D70C674E5AE6}" type="presOf" srcId="{F1E252B7-4D03-45C3-8F72-17796C020717}" destId="{8CF50977-26B9-4BC7-AD13-9B4CB43DB7C0}" srcOrd="1" destOrd="0" presId="urn:microsoft.com/office/officeart/2005/8/layout/hProcess4"/>
    <dgm:cxn modelId="{EC1AF6E7-1EFD-4CDC-A957-8FE020DCEA12}" type="presOf" srcId="{B10F4651-6F5B-45F3-89B3-639FA37952F2}" destId="{782BEDF7-F46A-411F-A36F-58D2821F8D3C}" srcOrd="1" destOrd="2" presId="urn:microsoft.com/office/officeart/2005/8/layout/hProcess4"/>
    <dgm:cxn modelId="{6E3CB066-EAD9-41D2-B2C3-ECB1E8E7BA22}" srcId="{021381C0-4812-4510-A234-9EC6EFFB6C0D}" destId="{2CFACDCB-FA0D-40C0-9636-E6465506B23B}" srcOrd="1" destOrd="0" parTransId="{824E61EB-7244-4892-AA5A-D0353D42A9EE}" sibTransId="{F18271EA-A357-41C9-BEF0-90512011D1F9}"/>
    <dgm:cxn modelId="{D192F23E-42A2-4335-AF29-D635CCC74ACD}" srcId="{C218821D-4FE8-46E5-A55E-12319DE1C271}" destId="{021381C0-4812-4510-A234-9EC6EFFB6C0D}" srcOrd="0" destOrd="0" parTransId="{2E644239-57BA-4BFA-B31A-DCF196B4F052}" sibTransId="{24B96E66-A854-46A1-B476-1CB702C9BCB3}"/>
    <dgm:cxn modelId="{1044E1A4-653F-4B75-AE89-371A2CB862D3}" type="presOf" srcId="{58BECE4E-8442-4D46-9D84-3E2AE19B3802}" destId="{782BEDF7-F46A-411F-A36F-58D2821F8D3C}" srcOrd="1" destOrd="1" presId="urn:microsoft.com/office/officeart/2005/8/layout/hProcess4"/>
    <dgm:cxn modelId="{17AF9107-79EA-40B4-91BF-AEF49004DC2C}" type="presOf" srcId="{ABB4B33E-90F2-4186-87DA-D0B8441D3365}" destId="{69C6C09A-E289-4BBF-9C6A-E81CA4B08E65}" srcOrd="0" destOrd="0" presId="urn:microsoft.com/office/officeart/2005/8/layout/hProcess4"/>
    <dgm:cxn modelId="{C82410A2-190B-4911-BB5B-C9B22A032CE2}" srcId="{8D028A92-EB12-4204-B01C-059178610BBE}" destId="{2B2260A7-C79C-48AF-8B84-3B8E99888F3F}" srcOrd="1" destOrd="0" parTransId="{D2B11D38-801B-4678-B7E1-402361CF84D9}" sibTransId="{9076085E-83C3-4A33-AAFE-7C8A1B7421D0}"/>
    <dgm:cxn modelId="{13CDBAE4-A62A-46DD-B862-14F9E037937C}" srcId="{20E4B023-8765-41C1-B231-D08A7BD66457}" destId="{B10F4651-6F5B-45F3-89B3-639FA37952F2}" srcOrd="2" destOrd="0" parTransId="{BB4E3A99-2BB8-42AC-9326-DA35DEFA9E51}" sibTransId="{C9AB907E-88B2-4AA6-8162-F83705B71691}"/>
    <dgm:cxn modelId="{91C12D35-24B5-400B-AAFD-07D51FF0C8B3}" srcId="{20E4B023-8765-41C1-B231-D08A7BD66457}" destId="{A29DF1F9-ADA5-4267-82F5-B134EB3AEE7C}" srcOrd="4" destOrd="0" parTransId="{2B11E4E9-3599-4363-840D-E1874068C4A4}" sibTransId="{5825B72A-674C-4347-8F80-95FDCE408BCE}"/>
    <dgm:cxn modelId="{CB103F40-919E-4560-9EAF-85E798FCA0C9}" type="presOf" srcId="{58BECE4E-8442-4D46-9D84-3E2AE19B3802}" destId="{613A429E-CB6F-4052-9B78-C8DE7B404F03}" srcOrd="0" destOrd="1" presId="urn:microsoft.com/office/officeart/2005/8/layout/hProcess4"/>
    <dgm:cxn modelId="{08C17A44-F5EE-4468-A537-42582E99A5AE}" type="presOf" srcId="{4B7225C3-9A4B-4A03-AD9C-3797CDCD7971}" destId="{613A429E-CB6F-4052-9B78-C8DE7B404F03}" srcOrd="0" destOrd="5" presId="urn:microsoft.com/office/officeart/2005/8/layout/hProcess4"/>
    <dgm:cxn modelId="{1311B09C-41FC-42BF-9105-7C6D41411544}" type="presOf" srcId="{C218821D-4FE8-46E5-A55E-12319DE1C271}" destId="{B28833D9-91AE-48E7-8BAA-713DA9B15E61}" srcOrd="0" destOrd="0" presId="urn:microsoft.com/office/officeart/2005/8/layout/hProcess4"/>
    <dgm:cxn modelId="{5B136D13-6550-4541-9C96-2F7F267FBF61}" type="presOf" srcId="{8D028A92-EB12-4204-B01C-059178610BBE}" destId="{9C1B7AFE-B6A0-4834-B476-8D0D95E5C15A}" srcOrd="0" destOrd="0" presId="urn:microsoft.com/office/officeart/2005/8/layout/hProcess4"/>
    <dgm:cxn modelId="{4D7664FD-5E68-41AC-BD5C-EDA4AF5ABE6C}" type="presOf" srcId="{20AE72A8-6F4F-4415-9C7B-9A524657CA6D}" destId="{8A408CE0-1BE0-4238-98B2-DBB1877993CB}" srcOrd="0" destOrd="0" presId="urn:microsoft.com/office/officeart/2005/8/layout/hProcess4"/>
    <dgm:cxn modelId="{1B19955F-7B01-4C70-ACE3-5EEBCB80FC46}" type="presOf" srcId="{B10F4651-6F5B-45F3-89B3-639FA37952F2}" destId="{613A429E-CB6F-4052-9B78-C8DE7B404F03}" srcOrd="0" destOrd="2" presId="urn:microsoft.com/office/officeart/2005/8/layout/hProcess4"/>
    <dgm:cxn modelId="{758FCBFF-97D0-4B87-99A8-9CAEB45D6FBC}" type="presOf" srcId="{4F22DB95-09CC-47D9-A41C-6CB9FB5EC4FA}" destId="{613A429E-CB6F-4052-9B78-C8DE7B404F03}" srcOrd="0" destOrd="3" presId="urn:microsoft.com/office/officeart/2005/8/layout/hProcess4"/>
    <dgm:cxn modelId="{2A34863E-38B7-438D-948E-501ADCEA83DE}" type="presOf" srcId="{F6AF3927-CD52-4D0F-A89B-D4066829501A}" destId="{930D9C6B-172C-4435-A57A-846858C51F8F}" srcOrd="1" destOrd="2" presId="urn:microsoft.com/office/officeart/2005/8/layout/hProcess4"/>
    <dgm:cxn modelId="{A3AC1773-378F-438D-B31C-BC2E55C65EC8}" srcId="{20E4B023-8765-41C1-B231-D08A7BD66457}" destId="{21DBFE64-0999-43EA-A65C-3B817B4B4289}" srcOrd="0" destOrd="0" parTransId="{F538F8C9-31AC-4BC6-8C13-0348D017B2C4}" sibTransId="{45537738-42B6-492D-AC6B-F0736E4FFEB8}"/>
    <dgm:cxn modelId="{417EFFB5-627B-4060-AAC0-29AEAF9B2193}" type="presOf" srcId="{ABB4B33E-90F2-4186-87DA-D0B8441D3365}" destId="{930D9C6B-172C-4435-A57A-846858C51F8F}" srcOrd="1" destOrd="0" presId="urn:microsoft.com/office/officeart/2005/8/layout/hProcess4"/>
    <dgm:cxn modelId="{EAC7EA6C-ACF4-4352-B8DB-7E7CF729AF73}" type="presOf" srcId="{21DBFE64-0999-43EA-A65C-3B817B4B4289}" destId="{613A429E-CB6F-4052-9B78-C8DE7B404F03}" srcOrd="0" destOrd="0" presId="urn:microsoft.com/office/officeart/2005/8/layout/hProcess4"/>
    <dgm:cxn modelId="{2B5CE10E-D58C-4BC3-B4F2-617493C08896}" type="presOf" srcId="{24B96E66-A854-46A1-B476-1CB702C9BCB3}" destId="{F00AA860-930E-4A7C-AEB3-4FE7F706B20E}" srcOrd="0" destOrd="0" presId="urn:microsoft.com/office/officeart/2005/8/layout/hProcess4"/>
    <dgm:cxn modelId="{B9F4EEBF-0434-4BD4-9334-3376545EACB5}" type="presOf" srcId="{2B2260A7-C79C-48AF-8B84-3B8E99888F3F}" destId="{0C104777-ED5C-42D2-8733-E4B34FDD7F57}" srcOrd="0" destOrd="1" presId="urn:microsoft.com/office/officeart/2005/8/layout/hProcess4"/>
    <dgm:cxn modelId="{2086CA8B-74AA-43D4-9A5A-5D4E52445B93}" type="presOf" srcId="{F1E252B7-4D03-45C3-8F72-17796C020717}" destId="{0C104777-ED5C-42D2-8733-E4B34FDD7F57}" srcOrd="0" destOrd="0" presId="urn:microsoft.com/office/officeart/2005/8/layout/hProcess4"/>
    <dgm:cxn modelId="{0737864E-FB1D-4302-8846-BB21507FA757}" type="presOf" srcId="{20E4B023-8765-41C1-B231-D08A7BD66457}" destId="{E04CBD17-9748-4792-AE35-EFA49F4042C5}" srcOrd="0" destOrd="0" presId="urn:microsoft.com/office/officeart/2005/8/layout/hProcess4"/>
    <dgm:cxn modelId="{1D934B0E-35A3-4329-923C-5AD421E18E8B}" type="presOf" srcId="{2CFACDCB-FA0D-40C0-9636-E6465506B23B}" destId="{69C6C09A-E289-4BBF-9C6A-E81CA4B08E65}" srcOrd="0" destOrd="1" presId="urn:microsoft.com/office/officeart/2005/8/layout/hProcess4"/>
    <dgm:cxn modelId="{D7A69CAF-61CF-46F4-A657-5424A17A1945}" srcId="{021381C0-4812-4510-A234-9EC6EFFB6C0D}" destId="{ABB4B33E-90F2-4186-87DA-D0B8441D3365}" srcOrd="0" destOrd="0" parTransId="{F2DC5FF3-63F5-414B-8E3F-9143B231ED6D}" sibTransId="{FEA37687-7E49-47ED-915D-EF2E359C6B95}"/>
    <dgm:cxn modelId="{7DF97EE2-62A8-4EB5-8FC7-A2A1ED4B3AD8}" srcId="{20E4B023-8765-41C1-B231-D08A7BD66457}" destId="{4B7225C3-9A4B-4A03-AD9C-3797CDCD7971}" srcOrd="5" destOrd="0" parTransId="{A4C2BB6D-8453-421A-97C3-41A99A5A5840}" sibTransId="{C57E7D31-B14B-4B75-83B0-1139A642935A}"/>
    <dgm:cxn modelId="{823AF38F-E41B-467B-A154-049BCBA17940}" type="presParOf" srcId="{B28833D9-91AE-48E7-8BAA-713DA9B15E61}" destId="{7C235CEC-934C-4EF8-B7DB-7BFC32E24D1A}" srcOrd="0" destOrd="0" presId="urn:microsoft.com/office/officeart/2005/8/layout/hProcess4"/>
    <dgm:cxn modelId="{0819AEF6-091E-465D-B8A1-8DCAC9878CBF}" type="presParOf" srcId="{B28833D9-91AE-48E7-8BAA-713DA9B15E61}" destId="{B0E89C0F-1096-4649-A065-D8F98C9E6EFC}" srcOrd="1" destOrd="0" presId="urn:microsoft.com/office/officeart/2005/8/layout/hProcess4"/>
    <dgm:cxn modelId="{5F436753-0B67-4D15-BFE7-6B44F0E7F4DB}" type="presParOf" srcId="{B28833D9-91AE-48E7-8BAA-713DA9B15E61}" destId="{DE2378E1-8008-4440-A661-0AF54E438E76}" srcOrd="2" destOrd="0" presId="urn:microsoft.com/office/officeart/2005/8/layout/hProcess4"/>
    <dgm:cxn modelId="{7F0C5018-D4D3-424A-B0D9-5208BCF17087}" type="presParOf" srcId="{DE2378E1-8008-4440-A661-0AF54E438E76}" destId="{84DCC5CC-14E8-468D-B36E-8AB8B3903F67}" srcOrd="0" destOrd="0" presId="urn:microsoft.com/office/officeart/2005/8/layout/hProcess4"/>
    <dgm:cxn modelId="{3146F385-E12B-4FBA-A1EF-9A3EC54C3FF5}" type="presParOf" srcId="{84DCC5CC-14E8-468D-B36E-8AB8B3903F67}" destId="{13DC5599-C002-4AD6-BE0C-B28931A9FFE5}" srcOrd="0" destOrd="0" presId="urn:microsoft.com/office/officeart/2005/8/layout/hProcess4"/>
    <dgm:cxn modelId="{B4BEFC96-93EE-4A2E-9536-4256B651D308}" type="presParOf" srcId="{84DCC5CC-14E8-468D-B36E-8AB8B3903F67}" destId="{69C6C09A-E289-4BBF-9C6A-E81CA4B08E65}" srcOrd="1" destOrd="0" presId="urn:microsoft.com/office/officeart/2005/8/layout/hProcess4"/>
    <dgm:cxn modelId="{FF2F5476-49F2-4937-9457-644B7EAE4752}" type="presParOf" srcId="{84DCC5CC-14E8-468D-B36E-8AB8B3903F67}" destId="{930D9C6B-172C-4435-A57A-846858C51F8F}" srcOrd="2" destOrd="0" presId="urn:microsoft.com/office/officeart/2005/8/layout/hProcess4"/>
    <dgm:cxn modelId="{29B83819-7418-46CC-9F05-6297B0AC2A4D}" type="presParOf" srcId="{84DCC5CC-14E8-468D-B36E-8AB8B3903F67}" destId="{4777AC68-05F2-4043-9065-E9F272E02936}" srcOrd="3" destOrd="0" presId="urn:microsoft.com/office/officeart/2005/8/layout/hProcess4"/>
    <dgm:cxn modelId="{BAB3F764-2EDB-4653-A1F2-F9C5E8522D6B}" type="presParOf" srcId="{84DCC5CC-14E8-468D-B36E-8AB8B3903F67}" destId="{F9D0BE9F-0D2E-4E80-B49E-766B55988BA1}" srcOrd="4" destOrd="0" presId="urn:microsoft.com/office/officeart/2005/8/layout/hProcess4"/>
    <dgm:cxn modelId="{B8E921D8-B6D7-4038-8196-BDF2FDCC28EA}" type="presParOf" srcId="{DE2378E1-8008-4440-A661-0AF54E438E76}" destId="{F00AA860-930E-4A7C-AEB3-4FE7F706B20E}" srcOrd="1" destOrd="0" presId="urn:microsoft.com/office/officeart/2005/8/layout/hProcess4"/>
    <dgm:cxn modelId="{C40C136B-4851-4FED-9D0F-5B4A545586C2}" type="presParOf" srcId="{DE2378E1-8008-4440-A661-0AF54E438E76}" destId="{19205B78-083D-4931-B96C-CF808FFF20A9}" srcOrd="2" destOrd="0" presId="urn:microsoft.com/office/officeart/2005/8/layout/hProcess4"/>
    <dgm:cxn modelId="{79A0E35F-8C18-4AC2-9243-C5FC65FEFEC7}" type="presParOf" srcId="{19205B78-083D-4931-B96C-CF808FFF20A9}" destId="{00A87F36-AB13-44D0-AD5E-9B172D6CB235}" srcOrd="0" destOrd="0" presId="urn:microsoft.com/office/officeart/2005/8/layout/hProcess4"/>
    <dgm:cxn modelId="{ADF6E56F-5D8E-4109-8A90-0FDDFA4DB2EF}" type="presParOf" srcId="{19205B78-083D-4931-B96C-CF808FFF20A9}" destId="{0C104777-ED5C-42D2-8733-E4B34FDD7F57}" srcOrd="1" destOrd="0" presId="urn:microsoft.com/office/officeart/2005/8/layout/hProcess4"/>
    <dgm:cxn modelId="{EFC18664-31EB-4542-A5B3-9F30826CA675}" type="presParOf" srcId="{19205B78-083D-4931-B96C-CF808FFF20A9}" destId="{8CF50977-26B9-4BC7-AD13-9B4CB43DB7C0}" srcOrd="2" destOrd="0" presId="urn:microsoft.com/office/officeart/2005/8/layout/hProcess4"/>
    <dgm:cxn modelId="{46AB6DDA-E083-4F63-82F1-ED24F601EA2C}" type="presParOf" srcId="{19205B78-083D-4931-B96C-CF808FFF20A9}" destId="{9C1B7AFE-B6A0-4834-B476-8D0D95E5C15A}" srcOrd="3" destOrd="0" presId="urn:microsoft.com/office/officeart/2005/8/layout/hProcess4"/>
    <dgm:cxn modelId="{27314F35-8721-4929-8914-DBE83339C2BF}" type="presParOf" srcId="{19205B78-083D-4931-B96C-CF808FFF20A9}" destId="{3393DAF8-AE41-4EE7-967E-D62D75777837}" srcOrd="4" destOrd="0" presId="urn:microsoft.com/office/officeart/2005/8/layout/hProcess4"/>
    <dgm:cxn modelId="{5067163C-ABF1-4B0D-8A99-5545B019DE4D}" type="presParOf" srcId="{DE2378E1-8008-4440-A661-0AF54E438E76}" destId="{8A408CE0-1BE0-4238-98B2-DBB1877993CB}" srcOrd="3" destOrd="0" presId="urn:microsoft.com/office/officeart/2005/8/layout/hProcess4"/>
    <dgm:cxn modelId="{23817ABC-5F82-46F9-A8BD-0377389D41A1}" type="presParOf" srcId="{DE2378E1-8008-4440-A661-0AF54E438E76}" destId="{BCD5EC50-E305-4D45-B896-AC3F6CA87709}" srcOrd="4" destOrd="0" presId="urn:microsoft.com/office/officeart/2005/8/layout/hProcess4"/>
    <dgm:cxn modelId="{005EE8B5-C41F-406B-B94F-17770BAA2D10}" type="presParOf" srcId="{BCD5EC50-E305-4D45-B896-AC3F6CA87709}" destId="{CB9EB249-3372-4FDD-A48B-340C43ED044D}" srcOrd="0" destOrd="0" presId="urn:microsoft.com/office/officeart/2005/8/layout/hProcess4"/>
    <dgm:cxn modelId="{CF8F43DC-E669-4DD2-8780-FA84DE36C8CA}" type="presParOf" srcId="{BCD5EC50-E305-4D45-B896-AC3F6CA87709}" destId="{613A429E-CB6F-4052-9B78-C8DE7B404F03}" srcOrd="1" destOrd="0" presId="urn:microsoft.com/office/officeart/2005/8/layout/hProcess4"/>
    <dgm:cxn modelId="{19708E87-18C1-4BA4-9D50-E41375342047}" type="presParOf" srcId="{BCD5EC50-E305-4D45-B896-AC3F6CA87709}" destId="{782BEDF7-F46A-411F-A36F-58D2821F8D3C}" srcOrd="2" destOrd="0" presId="urn:microsoft.com/office/officeart/2005/8/layout/hProcess4"/>
    <dgm:cxn modelId="{979C5FE9-F759-47A3-A49C-31C4EA0306D9}" type="presParOf" srcId="{BCD5EC50-E305-4D45-B896-AC3F6CA87709}" destId="{E04CBD17-9748-4792-AE35-EFA49F4042C5}" srcOrd="3" destOrd="0" presId="urn:microsoft.com/office/officeart/2005/8/layout/hProcess4"/>
    <dgm:cxn modelId="{6C06075F-A7E6-4F20-95BB-2E313E501B2F}" type="presParOf" srcId="{BCD5EC50-E305-4D45-B896-AC3F6CA87709}" destId="{DAAA8C32-EF82-46FF-A569-B4D89F7AB98E}" srcOrd="4" destOrd="0" presId="urn:microsoft.com/office/officeart/2005/8/layout/h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6C09A-E289-4BBF-9C6A-E81CA4B08E65}">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AU" sz="800" kern="1200"/>
            <a:t>Fuel prices</a:t>
          </a:r>
        </a:p>
        <a:p>
          <a:pPr marL="57150" lvl="1" indent="-57150" algn="l" defTabSz="355600">
            <a:lnSpc>
              <a:spcPct val="90000"/>
            </a:lnSpc>
            <a:spcBef>
              <a:spcPct val="0"/>
            </a:spcBef>
            <a:spcAft>
              <a:spcPct val="15000"/>
            </a:spcAft>
            <a:buChar char="••"/>
          </a:pPr>
          <a:r>
            <a:rPr lang="en-AU" sz="800" kern="1200"/>
            <a:t>Native demand</a:t>
          </a:r>
        </a:p>
        <a:p>
          <a:pPr marL="57150" lvl="1" indent="-57150" algn="l" defTabSz="355600">
            <a:lnSpc>
              <a:spcPct val="90000"/>
            </a:lnSpc>
            <a:spcBef>
              <a:spcPct val="0"/>
            </a:spcBef>
            <a:spcAft>
              <a:spcPct val="15000"/>
            </a:spcAft>
            <a:buChar char="••"/>
          </a:pPr>
          <a:r>
            <a:rPr lang="en-AU" sz="800" kern="1200"/>
            <a:t>Technology costs</a:t>
          </a:r>
        </a:p>
      </dsp:txBody>
      <dsp:txXfrm>
        <a:off x="31488" y="1004860"/>
        <a:ext cx="1455816" cy="923223"/>
      </dsp:txXfrm>
    </dsp:sp>
    <dsp:sp modelId="{F00AA860-930E-4A7C-AEB3-4FE7F706B20E}">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77AC68-05F2-4043-9065-E9F272E02936}">
      <dsp:nvSpPr>
        <dsp:cNvPr id="0" name=""/>
        <dsp:cNvSpPr/>
      </dsp:nvSpPr>
      <dsp:spPr>
        <a:xfrm>
          <a:off x="339046" y="1956807"/>
          <a:ext cx="1345121" cy="534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AU" sz="1600" kern="1200"/>
            <a:t>Exogenous inputs</a:t>
          </a:r>
        </a:p>
      </dsp:txBody>
      <dsp:txXfrm>
        <a:off x="354713" y="1972474"/>
        <a:ext cx="1313787" cy="503576"/>
      </dsp:txXfrm>
    </dsp:sp>
    <dsp:sp modelId="{0C104777-ED5C-42D2-8733-E4B34FDD7F57}">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AU" sz="800" kern="1200"/>
            <a:t>REMMA - determines mix of renewable to meet targets</a:t>
          </a:r>
        </a:p>
        <a:p>
          <a:pPr marL="57150" lvl="1" indent="-57150" algn="l" defTabSz="355600">
            <a:lnSpc>
              <a:spcPct val="90000"/>
            </a:lnSpc>
            <a:spcBef>
              <a:spcPct val="0"/>
            </a:spcBef>
            <a:spcAft>
              <a:spcPct val="15000"/>
            </a:spcAft>
            <a:buChar char="••"/>
          </a:pPr>
          <a:r>
            <a:rPr lang="en-AU" sz="800" kern="1200"/>
            <a:t>DOGMMA - determines small scale distributed and embedded generation and, hence, grid based demand</a:t>
          </a:r>
        </a:p>
      </dsp:txBody>
      <dsp:txXfrm>
        <a:off x="1931221" y="1272315"/>
        <a:ext cx="1455816" cy="923223"/>
      </dsp:txXfrm>
    </dsp:sp>
    <dsp:sp modelId="{8A408CE0-1BE0-4238-98B2-DBB1877993CB}">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1B7AFE-B6A0-4834-B476-8D0D95E5C15A}">
      <dsp:nvSpPr>
        <dsp:cNvPr id="0" name=""/>
        <dsp:cNvSpPr/>
      </dsp:nvSpPr>
      <dsp:spPr>
        <a:xfrm>
          <a:off x="2238779" y="708682"/>
          <a:ext cx="1345121" cy="534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AU" sz="1600" kern="1200"/>
            <a:t>Ancillary models</a:t>
          </a:r>
        </a:p>
      </dsp:txBody>
      <dsp:txXfrm>
        <a:off x="2254446" y="724349"/>
        <a:ext cx="1313787" cy="503576"/>
      </dsp:txXfrm>
    </dsp:sp>
    <dsp:sp modelId="{613A429E-CB6F-4052-9B78-C8DE7B404F03}">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AU" sz="800" kern="1200"/>
            <a:t>STRATEGIST electricty market model</a:t>
          </a:r>
        </a:p>
        <a:p>
          <a:pPr marL="57150" lvl="1" indent="-57150" algn="l" defTabSz="355600">
            <a:lnSpc>
              <a:spcPct val="90000"/>
            </a:lnSpc>
            <a:spcBef>
              <a:spcPct val="0"/>
            </a:spcBef>
            <a:spcAft>
              <a:spcPct val="15000"/>
            </a:spcAft>
            <a:buChar char="••"/>
          </a:pPr>
          <a:r>
            <a:rPr lang="en-AU" sz="800" kern="1200"/>
            <a:t>Wholesale and retail prices</a:t>
          </a:r>
        </a:p>
        <a:p>
          <a:pPr marL="57150" lvl="1" indent="-57150" algn="l" defTabSz="355600">
            <a:lnSpc>
              <a:spcPct val="90000"/>
            </a:lnSpc>
            <a:spcBef>
              <a:spcPct val="0"/>
            </a:spcBef>
            <a:spcAft>
              <a:spcPct val="15000"/>
            </a:spcAft>
            <a:buChar char="••"/>
          </a:pPr>
          <a:r>
            <a:rPr lang="en-AU" sz="800" kern="1200"/>
            <a:t>Generation mix</a:t>
          </a:r>
        </a:p>
        <a:p>
          <a:pPr marL="57150" lvl="1" indent="-57150" algn="l" defTabSz="355600">
            <a:lnSpc>
              <a:spcPct val="90000"/>
            </a:lnSpc>
            <a:spcBef>
              <a:spcPct val="0"/>
            </a:spcBef>
            <a:spcAft>
              <a:spcPct val="15000"/>
            </a:spcAft>
            <a:buChar char="••"/>
          </a:pPr>
          <a:r>
            <a:rPr lang="en-AU" sz="800" kern="1200"/>
            <a:t>Investment mix</a:t>
          </a:r>
        </a:p>
        <a:p>
          <a:pPr marL="57150" lvl="1" indent="-57150" algn="l" defTabSz="355600">
            <a:lnSpc>
              <a:spcPct val="90000"/>
            </a:lnSpc>
            <a:spcBef>
              <a:spcPct val="0"/>
            </a:spcBef>
            <a:spcAft>
              <a:spcPct val="15000"/>
            </a:spcAft>
            <a:buChar char="••"/>
          </a:pPr>
          <a:r>
            <a:rPr lang="en-AU" sz="800" kern="1200"/>
            <a:t>Resource costs</a:t>
          </a:r>
        </a:p>
        <a:p>
          <a:pPr marL="57150" lvl="1" indent="-57150" algn="l" defTabSz="355600">
            <a:lnSpc>
              <a:spcPct val="90000"/>
            </a:lnSpc>
            <a:spcBef>
              <a:spcPct val="0"/>
            </a:spcBef>
            <a:spcAft>
              <a:spcPct val="15000"/>
            </a:spcAft>
            <a:buChar char="••"/>
          </a:pPr>
          <a:r>
            <a:rPr lang="en-AU" sz="800" kern="1200"/>
            <a:t>Emissions</a:t>
          </a:r>
        </a:p>
      </dsp:txBody>
      <dsp:txXfrm>
        <a:off x="3830955" y="1004860"/>
        <a:ext cx="1455816" cy="923223"/>
      </dsp:txXfrm>
    </dsp:sp>
    <dsp:sp modelId="{E04CBD17-9748-4792-AE35-EFA49F4042C5}">
      <dsp:nvSpPr>
        <dsp:cNvPr id="0" name=""/>
        <dsp:cNvSpPr/>
      </dsp:nvSpPr>
      <dsp:spPr>
        <a:xfrm>
          <a:off x="4138512" y="1956807"/>
          <a:ext cx="1345121" cy="534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AU" sz="1600" kern="1200"/>
            <a:t>Electricity market model</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Jacobs">
  <a:themeElements>
    <a:clrScheme name="Jacobs">
      <a:dk1>
        <a:sysClr val="windowText" lastClr="000000"/>
      </a:dk1>
      <a:lt1>
        <a:sysClr val="window" lastClr="FFFFFF"/>
      </a:lt1>
      <a:dk2>
        <a:srgbClr val="6C6F70"/>
      </a:dk2>
      <a:lt2>
        <a:srgbClr val="CCCCCC"/>
      </a:lt2>
      <a:accent1>
        <a:srgbClr val="597AB5"/>
      </a:accent1>
      <a:accent2>
        <a:srgbClr val="97BC33"/>
      </a:accent2>
      <a:accent3>
        <a:srgbClr val="961334"/>
      </a:accent3>
      <a:accent4>
        <a:srgbClr val="FFDE00"/>
      </a:accent4>
      <a:accent5>
        <a:srgbClr val="6C6F70"/>
      </a:accent5>
      <a:accent6>
        <a:srgbClr val="00338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CB7769C52F024CA7529D56E08EE824" ma:contentTypeVersion="0" ma:contentTypeDescription="Create a new document." ma:contentTypeScope="" ma:versionID="10806c04b0eec02bb5b9c9b03c2c979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B86D-031F-4774-A3E3-291D75B3D943}">
  <ds:schemaRefs>
    <ds:schemaRef ds:uri="http://schemas.microsoft.com/sharepoint/v3/contenttype/forms"/>
  </ds:schemaRefs>
</ds:datastoreItem>
</file>

<file path=customXml/itemProps2.xml><?xml version="1.0" encoding="utf-8"?>
<ds:datastoreItem xmlns:ds="http://schemas.openxmlformats.org/officeDocument/2006/customXml" ds:itemID="{C9178C0C-283F-4F98-9D87-4466466D4E97}">
  <ds:schemaRef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FB6A420-A3F2-4FC8-AAF2-9E1A419A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1F672F2-F8B0-4EC3-974B-7DCCB4C6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44</Pages>
  <Words>15267</Words>
  <Characters>87022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MacroView</Company>
  <LinksUpToDate>false</LinksUpToDate>
  <CharactersWithSpaces>102085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WGerardi</dc:creator>
  <cp:lastModifiedBy>Calais, Prabpreet</cp:lastModifiedBy>
  <cp:revision>2</cp:revision>
  <cp:lastPrinted>2015-05-29T00:56:00Z</cp:lastPrinted>
  <dcterms:created xsi:type="dcterms:W3CDTF">2015-05-29T02:36:00Z</dcterms:created>
  <dcterms:modified xsi:type="dcterms:W3CDTF">2015-05-29T02:36:00Z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Benefits and Costs of VEET on Energy Markets</vt:lpwstr>
  </property>
  <property fmtid="{D5CDD505-2E9C-101B-9397-08002B2CF9AE}" pid="3" name="Cover Subheading">
    <vt:lpwstr>Impact of Energy Efficiency Targets on the Energy Markets</vt:lpwstr>
  </property>
  <property fmtid="{D5CDD505-2E9C-101B-9397-08002B2CF9AE}" pid="4" name="Cover Date">
    <vt:lpwstr>17 Feb 2015</vt:lpwstr>
  </property>
  <property fmtid="{D5CDD505-2E9C-101B-9397-08002B2CF9AE}" pid="5" name="Project Name">
    <vt:lpwstr>Benefits and Costs of VEET on Energy Markets</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Impact of Energy Efficiency Targets on the Energy Markets</vt:lpwstr>
  </property>
  <property fmtid="{D5CDD505-2E9C-101B-9397-08002B2CF9AE}" pid="10" name="Date">
    <vt:lpwstr>17 Feb 2015</vt:lpwstr>
  </property>
  <property fmtid="{D5CDD505-2E9C-101B-9397-08002B2CF9AE}" pid="11" name="Prepared By">
    <vt:lpwstr>Walter Gerardi, Liisa Parisot</vt:lpwstr>
  </property>
  <property fmtid="{D5CDD505-2E9C-101B-9397-08002B2CF9AE}" pid="12" name="Approved By">
    <vt:lpwstr>Walter Gerardi</vt:lpwstr>
  </property>
  <property fmtid="{D5CDD505-2E9C-101B-9397-08002B2CF9AE}" pid="13" name="Document Number">
    <vt:lpwstr>Draft</vt:lpwstr>
  </property>
  <property fmtid="{D5CDD505-2E9C-101B-9397-08002B2CF9AE}" pid="14" name="Revision">
    <vt:lpwstr>1</vt:lpwstr>
  </property>
  <property fmtid="{D5CDD505-2E9C-101B-9397-08002B2CF9AE}" pid="15" name="Cover Reference">
    <vt:lpwstr>Client Reference</vt:lpwstr>
  </property>
  <property fmtid="{D5CDD505-2E9C-101B-9397-08002B2CF9AE}" pid="16" name="Project Manager">
    <vt:lpwstr>Sarah Alexander</vt:lpwstr>
  </property>
  <property fmtid="{D5CDD505-2E9C-101B-9397-08002B2CF9AE}" pid="17" name="Client Name">
    <vt:lpwstr>Victorian Department of Economic Development, Jobs, Transport and Resources</vt:lpwstr>
  </property>
  <property fmtid="{D5CDD505-2E9C-101B-9397-08002B2CF9AE}" pid="18" name="Project Number">
    <vt:lpwstr>RO010500</vt:lpwstr>
  </property>
  <property fmtid="{D5CDD505-2E9C-101B-9397-08002B2CF9AE}" pid="19" name="Client Reference">
    <vt:lpwstr>Client Reference</vt:lpwstr>
  </property>
  <property fmtid="{D5CDD505-2E9C-101B-9397-08002B2CF9AE}" pid="20" name="ContentTypeId">
    <vt:lpwstr>0x01010029CB7769C52F024CA7529D56E08EE824</vt:lpwstr>
  </property>
  <property fmtid="{D5CDD505-2E9C-101B-9397-08002B2CF9AE}" pid="21" name="Document Type">
    <vt:lpwstr>Report</vt:lpwstr>
  </property>
</Properties>
</file>