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62" w:rsidRDefault="00CF2915" w:rsidP="007C3D3A">
      <w:pPr>
        <w:sectPr w:rsidR="00057F62" w:rsidSect="00C902D9">
          <w:headerReference w:type="default" r:id="rId8"/>
          <w:footerReference w:type="even" r:id="rId9"/>
          <w:footerReference w:type="default" r:id="rId10"/>
          <w:headerReference w:type="first" r:id="rId11"/>
          <w:pgSz w:w="11907" w:h="16839" w:code="9"/>
          <w:pgMar w:top="1440" w:right="1440" w:bottom="1440" w:left="1440" w:header="720" w:footer="720" w:gutter="0"/>
          <w:cols w:space="720"/>
          <w:titlePg/>
          <w:docGrid w:linePitch="360"/>
        </w:sectPr>
      </w:pPr>
      <w:r>
        <w:rPr>
          <w:noProof/>
          <w:lang w:eastAsia="en-AU"/>
        </w:rPr>
        <mc:AlternateContent>
          <mc:Choice Requires="wps">
            <w:drawing>
              <wp:anchor distT="0" distB="0" distL="114300" distR="114300" simplePos="0" relativeHeight="251663360" behindDoc="0" locked="0" layoutInCell="1" allowOverlap="1" wp14:anchorId="622F88C9" wp14:editId="549F79F5">
                <wp:simplePos x="0" y="0"/>
                <wp:positionH relativeFrom="column">
                  <wp:posOffset>1054100</wp:posOffset>
                </wp:positionH>
                <wp:positionV relativeFrom="paragraph">
                  <wp:posOffset>1597660</wp:posOffset>
                </wp:positionV>
                <wp:extent cx="4483735" cy="122555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725" w:rsidRPr="00094EFE" w:rsidRDefault="00875725" w:rsidP="005849DC">
                            <w:pPr>
                              <w:pStyle w:val="Title"/>
                            </w:pPr>
                            <w:r>
                              <w:t>climate change authority</w:t>
                            </w:r>
                            <w:r w:rsidRPr="00094EFE">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88C9" id="_x0000_t202" coordsize="21600,21600" o:spt="202" path="m,l,21600r21600,l21600,xe">
                <v:stroke joinstyle="miter"/>
                <v:path gradientshapeok="t" o:connecttype="rect"/>
              </v:shapetype>
              <v:shape id="Text Box 17" o:spid="_x0000_s1026" type="#_x0000_t202" style="position:absolute;margin-left:83pt;margin-top:125.8pt;width:353.0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ABhQIAABE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" stroked="f">
                <v:textbox>
                  <w:txbxContent>
                    <w:p w:rsidR="00875725" w:rsidRPr="00094EFE" w:rsidRDefault="00875725" w:rsidP="005849DC">
                      <w:pPr>
                        <w:pStyle w:val="Title"/>
                      </w:pPr>
                      <w:r>
                        <w:t>climate change authority</w:t>
                      </w:r>
                      <w:r w:rsidRPr="00094EFE">
                        <w:t xml:space="preserve"> </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5169E46" wp14:editId="4FC296FB">
                <wp:simplePos x="0" y="0"/>
                <wp:positionH relativeFrom="column">
                  <wp:posOffset>2514600</wp:posOffset>
                </wp:positionH>
                <wp:positionV relativeFrom="paragraph">
                  <wp:posOffset>2965450</wp:posOffset>
                </wp:positionV>
                <wp:extent cx="3023235" cy="317500"/>
                <wp:effectExtent l="0" t="0" r="0" b="63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317500"/>
                        </a:xfrm>
                        <a:prstGeom prst="rect">
                          <a:avLst/>
                        </a:prstGeom>
                        <a:noFill/>
                        <a:ln>
                          <a:noFill/>
                        </a:ln>
                        <a:extLst/>
                      </wps:spPr>
                      <wps:txbx>
                        <w:txbxContent>
                          <w:p w:rsidR="00875725" w:rsidRPr="00094EFE" w:rsidRDefault="00875725" w:rsidP="00094EFE">
                            <w:pPr>
                              <w:pStyle w:val="Subtitle"/>
                            </w:pPr>
                            <w:r>
                              <w:t>ANNUAL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69E46" id="_x0000_s1027" type="#_x0000_t202" style="position:absolute;margin-left:198pt;margin-top:233.5pt;width:238.0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" filled="f" stroked="f">
                <v:textbox>
                  <w:txbxContent>
                    <w:p w:rsidR="00875725" w:rsidRPr="00094EFE" w:rsidRDefault="00875725" w:rsidP="00094EFE">
                      <w:pPr>
                        <w:pStyle w:val="Subtitle"/>
                      </w:pPr>
                      <w:r>
                        <w:t>ANNUAL REPORT</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7726F3D2" wp14:editId="2C64BAEC">
                <wp:simplePos x="0" y="0"/>
                <wp:positionH relativeFrom="column">
                  <wp:posOffset>3244850</wp:posOffset>
                </wp:positionH>
                <wp:positionV relativeFrom="paragraph">
                  <wp:posOffset>3714750</wp:posOffset>
                </wp:positionV>
                <wp:extent cx="2292985" cy="285750"/>
                <wp:effectExtent l="0" t="0" r="0" b="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725" w:rsidRPr="00094EFE" w:rsidRDefault="00875725" w:rsidP="00F63CCF">
                            <w:pPr>
                              <w:pStyle w:val="Date"/>
                            </w:pPr>
                            <w:r>
                              <w:t>2014–15</w:t>
                            </w:r>
                            <w:r w:rsidRPr="00094EFE">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726F3D2" id="_x0000_s1028" type="#_x0000_t202" style="position:absolute;margin-left:255.5pt;margin-top:292.5pt;width:180.55pt;height: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P5iAIAABg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" stroked="f">
                <v:textbox>
                  <w:txbxContent>
                    <w:p w:rsidR="00875725" w:rsidRPr="00094EFE" w:rsidRDefault="00875725" w:rsidP="00F63CCF">
                      <w:pPr>
                        <w:pStyle w:val="Date"/>
                      </w:pPr>
                      <w:r>
                        <w:t>2014–15</w:t>
                      </w:r>
                      <w:r w:rsidRPr="00094EFE">
                        <w:t xml:space="preserve"> </w:t>
                      </w:r>
                    </w:p>
                  </w:txbxContent>
                </v:textbox>
              </v:shape>
            </w:pict>
          </mc:Fallback>
        </mc:AlternateContent>
      </w:r>
    </w:p>
    <w:p w:rsidR="009E7617" w:rsidRPr="00431EAC" w:rsidRDefault="009E7617" w:rsidP="009E7617">
      <w:pPr>
        <w:pStyle w:val="Headingreferences"/>
      </w:pPr>
      <w:r>
        <w:lastRenderedPageBreak/>
        <w:t>A</w:t>
      </w:r>
      <w:r w:rsidRPr="00431EAC">
        <w:t>bout this report</w:t>
      </w:r>
    </w:p>
    <w:p w:rsidR="009E7617" w:rsidRPr="00A84903" w:rsidRDefault="009E7617" w:rsidP="009E7617">
      <w:r w:rsidRPr="00A84903">
        <w:t>The Climate Change Authority</w:t>
      </w:r>
      <w:r w:rsidR="004A1D36">
        <w:t>’</w:t>
      </w:r>
      <w:r w:rsidRPr="00A84903">
        <w:t xml:space="preserve">s annual report has been prepared in accordance with the </w:t>
      </w:r>
      <w:r w:rsidRPr="00D40978">
        <w:rPr>
          <w:i/>
        </w:rPr>
        <w:t>Requirements for Annual Reports</w:t>
      </w:r>
      <w:r w:rsidRPr="00A84903">
        <w:t xml:space="preserve">, approved by the Joint Committee of Public Accounts and Audit on </w:t>
      </w:r>
      <w:r>
        <w:t>25 June 2015</w:t>
      </w:r>
      <w:r w:rsidRPr="00A84903">
        <w:t>.</w:t>
      </w:r>
    </w:p>
    <w:p w:rsidR="009E7617" w:rsidRPr="00431EAC" w:rsidRDefault="009E7617" w:rsidP="009E7617">
      <w:pPr>
        <w:pStyle w:val="BodyText"/>
      </w:pPr>
      <w:r>
        <w:t xml:space="preserve">The annual report is available </w:t>
      </w:r>
      <w:r w:rsidRPr="00431EAC">
        <w:t xml:space="preserve">in print </w:t>
      </w:r>
      <w:r w:rsidRPr="004D0614">
        <w:t xml:space="preserve">from </w:t>
      </w:r>
      <w:r>
        <w:t>13</w:t>
      </w:r>
      <w:r w:rsidRPr="00431EAC">
        <w:t xml:space="preserve"> libraries around Australia and online at </w:t>
      </w:r>
      <w:r w:rsidRPr="00431EAC">
        <w:br/>
      </w:r>
      <w:hyperlink r:id="rId12" w:history="1">
        <w:r w:rsidRPr="00431EAC">
          <w:t>www.climatechangeauthority.gov.au</w:t>
        </w:r>
      </w:hyperlink>
      <w:r w:rsidRPr="00431EAC">
        <w:t>.</w:t>
      </w:r>
    </w:p>
    <w:p w:rsidR="009E7617" w:rsidRDefault="009E7617" w:rsidP="009E7617">
      <w:pPr>
        <w:rPr>
          <w:rStyle w:val="Textbold"/>
        </w:rPr>
      </w:pPr>
    </w:p>
    <w:p w:rsidR="009E7617" w:rsidRPr="00431EAC" w:rsidRDefault="009E7617" w:rsidP="009E7617">
      <w:pPr>
        <w:rPr>
          <w:rStyle w:val="Textbold"/>
        </w:rPr>
      </w:pPr>
      <w:r w:rsidRPr="00431EAC">
        <w:rPr>
          <w:rStyle w:val="Textbold"/>
        </w:rPr>
        <w:t>Contact us</w:t>
      </w:r>
    </w:p>
    <w:p w:rsidR="009E7617" w:rsidRPr="00431EAC" w:rsidRDefault="009E7617" w:rsidP="009E7617">
      <w:r w:rsidRPr="00431EAC">
        <w:t>If you have any queries about this report, please contact:</w:t>
      </w:r>
    </w:p>
    <w:p w:rsidR="009E7617" w:rsidRPr="008578A3" w:rsidRDefault="003455AE" w:rsidP="009E7617">
      <w:r>
        <w:t>Director</w:t>
      </w:r>
      <w:r w:rsidR="009E7617" w:rsidRPr="008578A3">
        <w:t>, Corporate Services</w:t>
      </w:r>
    </w:p>
    <w:p w:rsidR="009E7617" w:rsidRPr="008578A3" w:rsidRDefault="009E7617" w:rsidP="009E7617">
      <w:r w:rsidRPr="008578A3">
        <w:t>Climate Change Authority</w:t>
      </w:r>
    </w:p>
    <w:p w:rsidR="009E7617" w:rsidRPr="008578A3" w:rsidRDefault="009E7617" w:rsidP="009E7617">
      <w:r w:rsidRPr="008578A3">
        <w:t>GPO Box 1944</w:t>
      </w:r>
    </w:p>
    <w:p w:rsidR="009E7617" w:rsidRPr="008578A3" w:rsidRDefault="009E7617" w:rsidP="009E7617">
      <w:r w:rsidRPr="008578A3">
        <w:t>MELBOURNE VIC 3001</w:t>
      </w:r>
    </w:p>
    <w:p w:rsidR="009E7617" w:rsidRPr="00A84903" w:rsidRDefault="009E7617" w:rsidP="009E7617">
      <w:pPr>
        <w:rPr>
          <w:rStyle w:val="Textbold"/>
        </w:rPr>
      </w:pPr>
      <w:r w:rsidRPr="00A84903">
        <w:rPr>
          <w:rStyle w:val="Textbold"/>
        </w:rPr>
        <w:t>Internet</w:t>
      </w:r>
      <w:r w:rsidR="004A1D36">
        <w:rPr>
          <w:rStyle w:val="Textbold"/>
        </w:rPr>
        <w:t>:</w:t>
      </w:r>
      <w:r w:rsidRPr="00A84903">
        <w:rPr>
          <w:rStyle w:val="Textbold"/>
        </w:rPr>
        <w:t xml:space="preserve"> </w:t>
      </w:r>
      <w:hyperlink r:id="rId13" w:history="1">
        <w:r w:rsidRPr="00A84903">
          <w:rPr>
            <w:rStyle w:val="Textbold"/>
          </w:rPr>
          <w:t>www.climatechangeauthority.gov.au</w:t>
        </w:r>
        <w:r w:rsidRPr="00A84903">
          <w:rPr>
            <w:rStyle w:val="Textbold"/>
          </w:rPr>
          <w:br/>
        </w:r>
      </w:hyperlink>
      <w:r w:rsidRPr="00A84903">
        <w:rPr>
          <w:rStyle w:val="Textbold"/>
        </w:rPr>
        <w:t>Email</w:t>
      </w:r>
      <w:r w:rsidR="004A1D36">
        <w:rPr>
          <w:rStyle w:val="Textbold"/>
        </w:rPr>
        <w:t>:</w:t>
      </w:r>
      <w:r w:rsidRPr="00A84903">
        <w:rPr>
          <w:rStyle w:val="Textbold"/>
        </w:rPr>
        <w:t xml:space="preserve"> </w:t>
      </w:r>
      <w:hyperlink r:id="rId14" w:history="1">
        <w:r w:rsidRPr="00A84903">
          <w:rPr>
            <w:rStyle w:val="Textbold"/>
          </w:rPr>
          <w:t>enquiries@climatechangeauthority.gov.au</w:t>
        </w:r>
      </w:hyperlink>
    </w:p>
    <w:p w:rsidR="009E7617" w:rsidRPr="00A84903" w:rsidRDefault="009E7617" w:rsidP="009E7617">
      <w:pPr>
        <w:rPr>
          <w:rStyle w:val="Textbold"/>
        </w:rPr>
      </w:pPr>
      <w:r w:rsidRPr="00A84903">
        <w:rPr>
          <w:rStyle w:val="Textbold"/>
        </w:rPr>
        <w:t>Telephone</w:t>
      </w:r>
      <w:r w:rsidR="004A1D36">
        <w:rPr>
          <w:rStyle w:val="Textbold"/>
        </w:rPr>
        <w:t>:</w:t>
      </w:r>
      <w:r w:rsidRPr="00A84903">
        <w:rPr>
          <w:rStyle w:val="Textbold"/>
        </w:rPr>
        <w:t xml:space="preserve"> +61 3 8656 3000</w:t>
      </w:r>
      <w:r w:rsidRPr="00A84903">
        <w:rPr>
          <w:rStyle w:val="Textbold"/>
        </w:rPr>
        <w:br/>
        <w:t>Facsimile</w:t>
      </w:r>
      <w:r w:rsidR="004A1D36">
        <w:rPr>
          <w:rStyle w:val="Textbold"/>
        </w:rPr>
        <w:t>:</w:t>
      </w:r>
      <w:r w:rsidRPr="00A84903">
        <w:rPr>
          <w:rStyle w:val="Textbold"/>
        </w:rPr>
        <w:t xml:space="preserve"> +61 3 8656 3030</w:t>
      </w:r>
    </w:p>
    <w:p w:rsidR="009E7617" w:rsidRPr="00A84903" w:rsidRDefault="009E7617" w:rsidP="009E7617">
      <w:pPr>
        <w:rPr>
          <w:rStyle w:val="Textbold"/>
        </w:rPr>
      </w:pPr>
      <w:r w:rsidRPr="00A84903">
        <w:rPr>
          <w:rStyle w:val="Textbold"/>
        </w:rPr>
        <w:t>ABN</w:t>
      </w:r>
      <w:r w:rsidR="004A1D36">
        <w:rPr>
          <w:rStyle w:val="Textbold"/>
        </w:rPr>
        <w:t>:</w:t>
      </w:r>
      <w:r w:rsidRPr="00A84903">
        <w:rPr>
          <w:rStyle w:val="Textbold"/>
        </w:rPr>
        <w:t xml:space="preserve"> 60 585 018 782</w:t>
      </w:r>
    </w:p>
    <w:p w:rsidR="009E7617" w:rsidRPr="008578A3" w:rsidRDefault="009E7617" w:rsidP="009E7617">
      <w:r w:rsidRPr="00A84903">
        <w:rPr>
          <w:rStyle w:val="Textbold"/>
        </w:rPr>
        <w:t>ISBN:</w:t>
      </w:r>
      <w:r w:rsidRPr="008578A3">
        <w:t xml:space="preserve"> </w:t>
      </w:r>
      <w:r w:rsidRPr="008578A3">
        <w:rPr>
          <w:rStyle w:val="Textbold"/>
          <w:lang w:eastAsia="en-AU"/>
        </w:rPr>
        <w:t>978-0-9925422-5-2</w:t>
      </w:r>
    </w:p>
    <w:p w:rsidR="009E7617" w:rsidRPr="00A84903" w:rsidRDefault="009E7617" w:rsidP="009E7617">
      <w:pPr>
        <w:rPr>
          <w:rStyle w:val="Textbold"/>
        </w:rPr>
      </w:pPr>
    </w:p>
    <w:p w:rsidR="009E7617" w:rsidRPr="00E44A68" w:rsidRDefault="009E7617" w:rsidP="009E7617">
      <w:r w:rsidRPr="00E44A68">
        <w:t xml:space="preserve">Published </w:t>
      </w:r>
      <w:r>
        <w:t>by the Climate Change Authority</w:t>
      </w:r>
    </w:p>
    <w:p w:rsidR="009E7617" w:rsidRDefault="004E664C" w:rsidP="009E7617">
      <w:hyperlink r:id="rId15" w:history="1">
        <w:r w:rsidR="009E7617" w:rsidRPr="000A572A">
          <w:t>www.climatechangeauthority.gov.au</w:t>
        </w:r>
      </w:hyperlink>
    </w:p>
    <w:p w:rsidR="009E7617" w:rsidRPr="00E44A68" w:rsidRDefault="009E7617" w:rsidP="009E7617">
      <w:r w:rsidRPr="00D40978">
        <w:rPr>
          <w:vertAlign w:val="superscript"/>
        </w:rPr>
        <w:t>©</w:t>
      </w:r>
      <w:r>
        <w:t xml:space="preserve">Commonwealth of Australia </w:t>
      </w:r>
      <w:r>
        <w:fldChar w:fldCharType="begin"/>
      </w:r>
      <w:r>
        <w:instrText xml:space="preserve"> DATE \@ "yyyy" </w:instrText>
      </w:r>
      <w:r>
        <w:fldChar w:fldCharType="separate"/>
      </w:r>
      <w:r w:rsidR="004E664C">
        <w:rPr>
          <w:noProof/>
        </w:rPr>
        <w:t>2021</w:t>
      </w:r>
      <w:r>
        <w:fldChar w:fldCharType="end"/>
      </w:r>
    </w:p>
    <w:p w:rsidR="009E7617" w:rsidRPr="00E44A68" w:rsidRDefault="009E7617" w:rsidP="009E7617">
      <w:r w:rsidRPr="00E44A68">
        <w:t>This work is licensed under the Creative Commons Attribution 3.0 Australia Licence. To view a copy of this license, visit http://creativ</w:t>
      </w:r>
      <w:r>
        <w:t>ecommons.org/licenses/by/3.0/au</w:t>
      </w:r>
      <w:r w:rsidR="004A1D36">
        <w:t>.</w:t>
      </w:r>
    </w:p>
    <w:p w:rsidR="009E7617" w:rsidRPr="00E44A68" w:rsidRDefault="009E7617" w:rsidP="009E7617">
      <w:r w:rsidRPr="00E44A68">
        <w:t>The Climate Change Authority asserts the right to be recognised as author of the original ma</w:t>
      </w:r>
      <w:r>
        <w:t>terial in the following manner:</w:t>
      </w:r>
    </w:p>
    <w:p w:rsidR="009E7617" w:rsidRPr="00E44A68" w:rsidRDefault="009E7617" w:rsidP="009E7617">
      <w:r w:rsidRPr="00E44A68">
        <w:rPr>
          <w:noProof/>
          <w:lang w:eastAsia="en-AU"/>
        </w:rPr>
        <w:drawing>
          <wp:inline distT="0" distB="0" distL="0" distR="0" wp14:anchorId="35AA8E28" wp14:editId="6B1C630E">
            <wp:extent cx="931653" cy="325963"/>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_v1_PNG fil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3524" cy="326618"/>
                    </a:xfrm>
                    <a:prstGeom prst="rect">
                      <a:avLst/>
                    </a:prstGeom>
                  </pic:spPr>
                </pic:pic>
              </a:graphicData>
            </a:graphic>
          </wp:inline>
        </w:drawing>
      </w:r>
      <w:r w:rsidRPr="00E44A68">
        <w:t xml:space="preserve"> or </w:t>
      </w:r>
      <w:r w:rsidRPr="00E44A68">
        <w:rPr>
          <w:noProof/>
          <w:lang w:eastAsia="en-AU"/>
        </w:rPr>
        <w:drawing>
          <wp:inline distT="0" distB="0" distL="0" distR="0" wp14:anchorId="3B10F7B6" wp14:editId="14FBE30D">
            <wp:extent cx="813818" cy="1524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_v2_PNG fi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818" cy="152400"/>
                    </a:xfrm>
                    <a:prstGeom prst="rect">
                      <a:avLst/>
                    </a:prstGeom>
                  </pic:spPr>
                </pic:pic>
              </a:graphicData>
            </a:graphic>
          </wp:inline>
        </w:drawing>
      </w:r>
    </w:p>
    <w:p w:rsidR="009E7617" w:rsidRPr="00E44A68" w:rsidRDefault="009E7617" w:rsidP="009E7617">
      <w:r w:rsidRPr="00D40978">
        <w:rPr>
          <w:vertAlign w:val="superscript"/>
        </w:rPr>
        <w:t>©</w:t>
      </w:r>
      <w:r w:rsidRPr="00E44A68">
        <w:t xml:space="preserve">Commonwealth of Australia (Climate Change Authority) </w:t>
      </w:r>
      <w:r>
        <w:fldChar w:fldCharType="begin"/>
      </w:r>
      <w:r>
        <w:instrText xml:space="preserve"> DATE \@ "yyyy" </w:instrText>
      </w:r>
      <w:r>
        <w:fldChar w:fldCharType="separate"/>
      </w:r>
      <w:r w:rsidR="004E664C">
        <w:rPr>
          <w:noProof/>
        </w:rPr>
        <w:t>2021</w:t>
      </w:r>
      <w:r>
        <w:fldChar w:fldCharType="end"/>
      </w:r>
      <w:r w:rsidRPr="00E44A68">
        <w:t>.</w:t>
      </w:r>
    </w:p>
    <w:p w:rsidR="009E7617" w:rsidRPr="00E44A68" w:rsidRDefault="009E7617" w:rsidP="009E7617">
      <w:r w:rsidRPr="00E44A68">
        <w:t>IMPORTANT NOTICE</w:t>
      </w:r>
      <w:r w:rsidR="004A1D36">
        <w:t>—</w:t>
      </w:r>
      <w:r w:rsidRPr="00E44A68">
        <w:t>PLEASE READ</w:t>
      </w:r>
    </w:p>
    <w:p w:rsidR="009E7617" w:rsidRDefault="009E7617" w:rsidP="009E7617">
      <w:r w:rsidRPr="00E44A68">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rsidR="009E7617" w:rsidRDefault="009E7617" w:rsidP="009E7617">
      <w:pPr>
        <w:spacing w:after="200" w:line="276" w:lineRule="auto"/>
      </w:pPr>
      <w:r>
        <w:br w:type="page"/>
      </w:r>
    </w:p>
    <w:p w:rsidR="00952268" w:rsidRDefault="00952268" w:rsidP="00716FCB">
      <w:pPr>
        <w:sectPr w:rsidR="00952268" w:rsidSect="00C902D9">
          <w:headerReference w:type="even" r:id="rId18"/>
          <w:headerReference w:type="default" r:id="rId19"/>
          <w:headerReference w:type="first" r:id="rId20"/>
          <w:pgSz w:w="11907" w:h="16839" w:code="9"/>
          <w:pgMar w:top="1134" w:right="1134" w:bottom="1134" w:left="1134" w:header="720" w:footer="720" w:gutter="0"/>
          <w:cols w:space="720"/>
          <w:titlePg/>
          <w:docGrid w:linePitch="360"/>
        </w:sectPr>
      </w:pPr>
    </w:p>
    <w:p w:rsidR="00471C47" w:rsidRPr="00104330" w:rsidRDefault="00471C47" w:rsidP="00471C47">
      <w:r w:rsidRPr="00471C47">
        <w:rPr>
          <w:noProof/>
          <w:lang w:eastAsia="en-AU"/>
        </w:rPr>
        <w:lastRenderedPageBreak/>
        <w:drawing>
          <wp:inline distT="0" distB="0" distL="0" distR="0" wp14:anchorId="65C98219" wp14:editId="7E90D7F0">
            <wp:extent cx="2355368" cy="512354"/>
            <wp:effectExtent l="0" t="0" r="6985" b="2540"/>
            <wp:docPr id="7" name="Picture 7" descr="Australian Government - Climate Chang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Gov-CCA-inline-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82718" cy="518303"/>
                    </a:xfrm>
                    <a:prstGeom prst="rect">
                      <a:avLst/>
                    </a:prstGeom>
                  </pic:spPr>
                </pic:pic>
              </a:graphicData>
            </a:graphic>
          </wp:inline>
        </w:drawing>
      </w:r>
    </w:p>
    <w:p w:rsidR="00471C47" w:rsidRPr="00104330" w:rsidRDefault="00471C47" w:rsidP="00471C47"/>
    <w:p w:rsidR="00471C47" w:rsidRPr="00104330" w:rsidRDefault="00471C47" w:rsidP="00776374">
      <w:pPr>
        <w:spacing w:after="0" w:line="240" w:lineRule="auto"/>
      </w:pPr>
      <w:r w:rsidRPr="00104330">
        <w:t>The Hon</w:t>
      </w:r>
      <w:r w:rsidR="00E7640F">
        <w:t>.</w:t>
      </w:r>
      <w:r w:rsidRPr="00104330">
        <w:t xml:space="preserve"> Greg Hunt</w:t>
      </w:r>
      <w:r w:rsidR="00E7640F">
        <w:t>,</w:t>
      </w:r>
      <w:r w:rsidRPr="00104330">
        <w:t xml:space="preserve"> MP</w:t>
      </w:r>
      <w:r w:rsidRPr="00104330">
        <w:br/>
        <w:t>Minister for the Environment</w:t>
      </w:r>
      <w:r w:rsidRPr="00104330">
        <w:br/>
        <w:t>Parliament House</w:t>
      </w:r>
      <w:r w:rsidRPr="00104330">
        <w:br/>
        <w:t>Canberra ACT 2600</w:t>
      </w:r>
    </w:p>
    <w:p w:rsidR="001933D1" w:rsidRDefault="001933D1" w:rsidP="00471C47"/>
    <w:p w:rsidR="00471C47" w:rsidRPr="00104330" w:rsidRDefault="00471C47" w:rsidP="00471C47">
      <w:r w:rsidRPr="00104330">
        <w:t>Dear Minister</w:t>
      </w:r>
    </w:p>
    <w:p w:rsidR="00471C47" w:rsidRPr="00104330" w:rsidRDefault="007D2DA9" w:rsidP="007D2DA9">
      <w:r>
        <w:t>I am pleased to provide you with the Climate Change Authority</w:t>
      </w:r>
      <w:r w:rsidR="00E7640F">
        <w:t>’</w:t>
      </w:r>
      <w:r>
        <w:t xml:space="preserve">s </w:t>
      </w:r>
      <w:r w:rsidR="00E7640F">
        <w:t>a</w:t>
      </w:r>
      <w:r w:rsidRPr="007D2DA9">
        <w:t>nnual</w:t>
      </w:r>
      <w:r>
        <w:t xml:space="preserve"> </w:t>
      </w:r>
      <w:r w:rsidR="00E7640F">
        <w:t>r</w:t>
      </w:r>
      <w:r>
        <w:t xml:space="preserve">eport for the financial year </w:t>
      </w:r>
      <w:r w:rsidR="009E7617">
        <w:t>2014</w:t>
      </w:r>
      <w:r w:rsidR="00E7640F">
        <w:t>–</w:t>
      </w:r>
      <w:r w:rsidR="009E7617">
        <w:t>15</w:t>
      </w:r>
      <w:r w:rsidR="00471C47" w:rsidRPr="00104330">
        <w:t xml:space="preserve">. </w:t>
      </w:r>
    </w:p>
    <w:p w:rsidR="009E7617" w:rsidRPr="00104330" w:rsidRDefault="009E7617" w:rsidP="009E7617">
      <w:r w:rsidRPr="00104330">
        <w:t xml:space="preserve">This document has been prepared in accordance with subsections 56(1), 56(2) and 56(3) of the </w:t>
      </w:r>
      <w:r w:rsidRPr="00104330">
        <w:rPr>
          <w:rStyle w:val="Emphasis"/>
        </w:rPr>
        <w:t>Climate Change Authority Act 2011</w:t>
      </w:r>
      <w:r w:rsidR="004A1D36">
        <w:t>;</w:t>
      </w:r>
      <w:r w:rsidRPr="00104330">
        <w:t xml:space="preserve"> sections 63 and 70 o</w:t>
      </w:r>
      <w:r>
        <w:t xml:space="preserve">f the </w:t>
      </w:r>
      <w:r w:rsidRPr="009E7617">
        <w:rPr>
          <w:rStyle w:val="Textitalic"/>
        </w:rPr>
        <w:t>Public Service Act 1999</w:t>
      </w:r>
      <w:r>
        <w:t xml:space="preserve"> and the July 2015</w:t>
      </w:r>
      <w:r w:rsidRPr="00104330">
        <w:t xml:space="preserve"> annual report requirements published by the Department of the Prime Minister and Cabinet. I certify that all of the requirements have been addressed.</w:t>
      </w:r>
    </w:p>
    <w:p w:rsidR="009E7617" w:rsidRPr="00104330" w:rsidRDefault="009E7617" w:rsidP="009E7617">
      <w:r w:rsidRPr="00104330">
        <w:t>I</w:t>
      </w:r>
      <w:r>
        <w:t xml:space="preserve">n accordance with section 10 of the </w:t>
      </w:r>
      <w:r w:rsidRPr="00C06150">
        <w:rPr>
          <w:rStyle w:val="Textitalic"/>
          <w:i w:val="0"/>
        </w:rPr>
        <w:t>Public Governance, Performance and Accountability Rule 2014</w:t>
      </w:r>
      <w:r w:rsidRPr="00817DB8">
        <w:t>,</w:t>
      </w:r>
      <w:r w:rsidRPr="00817DB8">
        <w:rPr>
          <w:rStyle w:val="Textitalic"/>
        </w:rPr>
        <w:t xml:space="preserve"> </w:t>
      </w:r>
      <w:r w:rsidRPr="00817DB8">
        <w:t xml:space="preserve">I </w:t>
      </w:r>
      <w:r w:rsidRPr="00104330">
        <w:t>certify that the Climate Change Authority has prepared fraud risk assessments and fraud control plans</w:t>
      </w:r>
      <w:r w:rsidR="00393862">
        <w:t>,</w:t>
      </w:r>
      <w:r w:rsidRPr="00104330">
        <w:t xml:space="preserve"> and has in place appropriate fraud prevention, detection, investigation</w:t>
      </w:r>
      <w:r w:rsidR="00393862">
        <w:t xml:space="preserve"> and</w:t>
      </w:r>
      <w:r w:rsidR="00393862" w:rsidRPr="00104330">
        <w:t xml:space="preserve"> </w:t>
      </w:r>
      <w:r w:rsidRPr="00104330">
        <w:t xml:space="preserve">reporting </w:t>
      </w:r>
      <w:r>
        <w:t>mechanisms</w:t>
      </w:r>
      <w:r w:rsidRPr="00104330">
        <w:t xml:space="preserve"> </w:t>
      </w:r>
      <w:r>
        <w:t xml:space="preserve">that meet the specific needs of the agency. </w:t>
      </w:r>
    </w:p>
    <w:p w:rsidR="00471C47" w:rsidRPr="00104330" w:rsidRDefault="00471C47" w:rsidP="00471C47">
      <w:r w:rsidRPr="00104330">
        <w:t>Yours sincerely</w:t>
      </w:r>
    </w:p>
    <w:p w:rsidR="00471C47" w:rsidRDefault="00FA26F1" w:rsidP="0060334F">
      <w:pPr>
        <w:spacing w:after="200" w:line="276" w:lineRule="auto"/>
        <w:ind w:left="-142"/>
      </w:pPr>
      <w:r>
        <w:rPr>
          <w:noProof/>
          <w:lang w:eastAsia="en-AU"/>
        </w:rPr>
        <w:drawing>
          <wp:inline distT="0" distB="0" distL="0" distR="0" wp14:anchorId="15B910BF" wp14:editId="77C41AEB">
            <wp:extent cx="2401294" cy="60687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4511" cy="607685"/>
                    </a:xfrm>
                    <a:prstGeom prst="rect">
                      <a:avLst/>
                    </a:prstGeom>
                    <a:noFill/>
                    <a:ln>
                      <a:noFill/>
                    </a:ln>
                  </pic:spPr>
                </pic:pic>
              </a:graphicData>
            </a:graphic>
          </wp:inline>
        </w:drawing>
      </w:r>
    </w:p>
    <w:p w:rsidR="003B64E4" w:rsidRDefault="009E7617">
      <w:pPr>
        <w:spacing w:after="200" w:line="276" w:lineRule="auto"/>
      </w:pPr>
      <w:r>
        <w:rPr>
          <w:b/>
        </w:rPr>
        <w:t>Shayleen Thompson</w:t>
      </w:r>
      <w:r w:rsidR="00B1058D">
        <w:br/>
      </w:r>
      <w:r>
        <w:t xml:space="preserve">A/g </w:t>
      </w:r>
      <w:r w:rsidR="00471C47">
        <w:t>Chief Executive Officer</w:t>
      </w:r>
    </w:p>
    <w:p w:rsidR="00A84903" w:rsidRPr="00471C47" w:rsidRDefault="00A84903">
      <w:pPr>
        <w:spacing w:after="200" w:line="276" w:lineRule="auto"/>
      </w:pPr>
      <w:r>
        <w:br w:type="page"/>
      </w:r>
    </w:p>
    <w:p w:rsidR="007A6CE7" w:rsidRPr="00C54EAA" w:rsidRDefault="007A6CE7" w:rsidP="00C54EAA">
      <w:pPr>
        <w:pStyle w:val="TOCHeading"/>
      </w:pPr>
      <w:r>
        <w:lastRenderedPageBreak/>
        <w:t>Contents</w:t>
      </w:r>
    </w:p>
    <w:p w:rsidR="00FA02F5" w:rsidRDefault="002B2DB0">
      <w:pPr>
        <w:pStyle w:val="TOC1"/>
        <w:rPr>
          <w:rFonts w:asciiTheme="minorHAnsi" w:eastAsiaTheme="minorEastAsia" w:hAnsiTheme="minorHAnsi"/>
          <w:b w:val="0"/>
          <w:caps w:val="0"/>
          <w:color w:val="auto"/>
          <w:sz w:val="22"/>
          <w:lang w:eastAsia="en-AU"/>
        </w:rPr>
      </w:pPr>
      <w:r>
        <w:rPr>
          <w:b w:val="0"/>
          <w:caps w:val="0"/>
        </w:rPr>
        <w:fldChar w:fldCharType="begin"/>
      </w:r>
      <w:r w:rsidR="00CC3B3A">
        <w:rPr>
          <w:b w:val="0"/>
          <w:caps w:val="0"/>
        </w:rPr>
        <w:instrText xml:space="preserve"> TOC \o "3-3" \h \z \t "Heading 1,1,Heading 2,2,Heading (non-numbered),5" </w:instrText>
      </w:r>
      <w:r>
        <w:rPr>
          <w:b w:val="0"/>
          <w:caps w:val="0"/>
        </w:rPr>
        <w:fldChar w:fldCharType="separate"/>
      </w:r>
      <w:hyperlink w:anchor="_Toc430464388" w:history="1">
        <w:r w:rsidR="00FA02F5" w:rsidRPr="00404035">
          <w:rPr>
            <w:rStyle w:val="Hyperlink"/>
          </w:rPr>
          <w:t>1.</w:t>
        </w:r>
        <w:r w:rsidR="00FA02F5">
          <w:rPr>
            <w:rFonts w:asciiTheme="minorHAnsi" w:eastAsiaTheme="minorEastAsia" w:hAnsiTheme="minorHAnsi"/>
            <w:b w:val="0"/>
            <w:caps w:val="0"/>
            <w:color w:val="auto"/>
            <w:sz w:val="22"/>
            <w:lang w:eastAsia="en-AU"/>
          </w:rPr>
          <w:tab/>
        </w:r>
        <w:r w:rsidR="00FA02F5" w:rsidRPr="00404035">
          <w:rPr>
            <w:rStyle w:val="Hyperlink"/>
          </w:rPr>
          <w:t>MEMBERS OF THE CLIMATE CHANGE AUTHORITY</w:t>
        </w:r>
        <w:r w:rsidR="00FA02F5">
          <w:rPr>
            <w:webHidden/>
          </w:rPr>
          <w:tab/>
        </w:r>
        <w:r w:rsidR="00FA02F5">
          <w:rPr>
            <w:webHidden/>
          </w:rPr>
          <w:fldChar w:fldCharType="begin"/>
        </w:r>
        <w:r w:rsidR="00FA02F5">
          <w:rPr>
            <w:webHidden/>
          </w:rPr>
          <w:instrText xml:space="preserve"> PAGEREF _Toc430464388 \h </w:instrText>
        </w:r>
        <w:r w:rsidR="00FA02F5">
          <w:rPr>
            <w:webHidden/>
          </w:rPr>
        </w:r>
        <w:r w:rsidR="00FA02F5">
          <w:rPr>
            <w:webHidden/>
          </w:rPr>
          <w:fldChar w:fldCharType="separate"/>
        </w:r>
        <w:r w:rsidR="004E664C">
          <w:rPr>
            <w:webHidden/>
          </w:rPr>
          <w:t>2</w:t>
        </w:r>
        <w:r w:rsidR="00FA02F5">
          <w:rPr>
            <w:webHidden/>
          </w:rPr>
          <w:fldChar w:fldCharType="end"/>
        </w:r>
      </w:hyperlink>
    </w:p>
    <w:p w:rsidR="00FA02F5" w:rsidRDefault="004E664C">
      <w:pPr>
        <w:pStyle w:val="TOC1"/>
        <w:rPr>
          <w:rFonts w:asciiTheme="minorHAnsi" w:eastAsiaTheme="minorEastAsia" w:hAnsiTheme="minorHAnsi"/>
          <w:b w:val="0"/>
          <w:caps w:val="0"/>
          <w:color w:val="auto"/>
          <w:sz w:val="22"/>
          <w:lang w:eastAsia="en-AU"/>
        </w:rPr>
      </w:pPr>
      <w:hyperlink w:anchor="_Toc430464389" w:history="1">
        <w:r w:rsidR="00FA02F5" w:rsidRPr="00404035">
          <w:rPr>
            <w:rStyle w:val="Hyperlink"/>
          </w:rPr>
          <w:t>2.</w:t>
        </w:r>
        <w:r w:rsidR="00FA02F5">
          <w:rPr>
            <w:rFonts w:asciiTheme="minorHAnsi" w:eastAsiaTheme="minorEastAsia" w:hAnsiTheme="minorHAnsi"/>
            <w:b w:val="0"/>
            <w:caps w:val="0"/>
            <w:color w:val="auto"/>
            <w:sz w:val="22"/>
            <w:lang w:eastAsia="en-AU"/>
          </w:rPr>
          <w:tab/>
        </w:r>
        <w:r w:rsidR="00FA02F5" w:rsidRPr="00404035">
          <w:rPr>
            <w:rStyle w:val="Hyperlink"/>
          </w:rPr>
          <w:t>Chief Executive Officer’s REVIEW</w:t>
        </w:r>
        <w:r w:rsidR="00FA02F5">
          <w:rPr>
            <w:webHidden/>
          </w:rPr>
          <w:tab/>
        </w:r>
        <w:r w:rsidR="00FA02F5">
          <w:rPr>
            <w:webHidden/>
          </w:rPr>
          <w:fldChar w:fldCharType="begin"/>
        </w:r>
        <w:r w:rsidR="00FA02F5">
          <w:rPr>
            <w:webHidden/>
          </w:rPr>
          <w:instrText xml:space="preserve"> PAGEREF _Toc430464389 \h </w:instrText>
        </w:r>
        <w:r w:rsidR="00FA02F5">
          <w:rPr>
            <w:webHidden/>
          </w:rPr>
        </w:r>
        <w:r w:rsidR="00FA02F5">
          <w:rPr>
            <w:webHidden/>
          </w:rPr>
          <w:fldChar w:fldCharType="separate"/>
        </w:r>
        <w:r>
          <w:rPr>
            <w:webHidden/>
          </w:rPr>
          <w:t>4</w:t>
        </w:r>
        <w:r w:rsidR="00FA02F5">
          <w:rPr>
            <w:webHidden/>
          </w:rPr>
          <w:fldChar w:fldCharType="end"/>
        </w:r>
      </w:hyperlink>
    </w:p>
    <w:p w:rsidR="00FA02F5" w:rsidRDefault="004E664C">
      <w:pPr>
        <w:pStyle w:val="TOC1"/>
        <w:rPr>
          <w:rFonts w:asciiTheme="minorHAnsi" w:eastAsiaTheme="minorEastAsia" w:hAnsiTheme="minorHAnsi"/>
          <w:b w:val="0"/>
          <w:caps w:val="0"/>
          <w:color w:val="auto"/>
          <w:sz w:val="22"/>
          <w:lang w:eastAsia="en-AU"/>
        </w:rPr>
      </w:pPr>
      <w:hyperlink w:anchor="_Toc430464390" w:history="1">
        <w:r w:rsidR="00FA02F5" w:rsidRPr="00404035">
          <w:rPr>
            <w:rStyle w:val="Hyperlink"/>
          </w:rPr>
          <w:t>3.</w:t>
        </w:r>
        <w:r w:rsidR="00FA02F5">
          <w:rPr>
            <w:rFonts w:asciiTheme="minorHAnsi" w:eastAsiaTheme="minorEastAsia" w:hAnsiTheme="minorHAnsi"/>
            <w:b w:val="0"/>
            <w:caps w:val="0"/>
            <w:color w:val="auto"/>
            <w:sz w:val="22"/>
            <w:lang w:eastAsia="en-AU"/>
          </w:rPr>
          <w:tab/>
        </w:r>
        <w:r w:rsidR="00FA02F5" w:rsidRPr="00404035">
          <w:rPr>
            <w:rStyle w:val="Hyperlink"/>
          </w:rPr>
          <w:t>ABOUT THE CLIMATE CHANGE AUTHORITY</w:t>
        </w:r>
        <w:r w:rsidR="00FA02F5">
          <w:rPr>
            <w:webHidden/>
          </w:rPr>
          <w:tab/>
        </w:r>
        <w:r w:rsidR="00FA02F5">
          <w:rPr>
            <w:webHidden/>
          </w:rPr>
          <w:fldChar w:fldCharType="begin"/>
        </w:r>
        <w:r w:rsidR="00FA02F5">
          <w:rPr>
            <w:webHidden/>
          </w:rPr>
          <w:instrText xml:space="preserve"> PAGEREF _Toc430464390 \h </w:instrText>
        </w:r>
        <w:r w:rsidR="00FA02F5">
          <w:rPr>
            <w:webHidden/>
          </w:rPr>
        </w:r>
        <w:r w:rsidR="00FA02F5">
          <w:rPr>
            <w:webHidden/>
          </w:rPr>
          <w:fldChar w:fldCharType="separate"/>
        </w:r>
        <w:r>
          <w:rPr>
            <w:webHidden/>
          </w:rPr>
          <w:t>5</w:t>
        </w:r>
        <w:r w:rsidR="00FA02F5">
          <w:rPr>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391" w:history="1">
        <w:r w:rsidR="00FA02F5" w:rsidRPr="00404035">
          <w:rPr>
            <w:rStyle w:val="Hyperlink"/>
          </w:rPr>
          <w:t>3.1.</w:t>
        </w:r>
        <w:r w:rsidR="00FA02F5">
          <w:rPr>
            <w:rFonts w:asciiTheme="minorHAnsi" w:eastAsiaTheme="minorEastAsia" w:hAnsiTheme="minorHAnsi"/>
            <w:color w:val="auto"/>
            <w:sz w:val="22"/>
            <w:lang w:eastAsia="en-AU"/>
          </w:rPr>
          <w:tab/>
        </w:r>
        <w:r w:rsidR="00FA02F5" w:rsidRPr="00404035">
          <w:rPr>
            <w:rStyle w:val="Hyperlink"/>
          </w:rPr>
          <w:t>FUNCTIONS OF THE AUTHORITY</w:t>
        </w:r>
        <w:r w:rsidR="00FA02F5">
          <w:rPr>
            <w:webHidden/>
          </w:rPr>
          <w:tab/>
        </w:r>
        <w:r w:rsidR="00FA02F5">
          <w:rPr>
            <w:webHidden/>
          </w:rPr>
          <w:fldChar w:fldCharType="begin"/>
        </w:r>
        <w:r w:rsidR="00FA02F5">
          <w:rPr>
            <w:webHidden/>
          </w:rPr>
          <w:instrText xml:space="preserve"> PAGEREF _Toc430464391 \h </w:instrText>
        </w:r>
        <w:r w:rsidR="00FA02F5">
          <w:rPr>
            <w:webHidden/>
          </w:rPr>
        </w:r>
        <w:r w:rsidR="00FA02F5">
          <w:rPr>
            <w:webHidden/>
          </w:rPr>
          <w:fldChar w:fldCharType="separate"/>
        </w:r>
        <w:r>
          <w:rPr>
            <w:webHidden/>
          </w:rPr>
          <w:t>5</w:t>
        </w:r>
        <w:r w:rsidR="00FA02F5">
          <w:rPr>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392" w:history="1">
        <w:r w:rsidR="00FA02F5" w:rsidRPr="00404035">
          <w:rPr>
            <w:rStyle w:val="Hyperlink"/>
          </w:rPr>
          <w:t>3.2.</w:t>
        </w:r>
        <w:r w:rsidR="00FA02F5">
          <w:rPr>
            <w:rFonts w:asciiTheme="minorHAnsi" w:eastAsiaTheme="minorEastAsia" w:hAnsiTheme="minorHAnsi"/>
            <w:color w:val="auto"/>
            <w:sz w:val="22"/>
            <w:lang w:eastAsia="en-AU"/>
          </w:rPr>
          <w:tab/>
        </w:r>
        <w:r w:rsidR="00FA02F5" w:rsidRPr="00404035">
          <w:rPr>
            <w:rStyle w:val="Hyperlink"/>
          </w:rPr>
          <w:t>ORGANISATIONAL STRUCTURE</w:t>
        </w:r>
        <w:r w:rsidR="00FA02F5">
          <w:rPr>
            <w:webHidden/>
          </w:rPr>
          <w:tab/>
        </w:r>
        <w:r w:rsidR="00FA02F5">
          <w:rPr>
            <w:webHidden/>
          </w:rPr>
          <w:fldChar w:fldCharType="begin"/>
        </w:r>
        <w:r w:rsidR="00FA02F5">
          <w:rPr>
            <w:webHidden/>
          </w:rPr>
          <w:instrText xml:space="preserve"> PAGEREF _Toc430464392 \h </w:instrText>
        </w:r>
        <w:r w:rsidR="00FA02F5">
          <w:rPr>
            <w:webHidden/>
          </w:rPr>
        </w:r>
        <w:r w:rsidR="00FA02F5">
          <w:rPr>
            <w:webHidden/>
          </w:rPr>
          <w:fldChar w:fldCharType="separate"/>
        </w:r>
        <w:r>
          <w:rPr>
            <w:webHidden/>
          </w:rPr>
          <w:t>5</w:t>
        </w:r>
        <w:r w:rsidR="00FA02F5">
          <w:rPr>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393" w:history="1">
        <w:r w:rsidR="00FA02F5" w:rsidRPr="00404035">
          <w:rPr>
            <w:rStyle w:val="Hyperlink"/>
          </w:rPr>
          <w:t>3.3.</w:t>
        </w:r>
        <w:r w:rsidR="00FA02F5">
          <w:rPr>
            <w:rFonts w:asciiTheme="minorHAnsi" w:eastAsiaTheme="minorEastAsia" w:hAnsiTheme="minorHAnsi"/>
            <w:color w:val="auto"/>
            <w:sz w:val="22"/>
            <w:lang w:eastAsia="en-AU"/>
          </w:rPr>
          <w:tab/>
        </w:r>
        <w:r w:rsidR="00FA02F5" w:rsidRPr="00404035">
          <w:rPr>
            <w:rStyle w:val="Hyperlink"/>
          </w:rPr>
          <w:t>OUTCOME AND PROGRAM STRUCTURE</w:t>
        </w:r>
        <w:r w:rsidR="00FA02F5">
          <w:rPr>
            <w:webHidden/>
          </w:rPr>
          <w:tab/>
        </w:r>
        <w:r w:rsidR="00FA02F5">
          <w:rPr>
            <w:webHidden/>
          </w:rPr>
          <w:fldChar w:fldCharType="begin"/>
        </w:r>
        <w:r w:rsidR="00FA02F5">
          <w:rPr>
            <w:webHidden/>
          </w:rPr>
          <w:instrText xml:space="preserve"> PAGEREF _Toc430464393 \h </w:instrText>
        </w:r>
        <w:r w:rsidR="00FA02F5">
          <w:rPr>
            <w:webHidden/>
          </w:rPr>
        </w:r>
        <w:r w:rsidR="00FA02F5">
          <w:rPr>
            <w:webHidden/>
          </w:rPr>
          <w:fldChar w:fldCharType="separate"/>
        </w:r>
        <w:r>
          <w:rPr>
            <w:webHidden/>
          </w:rPr>
          <w:t>6</w:t>
        </w:r>
        <w:r w:rsidR="00FA02F5">
          <w:rPr>
            <w:webHidden/>
          </w:rPr>
          <w:fldChar w:fldCharType="end"/>
        </w:r>
      </w:hyperlink>
    </w:p>
    <w:p w:rsidR="00FA02F5" w:rsidRDefault="004E664C">
      <w:pPr>
        <w:pStyle w:val="TOC1"/>
        <w:rPr>
          <w:rFonts w:asciiTheme="minorHAnsi" w:eastAsiaTheme="minorEastAsia" w:hAnsiTheme="minorHAnsi"/>
          <w:b w:val="0"/>
          <w:caps w:val="0"/>
          <w:color w:val="auto"/>
          <w:sz w:val="22"/>
          <w:lang w:eastAsia="en-AU"/>
        </w:rPr>
      </w:pPr>
      <w:hyperlink w:anchor="_Toc430464394" w:history="1">
        <w:r w:rsidR="00FA02F5" w:rsidRPr="00404035">
          <w:rPr>
            <w:rStyle w:val="Hyperlink"/>
          </w:rPr>
          <w:t>4.</w:t>
        </w:r>
        <w:r w:rsidR="00FA02F5">
          <w:rPr>
            <w:rFonts w:asciiTheme="minorHAnsi" w:eastAsiaTheme="minorEastAsia" w:hAnsiTheme="minorHAnsi"/>
            <w:b w:val="0"/>
            <w:caps w:val="0"/>
            <w:color w:val="auto"/>
            <w:sz w:val="22"/>
            <w:lang w:eastAsia="en-AU"/>
          </w:rPr>
          <w:tab/>
        </w:r>
        <w:r w:rsidR="00FA02F5" w:rsidRPr="00404035">
          <w:rPr>
            <w:rStyle w:val="Hyperlink"/>
          </w:rPr>
          <w:t>PERFORMANCE</w:t>
        </w:r>
        <w:r w:rsidR="00FA02F5">
          <w:rPr>
            <w:webHidden/>
          </w:rPr>
          <w:tab/>
        </w:r>
        <w:r w:rsidR="00FA02F5">
          <w:rPr>
            <w:webHidden/>
          </w:rPr>
          <w:fldChar w:fldCharType="begin"/>
        </w:r>
        <w:r w:rsidR="00FA02F5">
          <w:rPr>
            <w:webHidden/>
          </w:rPr>
          <w:instrText xml:space="preserve"> PAGEREF _Toc430464394 \h </w:instrText>
        </w:r>
        <w:r w:rsidR="00FA02F5">
          <w:rPr>
            <w:webHidden/>
          </w:rPr>
        </w:r>
        <w:r w:rsidR="00FA02F5">
          <w:rPr>
            <w:webHidden/>
          </w:rPr>
          <w:fldChar w:fldCharType="separate"/>
        </w:r>
        <w:r>
          <w:rPr>
            <w:webHidden/>
          </w:rPr>
          <w:t>8</w:t>
        </w:r>
        <w:r w:rsidR="00FA02F5">
          <w:rPr>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395" w:history="1">
        <w:r w:rsidR="00FA02F5" w:rsidRPr="00404035">
          <w:rPr>
            <w:rStyle w:val="Hyperlink"/>
          </w:rPr>
          <w:t>4.1.</w:t>
        </w:r>
        <w:r w:rsidR="00FA02F5">
          <w:rPr>
            <w:rFonts w:asciiTheme="minorHAnsi" w:eastAsiaTheme="minorEastAsia" w:hAnsiTheme="minorHAnsi"/>
            <w:color w:val="auto"/>
            <w:sz w:val="22"/>
            <w:lang w:eastAsia="en-AU"/>
          </w:rPr>
          <w:tab/>
        </w:r>
        <w:r w:rsidR="00FA02F5" w:rsidRPr="00404035">
          <w:rPr>
            <w:rStyle w:val="Hyperlink"/>
          </w:rPr>
          <w:t>Renewable Energy Target review</w:t>
        </w:r>
        <w:r w:rsidR="00FA02F5">
          <w:rPr>
            <w:webHidden/>
          </w:rPr>
          <w:tab/>
        </w:r>
        <w:r w:rsidR="00FA02F5">
          <w:rPr>
            <w:webHidden/>
          </w:rPr>
          <w:fldChar w:fldCharType="begin"/>
        </w:r>
        <w:r w:rsidR="00FA02F5">
          <w:rPr>
            <w:webHidden/>
          </w:rPr>
          <w:instrText xml:space="preserve"> PAGEREF _Toc430464395 \h </w:instrText>
        </w:r>
        <w:r w:rsidR="00FA02F5">
          <w:rPr>
            <w:webHidden/>
          </w:rPr>
        </w:r>
        <w:r w:rsidR="00FA02F5">
          <w:rPr>
            <w:webHidden/>
          </w:rPr>
          <w:fldChar w:fldCharType="separate"/>
        </w:r>
        <w:r>
          <w:rPr>
            <w:webHidden/>
          </w:rPr>
          <w:t>8</w:t>
        </w:r>
        <w:r w:rsidR="00FA02F5">
          <w:rPr>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396" w:history="1">
        <w:r w:rsidR="00FA02F5" w:rsidRPr="00404035">
          <w:rPr>
            <w:rStyle w:val="Hyperlink"/>
            <w:noProof/>
          </w:rPr>
          <w:t>4.1.1.</w:t>
        </w:r>
        <w:r w:rsidR="00FA02F5">
          <w:rPr>
            <w:rFonts w:asciiTheme="minorHAnsi" w:eastAsiaTheme="minorEastAsia" w:hAnsiTheme="minorHAnsi"/>
            <w:noProof/>
            <w:color w:val="auto"/>
            <w:sz w:val="22"/>
            <w:lang w:eastAsia="en-AU"/>
          </w:rPr>
          <w:tab/>
        </w:r>
        <w:r w:rsidR="00FA02F5" w:rsidRPr="00404035">
          <w:rPr>
            <w:rStyle w:val="Hyperlink"/>
            <w:noProof/>
          </w:rPr>
          <w:t>Legislative requirements</w:t>
        </w:r>
        <w:r w:rsidR="00FA02F5">
          <w:rPr>
            <w:noProof/>
            <w:webHidden/>
          </w:rPr>
          <w:tab/>
        </w:r>
        <w:r w:rsidR="00FA02F5">
          <w:rPr>
            <w:noProof/>
            <w:webHidden/>
          </w:rPr>
          <w:fldChar w:fldCharType="begin"/>
        </w:r>
        <w:r w:rsidR="00FA02F5">
          <w:rPr>
            <w:noProof/>
            <w:webHidden/>
          </w:rPr>
          <w:instrText xml:space="preserve"> PAGEREF _Toc430464396 \h </w:instrText>
        </w:r>
        <w:r w:rsidR="00FA02F5">
          <w:rPr>
            <w:noProof/>
            <w:webHidden/>
          </w:rPr>
        </w:r>
        <w:r w:rsidR="00FA02F5">
          <w:rPr>
            <w:noProof/>
            <w:webHidden/>
          </w:rPr>
          <w:fldChar w:fldCharType="separate"/>
        </w:r>
        <w:r>
          <w:rPr>
            <w:noProof/>
            <w:webHidden/>
          </w:rPr>
          <w:t>8</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397" w:history="1">
        <w:r w:rsidR="00FA02F5" w:rsidRPr="00404035">
          <w:rPr>
            <w:rStyle w:val="Hyperlink"/>
            <w:noProof/>
          </w:rPr>
          <w:t>4.1.2.</w:t>
        </w:r>
        <w:r w:rsidR="00FA02F5">
          <w:rPr>
            <w:rFonts w:asciiTheme="minorHAnsi" w:eastAsiaTheme="minorEastAsia" w:hAnsiTheme="minorHAnsi"/>
            <w:noProof/>
            <w:color w:val="auto"/>
            <w:sz w:val="22"/>
            <w:lang w:eastAsia="en-AU"/>
          </w:rPr>
          <w:tab/>
        </w:r>
        <w:r w:rsidR="00FA02F5" w:rsidRPr="00404035">
          <w:rPr>
            <w:rStyle w:val="Hyperlink"/>
            <w:noProof/>
          </w:rPr>
          <w:t>Conduct of the review</w:t>
        </w:r>
        <w:r w:rsidR="00FA02F5">
          <w:rPr>
            <w:noProof/>
            <w:webHidden/>
          </w:rPr>
          <w:tab/>
        </w:r>
        <w:r w:rsidR="00FA02F5">
          <w:rPr>
            <w:noProof/>
            <w:webHidden/>
          </w:rPr>
          <w:fldChar w:fldCharType="begin"/>
        </w:r>
        <w:r w:rsidR="00FA02F5">
          <w:rPr>
            <w:noProof/>
            <w:webHidden/>
          </w:rPr>
          <w:instrText xml:space="preserve"> PAGEREF _Toc430464397 \h </w:instrText>
        </w:r>
        <w:r w:rsidR="00FA02F5">
          <w:rPr>
            <w:noProof/>
            <w:webHidden/>
          </w:rPr>
        </w:r>
        <w:r w:rsidR="00FA02F5">
          <w:rPr>
            <w:noProof/>
            <w:webHidden/>
          </w:rPr>
          <w:fldChar w:fldCharType="separate"/>
        </w:r>
        <w:r>
          <w:rPr>
            <w:noProof/>
            <w:webHidden/>
          </w:rPr>
          <w:t>8</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398" w:history="1">
        <w:r w:rsidR="00FA02F5" w:rsidRPr="00404035">
          <w:rPr>
            <w:rStyle w:val="Hyperlink"/>
            <w:noProof/>
          </w:rPr>
          <w:t>4.1.3.</w:t>
        </w:r>
        <w:r w:rsidR="00FA02F5">
          <w:rPr>
            <w:rFonts w:asciiTheme="minorHAnsi" w:eastAsiaTheme="minorEastAsia" w:hAnsiTheme="minorHAnsi"/>
            <w:noProof/>
            <w:color w:val="auto"/>
            <w:sz w:val="22"/>
            <w:lang w:eastAsia="en-AU"/>
          </w:rPr>
          <w:tab/>
        </w:r>
        <w:r w:rsidR="00FA02F5" w:rsidRPr="00404035">
          <w:rPr>
            <w:rStyle w:val="Hyperlink"/>
            <w:noProof/>
          </w:rPr>
          <w:t>Key findings</w:t>
        </w:r>
        <w:r w:rsidR="00FA02F5">
          <w:rPr>
            <w:noProof/>
            <w:webHidden/>
          </w:rPr>
          <w:tab/>
        </w:r>
        <w:r w:rsidR="00FA02F5">
          <w:rPr>
            <w:noProof/>
            <w:webHidden/>
          </w:rPr>
          <w:fldChar w:fldCharType="begin"/>
        </w:r>
        <w:r w:rsidR="00FA02F5">
          <w:rPr>
            <w:noProof/>
            <w:webHidden/>
          </w:rPr>
          <w:instrText xml:space="preserve"> PAGEREF _Toc430464398 \h </w:instrText>
        </w:r>
        <w:r w:rsidR="00FA02F5">
          <w:rPr>
            <w:noProof/>
            <w:webHidden/>
          </w:rPr>
        </w:r>
        <w:r w:rsidR="00FA02F5">
          <w:rPr>
            <w:noProof/>
            <w:webHidden/>
          </w:rPr>
          <w:fldChar w:fldCharType="separate"/>
        </w:r>
        <w:r>
          <w:rPr>
            <w:noProof/>
            <w:webHidden/>
          </w:rPr>
          <w:t>9</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399" w:history="1">
        <w:r w:rsidR="00FA02F5" w:rsidRPr="00404035">
          <w:rPr>
            <w:rStyle w:val="Hyperlink"/>
            <w:noProof/>
          </w:rPr>
          <w:t>4.1.4.</w:t>
        </w:r>
        <w:r w:rsidR="00FA02F5">
          <w:rPr>
            <w:rFonts w:asciiTheme="minorHAnsi" w:eastAsiaTheme="minorEastAsia" w:hAnsiTheme="minorHAnsi"/>
            <w:noProof/>
            <w:color w:val="auto"/>
            <w:sz w:val="22"/>
            <w:lang w:eastAsia="en-AU"/>
          </w:rPr>
          <w:tab/>
        </w:r>
        <w:r w:rsidR="00FA02F5" w:rsidRPr="00404035">
          <w:rPr>
            <w:rStyle w:val="Hyperlink"/>
            <w:noProof/>
          </w:rPr>
          <w:t>Performance against key performance indicators</w:t>
        </w:r>
        <w:r w:rsidR="00FA02F5">
          <w:rPr>
            <w:noProof/>
            <w:webHidden/>
          </w:rPr>
          <w:tab/>
        </w:r>
        <w:r w:rsidR="00FA02F5">
          <w:rPr>
            <w:noProof/>
            <w:webHidden/>
          </w:rPr>
          <w:fldChar w:fldCharType="begin"/>
        </w:r>
        <w:r w:rsidR="00FA02F5">
          <w:rPr>
            <w:noProof/>
            <w:webHidden/>
          </w:rPr>
          <w:instrText xml:space="preserve"> PAGEREF _Toc430464399 \h </w:instrText>
        </w:r>
        <w:r w:rsidR="00FA02F5">
          <w:rPr>
            <w:noProof/>
            <w:webHidden/>
          </w:rPr>
        </w:r>
        <w:r w:rsidR="00FA02F5">
          <w:rPr>
            <w:noProof/>
            <w:webHidden/>
          </w:rPr>
          <w:fldChar w:fldCharType="separate"/>
        </w:r>
        <w:r>
          <w:rPr>
            <w:noProof/>
            <w:webHidden/>
          </w:rPr>
          <w:t>9</w:t>
        </w:r>
        <w:r w:rsidR="00FA02F5">
          <w:rPr>
            <w:noProof/>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400" w:history="1">
        <w:r w:rsidR="00FA02F5" w:rsidRPr="00404035">
          <w:rPr>
            <w:rStyle w:val="Hyperlink"/>
          </w:rPr>
          <w:t>4.2.</w:t>
        </w:r>
        <w:r w:rsidR="00FA02F5">
          <w:rPr>
            <w:rFonts w:asciiTheme="minorHAnsi" w:eastAsiaTheme="minorEastAsia" w:hAnsiTheme="minorHAnsi"/>
            <w:color w:val="auto"/>
            <w:sz w:val="22"/>
            <w:lang w:eastAsia="en-AU"/>
          </w:rPr>
          <w:tab/>
        </w:r>
        <w:r w:rsidR="00FA02F5" w:rsidRPr="00404035">
          <w:rPr>
            <w:rStyle w:val="Hyperlink"/>
          </w:rPr>
          <w:t>Carbon Farming Initiative review</w:t>
        </w:r>
        <w:r w:rsidR="00FA02F5">
          <w:rPr>
            <w:webHidden/>
          </w:rPr>
          <w:tab/>
        </w:r>
        <w:r w:rsidR="00FA02F5">
          <w:rPr>
            <w:webHidden/>
          </w:rPr>
          <w:fldChar w:fldCharType="begin"/>
        </w:r>
        <w:r w:rsidR="00FA02F5">
          <w:rPr>
            <w:webHidden/>
          </w:rPr>
          <w:instrText xml:space="preserve"> PAGEREF _Toc430464400 \h </w:instrText>
        </w:r>
        <w:r w:rsidR="00FA02F5">
          <w:rPr>
            <w:webHidden/>
          </w:rPr>
        </w:r>
        <w:r w:rsidR="00FA02F5">
          <w:rPr>
            <w:webHidden/>
          </w:rPr>
          <w:fldChar w:fldCharType="separate"/>
        </w:r>
        <w:r>
          <w:rPr>
            <w:webHidden/>
          </w:rPr>
          <w:t>10</w:t>
        </w:r>
        <w:r w:rsidR="00FA02F5">
          <w:rPr>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1" w:history="1">
        <w:r w:rsidR="00FA02F5" w:rsidRPr="00404035">
          <w:rPr>
            <w:rStyle w:val="Hyperlink"/>
            <w:noProof/>
          </w:rPr>
          <w:t>4.2.1.</w:t>
        </w:r>
        <w:r w:rsidR="00FA02F5">
          <w:rPr>
            <w:rFonts w:asciiTheme="minorHAnsi" w:eastAsiaTheme="minorEastAsia" w:hAnsiTheme="minorHAnsi"/>
            <w:noProof/>
            <w:color w:val="auto"/>
            <w:sz w:val="22"/>
            <w:lang w:eastAsia="en-AU"/>
          </w:rPr>
          <w:tab/>
        </w:r>
        <w:r w:rsidR="00FA02F5" w:rsidRPr="00404035">
          <w:rPr>
            <w:rStyle w:val="Hyperlink"/>
            <w:noProof/>
          </w:rPr>
          <w:t>Legislative requirements</w:t>
        </w:r>
        <w:r w:rsidR="00FA02F5">
          <w:rPr>
            <w:noProof/>
            <w:webHidden/>
          </w:rPr>
          <w:tab/>
        </w:r>
        <w:r w:rsidR="00FA02F5">
          <w:rPr>
            <w:noProof/>
            <w:webHidden/>
          </w:rPr>
          <w:fldChar w:fldCharType="begin"/>
        </w:r>
        <w:r w:rsidR="00FA02F5">
          <w:rPr>
            <w:noProof/>
            <w:webHidden/>
          </w:rPr>
          <w:instrText xml:space="preserve"> PAGEREF _Toc430464401 \h </w:instrText>
        </w:r>
        <w:r w:rsidR="00FA02F5">
          <w:rPr>
            <w:noProof/>
            <w:webHidden/>
          </w:rPr>
        </w:r>
        <w:r w:rsidR="00FA02F5">
          <w:rPr>
            <w:noProof/>
            <w:webHidden/>
          </w:rPr>
          <w:fldChar w:fldCharType="separate"/>
        </w:r>
        <w:r>
          <w:rPr>
            <w:noProof/>
            <w:webHidden/>
          </w:rPr>
          <w:t>10</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2" w:history="1">
        <w:r w:rsidR="00FA02F5" w:rsidRPr="00404035">
          <w:rPr>
            <w:rStyle w:val="Hyperlink"/>
            <w:noProof/>
          </w:rPr>
          <w:t>4.2.2.</w:t>
        </w:r>
        <w:r w:rsidR="00FA02F5">
          <w:rPr>
            <w:rFonts w:asciiTheme="minorHAnsi" w:eastAsiaTheme="minorEastAsia" w:hAnsiTheme="minorHAnsi"/>
            <w:noProof/>
            <w:color w:val="auto"/>
            <w:sz w:val="22"/>
            <w:lang w:eastAsia="en-AU"/>
          </w:rPr>
          <w:tab/>
        </w:r>
        <w:r w:rsidR="00FA02F5" w:rsidRPr="00404035">
          <w:rPr>
            <w:rStyle w:val="Hyperlink"/>
            <w:noProof/>
          </w:rPr>
          <w:t>Conduct of the review</w:t>
        </w:r>
        <w:r w:rsidR="00FA02F5">
          <w:rPr>
            <w:noProof/>
            <w:webHidden/>
          </w:rPr>
          <w:tab/>
        </w:r>
        <w:r w:rsidR="00FA02F5">
          <w:rPr>
            <w:noProof/>
            <w:webHidden/>
          </w:rPr>
          <w:fldChar w:fldCharType="begin"/>
        </w:r>
        <w:r w:rsidR="00FA02F5">
          <w:rPr>
            <w:noProof/>
            <w:webHidden/>
          </w:rPr>
          <w:instrText xml:space="preserve"> PAGEREF _Toc430464402 \h </w:instrText>
        </w:r>
        <w:r w:rsidR="00FA02F5">
          <w:rPr>
            <w:noProof/>
            <w:webHidden/>
          </w:rPr>
        </w:r>
        <w:r w:rsidR="00FA02F5">
          <w:rPr>
            <w:noProof/>
            <w:webHidden/>
          </w:rPr>
          <w:fldChar w:fldCharType="separate"/>
        </w:r>
        <w:r>
          <w:rPr>
            <w:noProof/>
            <w:webHidden/>
          </w:rPr>
          <w:t>10</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3" w:history="1">
        <w:r w:rsidR="00FA02F5" w:rsidRPr="00404035">
          <w:rPr>
            <w:rStyle w:val="Hyperlink"/>
            <w:noProof/>
          </w:rPr>
          <w:t>4.2.3.</w:t>
        </w:r>
        <w:r w:rsidR="00FA02F5">
          <w:rPr>
            <w:rFonts w:asciiTheme="minorHAnsi" w:eastAsiaTheme="minorEastAsia" w:hAnsiTheme="minorHAnsi"/>
            <w:noProof/>
            <w:color w:val="auto"/>
            <w:sz w:val="22"/>
            <w:lang w:eastAsia="en-AU"/>
          </w:rPr>
          <w:tab/>
        </w:r>
        <w:r w:rsidR="00FA02F5" w:rsidRPr="00404035">
          <w:rPr>
            <w:rStyle w:val="Hyperlink"/>
            <w:noProof/>
          </w:rPr>
          <w:t>Key findings</w:t>
        </w:r>
        <w:r w:rsidR="00FA02F5">
          <w:rPr>
            <w:noProof/>
            <w:webHidden/>
          </w:rPr>
          <w:tab/>
        </w:r>
        <w:r w:rsidR="00FA02F5">
          <w:rPr>
            <w:noProof/>
            <w:webHidden/>
          </w:rPr>
          <w:fldChar w:fldCharType="begin"/>
        </w:r>
        <w:r w:rsidR="00FA02F5">
          <w:rPr>
            <w:noProof/>
            <w:webHidden/>
          </w:rPr>
          <w:instrText xml:space="preserve"> PAGEREF _Toc430464403 \h </w:instrText>
        </w:r>
        <w:r w:rsidR="00FA02F5">
          <w:rPr>
            <w:noProof/>
            <w:webHidden/>
          </w:rPr>
        </w:r>
        <w:r w:rsidR="00FA02F5">
          <w:rPr>
            <w:noProof/>
            <w:webHidden/>
          </w:rPr>
          <w:fldChar w:fldCharType="separate"/>
        </w:r>
        <w:r>
          <w:rPr>
            <w:noProof/>
            <w:webHidden/>
          </w:rPr>
          <w:t>10</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4" w:history="1">
        <w:r w:rsidR="00FA02F5" w:rsidRPr="00404035">
          <w:rPr>
            <w:rStyle w:val="Hyperlink"/>
            <w:noProof/>
          </w:rPr>
          <w:t>4.2.4.</w:t>
        </w:r>
        <w:r w:rsidR="00FA02F5">
          <w:rPr>
            <w:rFonts w:asciiTheme="minorHAnsi" w:eastAsiaTheme="minorEastAsia" w:hAnsiTheme="minorHAnsi"/>
            <w:noProof/>
            <w:color w:val="auto"/>
            <w:sz w:val="22"/>
            <w:lang w:eastAsia="en-AU"/>
          </w:rPr>
          <w:tab/>
        </w:r>
        <w:r w:rsidR="00FA02F5" w:rsidRPr="00404035">
          <w:rPr>
            <w:rStyle w:val="Hyperlink"/>
            <w:noProof/>
          </w:rPr>
          <w:t>Performance against key performance indicators</w:t>
        </w:r>
        <w:r w:rsidR="00FA02F5">
          <w:rPr>
            <w:noProof/>
            <w:webHidden/>
          </w:rPr>
          <w:tab/>
        </w:r>
        <w:r w:rsidR="00FA02F5">
          <w:rPr>
            <w:noProof/>
            <w:webHidden/>
          </w:rPr>
          <w:fldChar w:fldCharType="begin"/>
        </w:r>
        <w:r w:rsidR="00FA02F5">
          <w:rPr>
            <w:noProof/>
            <w:webHidden/>
          </w:rPr>
          <w:instrText xml:space="preserve"> PAGEREF _Toc430464404 \h </w:instrText>
        </w:r>
        <w:r w:rsidR="00FA02F5">
          <w:rPr>
            <w:noProof/>
            <w:webHidden/>
          </w:rPr>
        </w:r>
        <w:r w:rsidR="00FA02F5">
          <w:rPr>
            <w:noProof/>
            <w:webHidden/>
          </w:rPr>
          <w:fldChar w:fldCharType="separate"/>
        </w:r>
        <w:r>
          <w:rPr>
            <w:noProof/>
            <w:webHidden/>
          </w:rPr>
          <w:t>11</w:t>
        </w:r>
        <w:r w:rsidR="00FA02F5">
          <w:rPr>
            <w:noProof/>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405" w:history="1">
        <w:r w:rsidR="00FA02F5" w:rsidRPr="00404035">
          <w:rPr>
            <w:rStyle w:val="Hyperlink"/>
          </w:rPr>
          <w:t>4.3.</w:t>
        </w:r>
        <w:r w:rsidR="00FA02F5">
          <w:rPr>
            <w:rFonts w:asciiTheme="minorHAnsi" w:eastAsiaTheme="minorEastAsia" w:hAnsiTheme="minorHAnsi"/>
            <w:color w:val="auto"/>
            <w:sz w:val="22"/>
            <w:lang w:eastAsia="en-AU"/>
          </w:rPr>
          <w:tab/>
        </w:r>
        <w:r w:rsidR="00FA02F5" w:rsidRPr="00404035">
          <w:rPr>
            <w:rStyle w:val="Hyperlink"/>
          </w:rPr>
          <w:t>Special Review</w:t>
        </w:r>
        <w:r w:rsidR="00FA02F5">
          <w:rPr>
            <w:webHidden/>
          </w:rPr>
          <w:tab/>
        </w:r>
        <w:r w:rsidR="00FA02F5">
          <w:rPr>
            <w:webHidden/>
          </w:rPr>
          <w:fldChar w:fldCharType="begin"/>
        </w:r>
        <w:r w:rsidR="00FA02F5">
          <w:rPr>
            <w:webHidden/>
          </w:rPr>
          <w:instrText xml:space="preserve"> PAGEREF _Toc430464405 \h </w:instrText>
        </w:r>
        <w:r w:rsidR="00FA02F5">
          <w:rPr>
            <w:webHidden/>
          </w:rPr>
        </w:r>
        <w:r w:rsidR="00FA02F5">
          <w:rPr>
            <w:webHidden/>
          </w:rPr>
          <w:fldChar w:fldCharType="separate"/>
        </w:r>
        <w:r>
          <w:rPr>
            <w:webHidden/>
          </w:rPr>
          <w:t>11</w:t>
        </w:r>
        <w:r w:rsidR="00FA02F5">
          <w:rPr>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6" w:history="1">
        <w:r w:rsidR="00FA02F5" w:rsidRPr="00404035">
          <w:rPr>
            <w:rStyle w:val="Hyperlink"/>
            <w:noProof/>
          </w:rPr>
          <w:t>4.3.1.</w:t>
        </w:r>
        <w:r w:rsidR="00FA02F5">
          <w:rPr>
            <w:rFonts w:asciiTheme="minorHAnsi" w:eastAsiaTheme="minorEastAsia" w:hAnsiTheme="minorHAnsi"/>
            <w:noProof/>
            <w:color w:val="auto"/>
            <w:sz w:val="22"/>
            <w:lang w:eastAsia="en-AU"/>
          </w:rPr>
          <w:tab/>
        </w:r>
        <w:r w:rsidR="00FA02F5" w:rsidRPr="00404035">
          <w:rPr>
            <w:rStyle w:val="Hyperlink"/>
            <w:noProof/>
          </w:rPr>
          <w:t>Legislative requirements</w:t>
        </w:r>
        <w:r w:rsidR="00FA02F5">
          <w:rPr>
            <w:noProof/>
            <w:webHidden/>
          </w:rPr>
          <w:tab/>
        </w:r>
        <w:r w:rsidR="00FA02F5">
          <w:rPr>
            <w:noProof/>
            <w:webHidden/>
          </w:rPr>
          <w:fldChar w:fldCharType="begin"/>
        </w:r>
        <w:r w:rsidR="00FA02F5">
          <w:rPr>
            <w:noProof/>
            <w:webHidden/>
          </w:rPr>
          <w:instrText xml:space="preserve"> PAGEREF _Toc430464406 \h </w:instrText>
        </w:r>
        <w:r w:rsidR="00FA02F5">
          <w:rPr>
            <w:noProof/>
            <w:webHidden/>
          </w:rPr>
        </w:r>
        <w:r w:rsidR="00FA02F5">
          <w:rPr>
            <w:noProof/>
            <w:webHidden/>
          </w:rPr>
          <w:fldChar w:fldCharType="separate"/>
        </w:r>
        <w:r>
          <w:rPr>
            <w:noProof/>
            <w:webHidden/>
          </w:rPr>
          <w:t>11</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7" w:history="1">
        <w:r w:rsidR="00FA02F5" w:rsidRPr="00404035">
          <w:rPr>
            <w:rStyle w:val="Hyperlink"/>
            <w:noProof/>
          </w:rPr>
          <w:t>4.3.2.</w:t>
        </w:r>
        <w:r w:rsidR="00FA02F5">
          <w:rPr>
            <w:rFonts w:asciiTheme="minorHAnsi" w:eastAsiaTheme="minorEastAsia" w:hAnsiTheme="minorHAnsi"/>
            <w:noProof/>
            <w:color w:val="auto"/>
            <w:sz w:val="22"/>
            <w:lang w:eastAsia="en-AU"/>
          </w:rPr>
          <w:tab/>
        </w:r>
        <w:r w:rsidR="00FA02F5" w:rsidRPr="00404035">
          <w:rPr>
            <w:rStyle w:val="Hyperlink"/>
            <w:noProof/>
          </w:rPr>
          <w:t>Conduct of the review</w:t>
        </w:r>
        <w:r w:rsidR="00FA02F5">
          <w:rPr>
            <w:noProof/>
            <w:webHidden/>
          </w:rPr>
          <w:tab/>
        </w:r>
        <w:r w:rsidR="00FA02F5">
          <w:rPr>
            <w:noProof/>
            <w:webHidden/>
          </w:rPr>
          <w:fldChar w:fldCharType="begin"/>
        </w:r>
        <w:r w:rsidR="00FA02F5">
          <w:rPr>
            <w:noProof/>
            <w:webHidden/>
          </w:rPr>
          <w:instrText xml:space="preserve"> PAGEREF _Toc430464407 \h </w:instrText>
        </w:r>
        <w:r w:rsidR="00FA02F5">
          <w:rPr>
            <w:noProof/>
            <w:webHidden/>
          </w:rPr>
        </w:r>
        <w:r w:rsidR="00FA02F5">
          <w:rPr>
            <w:noProof/>
            <w:webHidden/>
          </w:rPr>
          <w:fldChar w:fldCharType="separate"/>
        </w:r>
        <w:r>
          <w:rPr>
            <w:noProof/>
            <w:webHidden/>
          </w:rPr>
          <w:t>12</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8" w:history="1">
        <w:r w:rsidR="00FA02F5" w:rsidRPr="00404035">
          <w:rPr>
            <w:rStyle w:val="Hyperlink"/>
            <w:noProof/>
          </w:rPr>
          <w:t>4.3.3.</w:t>
        </w:r>
        <w:r w:rsidR="00FA02F5">
          <w:rPr>
            <w:rFonts w:asciiTheme="minorHAnsi" w:eastAsiaTheme="minorEastAsia" w:hAnsiTheme="minorHAnsi"/>
            <w:noProof/>
            <w:color w:val="auto"/>
            <w:sz w:val="22"/>
            <w:lang w:eastAsia="en-AU"/>
          </w:rPr>
          <w:tab/>
        </w:r>
        <w:r w:rsidR="00FA02F5" w:rsidRPr="00404035">
          <w:rPr>
            <w:rStyle w:val="Hyperlink"/>
            <w:noProof/>
          </w:rPr>
          <w:t>Key findings</w:t>
        </w:r>
        <w:r w:rsidR="00FA02F5">
          <w:rPr>
            <w:noProof/>
            <w:webHidden/>
          </w:rPr>
          <w:tab/>
        </w:r>
        <w:r w:rsidR="00FA02F5">
          <w:rPr>
            <w:noProof/>
            <w:webHidden/>
          </w:rPr>
          <w:fldChar w:fldCharType="begin"/>
        </w:r>
        <w:r w:rsidR="00FA02F5">
          <w:rPr>
            <w:noProof/>
            <w:webHidden/>
          </w:rPr>
          <w:instrText xml:space="preserve"> PAGEREF _Toc430464408 \h </w:instrText>
        </w:r>
        <w:r w:rsidR="00FA02F5">
          <w:rPr>
            <w:noProof/>
            <w:webHidden/>
          </w:rPr>
        </w:r>
        <w:r w:rsidR="00FA02F5">
          <w:rPr>
            <w:noProof/>
            <w:webHidden/>
          </w:rPr>
          <w:fldChar w:fldCharType="separate"/>
        </w:r>
        <w:r>
          <w:rPr>
            <w:noProof/>
            <w:webHidden/>
          </w:rPr>
          <w:t>12</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09" w:history="1">
        <w:r w:rsidR="00FA02F5" w:rsidRPr="00404035">
          <w:rPr>
            <w:rStyle w:val="Hyperlink"/>
            <w:noProof/>
          </w:rPr>
          <w:t>4.3.4.</w:t>
        </w:r>
        <w:r w:rsidR="00FA02F5">
          <w:rPr>
            <w:rFonts w:asciiTheme="minorHAnsi" w:eastAsiaTheme="minorEastAsia" w:hAnsiTheme="minorHAnsi"/>
            <w:noProof/>
            <w:color w:val="auto"/>
            <w:sz w:val="22"/>
            <w:lang w:eastAsia="en-AU"/>
          </w:rPr>
          <w:tab/>
        </w:r>
        <w:r w:rsidR="00FA02F5" w:rsidRPr="00404035">
          <w:rPr>
            <w:rStyle w:val="Hyperlink"/>
            <w:noProof/>
          </w:rPr>
          <w:t>Performance against key performance indicators</w:t>
        </w:r>
        <w:r w:rsidR="00FA02F5">
          <w:rPr>
            <w:noProof/>
            <w:webHidden/>
          </w:rPr>
          <w:tab/>
        </w:r>
        <w:r w:rsidR="00FA02F5">
          <w:rPr>
            <w:noProof/>
            <w:webHidden/>
          </w:rPr>
          <w:fldChar w:fldCharType="begin"/>
        </w:r>
        <w:r w:rsidR="00FA02F5">
          <w:rPr>
            <w:noProof/>
            <w:webHidden/>
          </w:rPr>
          <w:instrText xml:space="preserve"> PAGEREF _Toc430464409 \h </w:instrText>
        </w:r>
        <w:r w:rsidR="00FA02F5">
          <w:rPr>
            <w:noProof/>
            <w:webHidden/>
          </w:rPr>
        </w:r>
        <w:r w:rsidR="00FA02F5">
          <w:rPr>
            <w:noProof/>
            <w:webHidden/>
          </w:rPr>
          <w:fldChar w:fldCharType="separate"/>
        </w:r>
        <w:r>
          <w:rPr>
            <w:noProof/>
            <w:webHidden/>
          </w:rPr>
          <w:t>12</w:t>
        </w:r>
        <w:r w:rsidR="00FA02F5">
          <w:rPr>
            <w:noProof/>
            <w:webHidden/>
          </w:rPr>
          <w:fldChar w:fldCharType="end"/>
        </w:r>
      </w:hyperlink>
    </w:p>
    <w:p w:rsidR="00FA02F5" w:rsidRDefault="004E664C">
      <w:pPr>
        <w:pStyle w:val="TOC1"/>
        <w:rPr>
          <w:rFonts w:asciiTheme="minorHAnsi" w:eastAsiaTheme="minorEastAsia" w:hAnsiTheme="minorHAnsi"/>
          <w:b w:val="0"/>
          <w:caps w:val="0"/>
          <w:color w:val="auto"/>
          <w:sz w:val="22"/>
          <w:lang w:eastAsia="en-AU"/>
        </w:rPr>
      </w:pPr>
      <w:hyperlink w:anchor="_Toc430464410" w:history="1">
        <w:r w:rsidR="00FA02F5" w:rsidRPr="00404035">
          <w:rPr>
            <w:rStyle w:val="Hyperlink"/>
          </w:rPr>
          <w:t>5.</w:t>
        </w:r>
        <w:r w:rsidR="00FA02F5">
          <w:rPr>
            <w:rFonts w:asciiTheme="minorHAnsi" w:eastAsiaTheme="minorEastAsia" w:hAnsiTheme="minorHAnsi"/>
            <w:b w:val="0"/>
            <w:caps w:val="0"/>
            <w:color w:val="auto"/>
            <w:sz w:val="22"/>
            <w:lang w:eastAsia="en-AU"/>
          </w:rPr>
          <w:tab/>
        </w:r>
        <w:r w:rsidR="00FA02F5" w:rsidRPr="00404035">
          <w:rPr>
            <w:rStyle w:val="Hyperlink"/>
          </w:rPr>
          <w:t>MANAGEMENT AND ACCOUNTABILITY</w:t>
        </w:r>
        <w:r w:rsidR="00FA02F5">
          <w:rPr>
            <w:webHidden/>
          </w:rPr>
          <w:tab/>
        </w:r>
        <w:r w:rsidR="00FA02F5">
          <w:rPr>
            <w:webHidden/>
          </w:rPr>
          <w:fldChar w:fldCharType="begin"/>
        </w:r>
        <w:r w:rsidR="00FA02F5">
          <w:rPr>
            <w:webHidden/>
          </w:rPr>
          <w:instrText xml:space="preserve"> PAGEREF _Toc430464410 \h </w:instrText>
        </w:r>
        <w:r w:rsidR="00FA02F5">
          <w:rPr>
            <w:webHidden/>
          </w:rPr>
        </w:r>
        <w:r w:rsidR="00FA02F5">
          <w:rPr>
            <w:webHidden/>
          </w:rPr>
          <w:fldChar w:fldCharType="separate"/>
        </w:r>
        <w:r>
          <w:rPr>
            <w:webHidden/>
          </w:rPr>
          <w:t>14</w:t>
        </w:r>
        <w:r w:rsidR="00FA02F5">
          <w:rPr>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411" w:history="1">
        <w:r w:rsidR="00FA02F5" w:rsidRPr="00404035">
          <w:rPr>
            <w:rStyle w:val="Hyperlink"/>
          </w:rPr>
          <w:t>5.1.</w:t>
        </w:r>
        <w:r w:rsidR="00FA02F5">
          <w:rPr>
            <w:rFonts w:asciiTheme="minorHAnsi" w:eastAsiaTheme="minorEastAsia" w:hAnsiTheme="minorHAnsi"/>
            <w:color w:val="auto"/>
            <w:sz w:val="22"/>
            <w:lang w:eastAsia="en-AU"/>
          </w:rPr>
          <w:tab/>
        </w:r>
        <w:r w:rsidR="00FA02F5" w:rsidRPr="00404035">
          <w:rPr>
            <w:rStyle w:val="Hyperlink"/>
          </w:rPr>
          <w:t>CORPORATE GOVERNANCE</w:t>
        </w:r>
        <w:r w:rsidR="00FA02F5">
          <w:rPr>
            <w:webHidden/>
          </w:rPr>
          <w:tab/>
        </w:r>
        <w:r w:rsidR="00FA02F5">
          <w:rPr>
            <w:webHidden/>
          </w:rPr>
          <w:fldChar w:fldCharType="begin"/>
        </w:r>
        <w:r w:rsidR="00FA02F5">
          <w:rPr>
            <w:webHidden/>
          </w:rPr>
          <w:instrText xml:space="preserve"> PAGEREF _Toc430464411 \h </w:instrText>
        </w:r>
        <w:r w:rsidR="00FA02F5">
          <w:rPr>
            <w:webHidden/>
          </w:rPr>
        </w:r>
        <w:r w:rsidR="00FA02F5">
          <w:rPr>
            <w:webHidden/>
          </w:rPr>
          <w:fldChar w:fldCharType="separate"/>
        </w:r>
        <w:r>
          <w:rPr>
            <w:webHidden/>
          </w:rPr>
          <w:t>14</w:t>
        </w:r>
        <w:r w:rsidR="00FA02F5">
          <w:rPr>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2" w:history="1">
        <w:r w:rsidR="00FA02F5" w:rsidRPr="00404035">
          <w:rPr>
            <w:rStyle w:val="Hyperlink"/>
            <w:noProof/>
          </w:rPr>
          <w:t>5.1.1.</w:t>
        </w:r>
        <w:r w:rsidR="00FA02F5">
          <w:rPr>
            <w:rFonts w:asciiTheme="minorHAnsi" w:eastAsiaTheme="minorEastAsia" w:hAnsiTheme="minorHAnsi"/>
            <w:noProof/>
            <w:color w:val="auto"/>
            <w:sz w:val="22"/>
            <w:lang w:eastAsia="en-AU"/>
          </w:rPr>
          <w:tab/>
        </w:r>
        <w:r w:rsidR="00FA02F5" w:rsidRPr="00404035">
          <w:rPr>
            <w:rStyle w:val="Hyperlink"/>
            <w:noProof/>
          </w:rPr>
          <w:t>RISK MANAGEMENT</w:t>
        </w:r>
        <w:r w:rsidR="00FA02F5">
          <w:rPr>
            <w:noProof/>
            <w:webHidden/>
          </w:rPr>
          <w:tab/>
        </w:r>
        <w:r w:rsidR="00FA02F5">
          <w:rPr>
            <w:noProof/>
            <w:webHidden/>
          </w:rPr>
          <w:fldChar w:fldCharType="begin"/>
        </w:r>
        <w:r w:rsidR="00FA02F5">
          <w:rPr>
            <w:noProof/>
            <w:webHidden/>
          </w:rPr>
          <w:instrText xml:space="preserve"> PAGEREF _Toc430464412 \h </w:instrText>
        </w:r>
        <w:r w:rsidR="00FA02F5">
          <w:rPr>
            <w:noProof/>
            <w:webHidden/>
          </w:rPr>
        </w:r>
        <w:r w:rsidR="00FA02F5">
          <w:rPr>
            <w:noProof/>
            <w:webHidden/>
          </w:rPr>
          <w:fldChar w:fldCharType="separate"/>
        </w:r>
        <w:r>
          <w:rPr>
            <w:noProof/>
            <w:webHidden/>
          </w:rPr>
          <w:t>14</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3" w:history="1">
        <w:r w:rsidR="00FA02F5" w:rsidRPr="00404035">
          <w:rPr>
            <w:rStyle w:val="Hyperlink"/>
            <w:noProof/>
          </w:rPr>
          <w:t>5.1.2.</w:t>
        </w:r>
        <w:r w:rsidR="00FA02F5">
          <w:rPr>
            <w:rFonts w:asciiTheme="minorHAnsi" w:eastAsiaTheme="minorEastAsia" w:hAnsiTheme="minorHAnsi"/>
            <w:noProof/>
            <w:color w:val="auto"/>
            <w:sz w:val="22"/>
            <w:lang w:eastAsia="en-AU"/>
          </w:rPr>
          <w:tab/>
        </w:r>
        <w:r w:rsidR="00FA02F5" w:rsidRPr="00404035">
          <w:rPr>
            <w:rStyle w:val="Hyperlink"/>
            <w:noProof/>
          </w:rPr>
          <w:t>FRAUD CONTROL</w:t>
        </w:r>
        <w:r w:rsidR="00FA02F5">
          <w:rPr>
            <w:noProof/>
            <w:webHidden/>
          </w:rPr>
          <w:tab/>
        </w:r>
        <w:r w:rsidR="00FA02F5">
          <w:rPr>
            <w:noProof/>
            <w:webHidden/>
          </w:rPr>
          <w:fldChar w:fldCharType="begin"/>
        </w:r>
        <w:r w:rsidR="00FA02F5">
          <w:rPr>
            <w:noProof/>
            <w:webHidden/>
          </w:rPr>
          <w:instrText xml:space="preserve"> PAGEREF _Toc430464413 \h </w:instrText>
        </w:r>
        <w:r w:rsidR="00FA02F5">
          <w:rPr>
            <w:noProof/>
            <w:webHidden/>
          </w:rPr>
        </w:r>
        <w:r w:rsidR="00FA02F5">
          <w:rPr>
            <w:noProof/>
            <w:webHidden/>
          </w:rPr>
          <w:fldChar w:fldCharType="separate"/>
        </w:r>
        <w:r>
          <w:rPr>
            <w:noProof/>
            <w:webHidden/>
          </w:rPr>
          <w:t>14</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4" w:history="1">
        <w:r w:rsidR="00FA02F5" w:rsidRPr="00404035">
          <w:rPr>
            <w:rStyle w:val="Hyperlink"/>
            <w:noProof/>
          </w:rPr>
          <w:t>5.1.3.</w:t>
        </w:r>
        <w:r w:rsidR="00FA02F5">
          <w:rPr>
            <w:rFonts w:asciiTheme="minorHAnsi" w:eastAsiaTheme="minorEastAsia" w:hAnsiTheme="minorHAnsi"/>
            <w:noProof/>
            <w:color w:val="auto"/>
            <w:sz w:val="22"/>
            <w:lang w:eastAsia="en-AU"/>
          </w:rPr>
          <w:tab/>
        </w:r>
        <w:r w:rsidR="00FA02F5" w:rsidRPr="00404035">
          <w:rPr>
            <w:rStyle w:val="Hyperlink"/>
            <w:noProof/>
          </w:rPr>
          <w:t>ASSETS AND ASSET MANAGEMENT</w:t>
        </w:r>
        <w:r w:rsidR="00FA02F5">
          <w:rPr>
            <w:noProof/>
            <w:webHidden/>
          </w:rPr>
          <w:tab/>
        </w:r>
        <w:r w:rsidR="00FA02F5">
          <w:rPr>
            <w:noProof/>
            <w:webHidden/>
          </w:rPr>
          <w:fldChar w:fldCharType="begin"/>
        </w:r>
        <w:r w:rsidR="00FA02F5">
          <w:rPr>
            <w:noProof/>
            <w:webHidden/>
          </w:rPr>
          <w:instrText xml:space="preserve"> PAGEREF _Toc430464414 \h </w:instrText>
        </w:r>
        <w:r w:rsidR="00FA02F5">
          <w:rPr>
            <w:noProof/>
            <w:webHidden/>
          </w:rPr>
        </w:r>
        <w:r w:rsidR="00FA02F5">
          <w:rPr>
            <w:noProof/>
            <w:webHidden/>
          </w:rPr>
          <w:fldChar w:fldCharType="separate"/>
        </w:r>
        <w:r>
          <w:rPr>
            <w:noProof/>
            <w:webHidden/>
          </w:rPr>
          <w:t>15</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5" w:history="1">
        <w:r w:rsidR="00FA02F5" w:rsidRPr="00404035">
          <w:rPr>
            <w:rStyle w:val="Hyperlink"/>
            <w:noProof/>
          </w:rPr>
          <w:t>5.1.4.</w:t>
        </w:r>
        <w:r w:rsidR="00FA02F5">
          <w:rPr>
            <w:rFonts w:asciiTheme="minorHAnsi" w:eastAsiaTheme="minorEastAsia" w:hAnsiTheme="minorHAnsi"/>
            <w:noProof/>
            <w:color w:val="auto"/>
            <w:sz w:val="22"/>
            <w:lang w:eastAsia="en-AU"/>
          </w:rPr>
          <w:tab/>
        </w:r>
        <w:r w:rsidR="00FA02F5" w:rsidRPr="00404035">
          <w:rPr>
            <w:rStyle w:val="Hyperlink"/>
            <w:noProof/>
          </w:rPr>
          <w:t>SHARED SERVICES</w:t>
        </w:r>
        <w:r w:rsidR="00FA02F5">
          <w:rPr>
            <w:noProof/>
            <w:webHidden/>
          </w:rPr>
          <w:tab/>
        </w:r>
        <w:r w:rsidR="00FA02F5">
          <w:rPr>
            <w:noProof/>
            <w:webHidden/>
          </w:rPr>
          <w:fldChar w:fldCharType="begin"/>
        </w:r>
        <w:r w:rsidR="00FA02F5">
          <w:rPr>
            <w:noProof/>
            <w:webHidden/>
          </w:rPr>
          <w:instrText xml:space="preserve"> PAGEREF _Toc430464415 \h </w:instrText>
        </w:r>
        <w:r w:rsidR="00FA02F5">
          <w:rPr>
            <w:noProof/>
            <w:webHidden/>
          </w:rPr>
        </w:r>
        <w:r w:rsidR="00FA02F5">
          <w:rPr>
            <w:noProof/>
            <w:webHidden/>
          </w:rPr>
          <w:fldChar w:fldCharType="separate"/>
        </w:r>
        <w:r>
          <w:rPr>
            <w:noProof/>
            <w:webHidden/>
          </w:rPr>
          <w:t>15</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6" w:history="1">
        <w:r w:rsidR="00FA02F5" w:rsidRPr="00404035">
          <w:rPr>
            <w:rStyle w:val="Hyperlink"/>
            <w:noProof/>
          </w:rPr>
          <w:t>5.1.5.</w:t>
        </w:r>
        <w:r w:rsidR="00FA02F5">
          <w:rPr>
            <w:rFonts w:asciiTheme="minorHAnsi" w:eastAsiaTheme="minorEastAsia" w:hAnsiTheme="minorHAnsi"/>
            <w:noProof/>
            <w:color w:val="auto"/>
            <w:sz w:val="22"/>
            <w:lang w:eastAsia="en-AU"/>
          </w:rPr>
          <w:tab/>
        </w:r>
        <w:r w:rsidR="00FA02F5" w:rsidRPr="00404035">
          <w:rPr>
            <w:rStyle w:val="Hyperlink"/>
            <w:noProof/>
          </w:rPr>
          <w:t>INTERNAL AUDIT</w:t>
        </w:r>
        <w:r w:rsidR="00FA02F5">
          <w:rPr>
            <w:noProof/>
            <w:webHidden/>
          </w:rPr>
          <w:tab/>
        </w:r>
        <w:r w:rsidR="00FA02F5">
          <w:rPr>
            <w:noProof/>
            <w:webHidden/>
          </w:rPr>
          <w:fldChar w:fldCharType="begin"/>
        </w:r>
        <w:r w:rsidR="00FA02F5">
          <w:rPr>
            <w:noProof/>
            <w:webHidden/>
          </w:rPr>
          <w:instrText xml:space="preserve"> PAGEREF _Toc430464416 \h </w:instrText>
        </w:r>
        <w:r w:rsidR="00FA02F5">
          <w:rPr>
            <w:noProof/>
            <w:webHidden/>
          </w:rPr>
        </w:r>
        <w:r w:rsidR="00FA02F5">
          <w:rPr>
            <w:noProof/>
            <w:webHidden/>
          </w:rPr>
          <w:fldChar w:fldCharType="separate"/>
        </w:r>
        <w:r>
          <w:rPr>
            <w:noProof/>
            <w:webHidden/>
          </w:rPr>
          <w:t>15</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7" w:history="1">
        <w:r w:rsidR="00FA02F5" w:rsidRPr="00404035">
          <w:rPr>
            <w:rStyle w:val="Hyperlink"/>
            <w:noProof/>
          </w:rPr>
          <w:t>5.1.6.</w:t>
        </w:r>
        <w:r w:rsidR="00FA02F5">
          <w:rPr>
            <w:rFonts w:asciiTheme="minorHAnsi" w:eastAsiaTheme="minorEastAsia" w:hAnsiTheme="minorHAnsi"/>
            <w:noProof/>
            <w:color w:val="auto"/>
            <w:sz w:val="22"/>
            <w:lang w:eastAsia="en-AU"/>
          </w:rPr>
          <w:tab/>
        </w:r>
        <w:r w:rsidR="00FA02F5" w:rsidRPr="00404035">
          <w:rPr>
            <w:rStyle w:val="Hyperlink"/>
            <w:noProof/>
          </w:rPr>
          <w:t>EXTERNAL SCRUTINY</w:t>
        </w:r>
        <w:r w:rsidR="00FA02F5">
          <w:rPr>
            <w:noProof/>
            <w:webHidden/>
          </w:rPr>
          <w:tab/>
        </w:r>
        <w:r w:rsidR="00FA02F5">
          <w:rPr>
            <w:noProof/>
            <w:webHidden/>
          </w:rPr>
          <w:fldChar w:fldCharType="begin"/>
        </w:r>
        <w:r w:rsidR="00FA02F5">
          <w:rPr>
            <w:noProof/>
            <w:webHidden/>
          </w:rPr>
          <w:instrText xml:space="preserve"> PAGEREF _Toc430464417 \h </w:instrText>
        </w:r>
        <w:r w:rsidR="00FA02F5">
          <w:rPr>
            <w:noProof/>
            <w:webHidden/>
          </w:rPr>
        </w:r>
        <w:r w:rsidR="00FA02F5">
          <w:rPr>
            <w:noProof/>
            <w:webHidden/>
          </w:rPr>
          <w:fldChar w:fldCharType="separate"/>
        </w:r>
        <w:r>
          <w:rPr>
            <w:noProof/>
            <w:webHidden/>
          </w:rPr>
          <w:t>16</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8" w:history="1">
        <w:r w:rsidR="00FA02F5" w:rsidRPr="00404035">
          <w:rPr>
            <w:rStyle w:val="Hyperlink"/>
            <w:noProof/>
          </w:rPr>
          <w:t>5.1.7.</w:t>
        </w:r>
        <w:r w:rsidR="00FA02F5">
          <w:rPr>
            <w:rFonts w:asciiTheme="minorHAnsi" w:eastAsiaTheme="minorEastAsia" w:hAnsiTheme="minorHAnsi"/>
            <w:noProof/>
            <w:color w:val="auto"/>
            <w:sz w:val="22"/>
            <w:lang w:eastAsia="en-AU"/>
          </w:rPr>
          <w:tab/>
        </w:r>
        <w:r w:rsidR="00FA02F5" w:rsidRPr="00404035">
          <w:rPr>
            <w:rStyle w:val="Hyperlink"/>
            <w:noProof/>
          </w:rPr>
          <w:t>FREEDOM OF INFORMATION</w:t>
        </w:r>
        <w:r w:rsidR="00FA02F5">
          <w:rPr>
            <w:noProof/>
            <w:webHidden/>
          </w:rPr>
          <w:tab/>
        </w:r>
        <w:r w:rsidR="00FA02F5">
          <w:rPr>
            <w:noProof/>
            <w:webHidden/>
          </w:rPr>
          <w:fldChar w:fldCharType="begin"/>
        </w:r>
        <w:r w:rsidR="00FA02F5">
          <w:rPr>
            <w:noProof/>
            <w:webHidden/>
          </w:rPr>
          <w:instrText xml:space="preserve"> PAGEREF _Toc430464418 \h </w:instrText>
        </w:r>
        <w:r w:rsidR="00FA02F5">
          <w:rPr>
            <w:noProof/>
            <w:webHidden/>
          </w:rPr>
        </w:r>
        <w:r w:rsidR="00FA02F5">
          <w:rPr>
            <w:noProof/>
            <w:webHidden/>
          </w:rPr>
          <w:fldChar w:fldCharType="separate"/>
        </w:r>
        <w:r>
          <w:rPr>
            <w:noProof/>
            <w:webHidden/>
          </w:rPr>
          <w:t>17</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19" w:history="1">
        <w:r w:rsidR="00FA02F5" w:rsidRPr="00404035">
          <w:rPr>
            <w:rStyle w:val="Hyperlink"/>
            <w:noProof/>
          </w:rPr>
          <w:t>5.1.8.</w:t>
        </w:r>
        <w:r w:rsidR="00FA02F5">
          <w:rPr>
            <w:rFonts w:asciiTheme="minorHAnsi" w:eastAsiaTheme="minorEastAsia" w:hAnsiTheme="minorHAnsi"/>
            <w:noProof/>
            <w:color w:val="auto"/>
            <w:sz w:val="22"/>
            <w:lang w:eastAsia="en-AU"/>
          </w:rPr>
          <w:tab/>
        </w:r>
        <w:r w:rsidR="00FA02F5" w:rsidRPr="00404035">
          <w:rPr>
            <w:rStyle w:val="Hyperlink"/>
            <w:noProof/>
          </w:rPr>
          <w:t>ECOLOGICALLY SUSTAINABLE DEVELOPMENT AND ENVIRONMENTAL PERFORMANCE</w:t>
        </w:r>
        <w:r w:rsidR="00FA02F5">
          <w:rPr>
            <w:noProof/>
            <w:webHidden/>
          </w:rPr>
          <w:tab/>
        </w:r>
        <w:r w:rsidR="00FA02F5">
          <w:rPr>
            <w:noProof/>
            <w:webHidden/>
          </w:rPr>
          <w:fldChar w:fldCharType="begin"/>
        </w:r>
        <w:r w:rsidR="00FA02F5">
          <w:rPr>
            <w:noProof/>
            <w:webHidden/>
          </w:rPr>
          <w:instrText xml:space="preserve"> PAGEREF _Toc430464419 \h </w:instrText>
        </w:r>
        <w:r w:rsidR="00FA02F5">
          <w:rPr>
            <w:noProof/>
            <w:webHidden/>
          </w:rPr>
        </w:r>
        <w:r w:rsidR="00FA02F5">
          <w:rPr>
            <w:noProof/>
            <w:webHidden/>
          </w:rPr>
          <w:fldChar w:fldCharType="separate"/>
        </w:r>
        <w:r>
          <w:rPr>
            <w:noProof/>
            <w:webHidden/>
          </w:rPr>
          <w:t>17</w:t>
        </w:r>
        <w:r w:rsidR="00FA02F5">
          <w:rPr>
            <w:noProof/>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420" w:history="1">
        <w:r w:rsidR="00FA02F5" w:rsidRPr="00404035">
          <w:rPr>
            <w:rStyle w:val="Hyperlink"/>
          </w:rPr>
          <w:t>5.2.</w:t>
        </w:r>
        <w:r w:rsidR="00FA02F5">
          <w:rPr>
            <w:rFonts w:asciiTheme="minorHAnsi" w:eastAsiaTheme="minorEastAsia" w:hAnsiTheme="minorHAnsi"/>
            <w:color w:val="auto"/>
            <w:sz w:val="22"/>
            <w:lang w:eastAsia="en-AU"/>
          </w:rPr>
          <w:tab/>
        </w:r>
        <w:r w:rsidR="00FA02F5" w:rsidRPr="00404035">
          <w:rPr>
            <w:rStyle w:val="Hyperlink"/>
          </w:rPr>
          <w:t>FINANCIAL OVERVIEW</w:t>
        </w:r>
        <w:r w:rsidR="00FA02F5">
          <w:rPr>
            <w:webHidden/>
          </w:rPr>
          <w:tab/>
        </w:r>
        <w:r w:rsidR="00FA02F5">
          <w:rPr>
            <w:webHidden/>
          </w:rPr>
          <w:fldChar w:fldCharType="begin"/>
        </w:r>
        <w:r w:rsidR="00FA02F5">
          <w:rPr>
            <w:webHidden/>
          </w:rPr>
          <w:instrText xml:space="preserve"> PAGEREF _Toc430464420 \h </w:instrText>
        </w:r>
        <w:r w:rsidR="00FA02F5">
          <w:rPr>
            <w:webHidden/>
          </w:rPr>
        </w:r>
        <w:r w:rsidR="00FA02F5">
          <w:rPr>
            <w:webHidden/>
          </w:rPr>
          <w:fldChar w:fldCharType="separate"/>
        </w:r>
        <w:r>
          <w:rPr>
            <w:webHidden/>
          </w:rPr>
          <w:t>18</w:t>
        </w:r>
        <w:r w:rsidR="00FA02F5">
          <w:rPr>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1" w:history="1">
        <w:r w:rsidR="00FA02F5" w:rsidRPr="00404035">
          <w:rPr>
            <w:rStyle w:val="Hyperlink"/>
            <w:noProof/>
          </w:rPr>
          <w:t>5.2.1.</w:t>
        </w:r>
        <w:r w:rsidR="00FA02F5">
          <w:rPr>
            <w:rFonts w:asciiTheme="minorHAnsi" w:eastAsiaTheme="minorEastAsia" w:hAnsiTheme="minorHAnsi"/>
            <w:noProof/>
            <w:color w:val="auto"/>
            <w:sz w:val="22"/>
            <w:lang w:eastAsia="en-AU"/>
          </w:rPr>
          <w:tab/>
        </w:r>
        <w:r w:rsidR="00FA02F5" w:rsidRPr="00404035">
          <w:rPr>
            <w:rStyle w:val="Hyperlink"/>
            <w:noProof/>
          </w:rPr>
          <w:t>FINANCIAL PERFORMANCE</w:t>
        </w:r>
        <w:r w:rsidR="00FA02F5">
          <w:rPr>
            <w:noProof/>
            <w:webHidden/>
          </w:rPr>
          <w:tab/>
        </w:r>
        <w:r w:rsidR="00FA02F5">
          <w:rPr>
            <w:noProof/>
            <w:webHidden/>
          </w:rPr>
          <w:fldChar w:fldCharType="begin"/>
        </w:r>
        <w:r w:rsidR="00FA02F5">
          <w:rPr>
            <w:noProof/>
            <w:webHidden/>
          </w:rPr>
          <w:instrText xml:space="preserve"> PAGEREF _Toc430464421 \h </w:instrText>
        </w:r>
        <w:r w:rsidR="00FA02F5">
          <w:rPr>
            <w:noProof/>
            <w:webHidden/>
          </w:rPr>
        </w:r>
        <w:r w:rsidR="00FA02F5">
          <w:rPr>
            <w:noProof/>
            <w:webHidden/>
          </w:rPr>
          <w:fldChar w:fldCharType="separate"/>
        </w:r>
        <w:r>
          <w:rPr>
            <w:noProof/>
            <w:webHidden/>
          </w:rPr>
          <w:t>18</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2" w:history="1">
        <w:r w:rsidR="00FA02F5" w:rsidRPr="00404035">
          <w:rPr>
            <w:rStyle w:val="Hyperlink"/>
            <w:noProof/>
          </w:rPr>
          <w:t>5.2.2.</w:t>
        </w:r>
        <w:r w:rsidR="00FA02F5">
          <w:rPr>
            <w:rFonts w:asciiTheme="minorHAnsi" w:eastAsiaTheme="minorEastAsia" w:hAnsiTheme="minorHAnsi"/>
            <w:noProof/>
            <w:color w:val="auto"/>
            <w:sz w:val="22"/>
            <w:lang w:eastAsia="en-AU"/>
          </w:rPr>
          <w:tab/>
        </w:r>
        <w:r w:rsidR="00FA02F5" w:rsidRPr="00404035">
          <w:rPr>
            <w:rStyle w:val="Hyperlink"/>
            <w:noProof/>
          </w:rPr>
          <w:t>RESOURCE STATEMENT 2014–15</w:t>
        </w:r>
        <w:r w:rsidR="00FA02F5">
          <w:rPr>
            <w:noProof/>
            <w:webHidden/>
          </w:rPr>
          <w:tab/>
        </w:r>
        <w:r w:rsidR="00FA02F5">
          <w:rPr>
            <w:noProof/>
            <w:webHidden/>
          </w:rPr>
          <w:fldChar w:fldCharType="begin"/>
        </w:r>
        <w:r w:rsidR="00FA02F5">
          <w:rPr>
            <w:noProof/>
            <w:webHidden/>
          </w:rPr>
          <w:instrText xml:space="preserve"> PAGEREF _Toc430464422 \h </w:instrText>
        </w:r>
        <w:r w:rsidR="00FA02F5">
          <w:rPr>
            <w:noProof/>
            <w:webHidden/>
          </w:rPr>
        </w:r>
        <w:r w:rsidR="00FA02F5">
          <w:rPr>
            <w:noProof/>
            <w:webHidden/>
          </w:rPr>
          <w:fldChar w:fldCharType="separate"/>
        </w:r>
        <w:r>
          <w:rPr>
            <w:noProof/>
            <w:webHidden/>
          </w:rPr>
          <w:t>18</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3" w:history="1">
        <w:r w:rsidR="00FA02F5" w:rsidRPr="00404035">
          <w:rPr>
            <w:rStyle w:val="Hyperlink"/>
            <w:noProof/>
          </w:rPr>
          <w:t>5.2.3.</w:t>
        </w:r>
        <w:r w:rsidR="00FA02F5">
          <w:rPr>
            <w:rFonts w:asciiTheme="minorHAnsi" w:eastAsiaTheme="minorEastAsia" w:hAnsiTheme="minorHAnsi"/>
            <w:noProof/>
            <w:color w:val="auto"/>
            <w:sz w:val="22"/>
            <w:lang w:eastAsia="en-AU"/>
          </w:rPr>
          <w:tab/>
        </w:r>
        <w:r w:rsidR="00FA02F5" w:rsidRPr="00404035">
          <w:rPr>
            <w:rStyle w:val="Hyperlink"/>
            <w:noProof/>
          </w:rPr>
          <w:t>PURCHASING</w:t>
        </w:r>
        <w:r w:rsidR="00FA02F5">
          <w:rPr>
            <w:noProof/>
            <w:webHidden/>
          </w:rPr>
          <w:tab/>
        </w:r>
        <w:r w:rsidR="00FA02F5">
          <w:rPr>
            <w:noProof/>
            <w:webHidden/>
          </w:rPr>
          <w:fldChar w:fldCharType="begin"/>
        </w:r>
        <w:r w:rsidR="00FA02F5">
          <w:rPr>
            <w:noProof/>
            <w:webHidden/>
          </w:rPr>
          <w:instrText xml:space="preserve"> PAGEREF _Toc430464423 \h </w:instrText>
        </w:r>
        <w:r w:rsidR="00FA02F5">
          <w:rPr>
            <w:noProof/>
            <w:webHidden/>
          </w:rPr>
        </w:r>
        <w:r w:rsidR="00FA02F5">
          <w:rPr>
            <w:noProof/>
            <w:webHidden/>
          </w:rPr>
          <w:fldChar w:fldCharType="separate"/>
        </w:r>
        <w:r>
          <w:rPr>
            <w:noProof/>
            <w:webHidden/>
          </w:rPr>
          <w:t>18</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4" w:history="1">
        <w:r w:rsidR="00FA02F5" w:rsidRPr="00404035">
          <w:rPr>
            <w:rStyle w:val="Hyperlink"/>
            <w:noProof/>
          </w:rPr>
          <w:t>5.2.4.</w:t>
        </w:r>
        <w:r w:rsidR="00FA02F5">
          <w:rPr>
            <w:rFonts w:asciiTheme="minorHAnsi" w:eastAsiaTheme="minorEastAsia" w:hAnsiTheme="minorHAnsi"/>
            <w:noProof/>
            <w:color w:val="auto"/>
            <w:sz w:val="22"/>
            <w:lang w:eastAsia="en-AU"/>
          </w:rPr>
          <w:tab/>
        </w:r>
        <w:r w:rsidR="00FA02F5" w:rsidRPr="00404035">
          <w:rPr>
            <w:rStyle w:val="Hyperlink"/>
            <w:noProof/>
          </w:rPr>
          <w:t>CONSULTANCIES</w:t>
        </w:r>
        <w:r w:rsidR="00FA02F5">
          <w:rPr>
            <w:noProof/>
            <w:webHidden/>
          </w:rPr>
          <w:tab/>
        </w:r>
        <w:r w:rsidR="00FA02F5">
          <w:rPr>
            <w:noProof/>
            <w:webHidden/>
          </w:rPr>
          <w:fldChar w:fldCharType="begin"/>
        </w:r>
        <w:r w:rsidR="00FA02F5">
          <w:rPr>
            <w:noProof/>
            <w:webHidden/>
          </w:rPr>
          <w:instrText xml:space="preserve"> PAGEREF _Toc430464424 \h </w:instrText>
        </w:r>
        <w:r w:rsidR="00FA02F5">
          <w:rPr>
            <w:noProof/>
            <w:webHidden/>
          </w:rPr>
        </w:r>
        <w:r w:rsidR="00FA02F5">
          <w:rPr>
            <w:noProof/>
            <w:webHidden/>
          </w:rPr>
          <w:fldChar w:fldCharType="separate"/>
        </w:r>
        <w:r>
          <w:rPr>
            <w:noProof/>
            <w:webHidden/>
          </w:rPr>
          <w:t>19</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5" w:history="1">
        <w:r w:rsidR="00FA02F5" w:rsidRPr="00404035">
          <w:rPr>
            <w:rStyle w:val="Hyperlink"/>
            <w:noProof/>
          </w:rPr>
          <w:t>5.2.5.</w:t>
        </w:r>
        <w:r w:rsidR="00FA02F5">
          <w:rPr>
            <w:rFonts w:asciiTheme="minorHAnsi" w:eastAsiaTheme="minorEastAsia" w:hAnsiTheme="minorHAnsi"/>
            <w:noProof/>
            <w:color w:val="auto"/>
            <w:sz w:val="22"/>
            <w:lang w:eastAsia="en-AU"/>
          </w:rPr>
          <w:tab/>
        </w:r>
        <w:r w:rsidR="00FA02F5" w:rsidRPr="00404035">
          <w:rPr>
            <w:rStyle w:val="Hyperlink"/>
            <w:noProof/>
          </w:rPr>
          <w:t>ADVERTISING AND MARKET RESEARCH</w:t>
        </w:r>
        <w:r w:rsidR="00FA02F5">
          <w:rPr>
            <w:noProof/>
            <w:webHidden/>
          </w:rPr>
          <w:tab/>
        </w:r>
        <w:r w:rsidR="00FA02F5">
          <w:rPr>
            <w:noProof/>
            <w:webHidden/>
          </w:rPr>
          <w:fldChar w:fldCharType="begin"/>
        </w:r>
        <w:r w:rsidR="00FA02F5">
          <w:rPr>
            <w:noProof/>
            <w:webHidden/>
          </w:rPr>
          <w:instrText xml:space="preserve"> PAGEREF _Toc430464425 \h </w:instrText>
        </w:r>
        <w:r w:rsidR="00FA02F5">
          <w:rPr>
            <w:noProof/>
            <w:webHidden/>
          </w:rPr>
        </w:r>
        <w:r w:rsidR="00FA02F5">
          <w:rPr>
            <w:noProof/>
            <w:webHidden/>
          </w:rPr>
          <w:fldChar w:fldCharType="separate"/>
        </w:r>
        <w:r>
          <w:rPr>
            <w:noProof/>
            <w:webHidden/>
          </w:rPr>
          <w:t>19</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6" w:history="1">
        <w:r w:rsidR="00FA02F5" w:rsidRPr="00404035">
          <w:rPr>
            <w:rStyle w:val="Hyperlink"/>
            <w:noProof/>
          </w:rPr>
          <w:t>5.2.6.</w:t>
        </w:r>
        <w:r w:rsidR="00FA02F5">
          <w:rPr>
            <w:rFonts w:asciiTheme="minorHAnsi" w:eastAsiaTheme="minorEastAsia" w:hAnsiTheme="minorHAnsi"/>
            <w:noProof/>
            <w:color w:val="auto"/>
            <w:sz w:val="22"/>
            <w:lang w:eastAsia="en-AU"/>
          </w:rPr>
          <w:tab/>
        </w:r>
        <w:r w:rsidR="00FA02F5" w:rsidRPr="00404035">
          <w:rPr>
            <w:rStyle w:val="Hyperlink"/>
            <w:noProof/>
          </w:rPr>
          <w:t>GRANT PROGRAMS</w:t>
        </w:r>
        <w:r w:rsidR="00FA02F5">
          <w:rPr>
            <w:noProof/>
            <w:webHidden/>
          </w:rPr>
          <w:tab/>
        </w:r>
        <w:r w:rsidR="00FA02F5">
          <w:rPr>
            <w:noProof/>
            <w:webHidden/>
          </w:rPr>
          <w:fldChar w:fldCharType="begin"/>
        </w:r>
        <w:r w:rsidR="00FA02F5">
          <w:rPr>
            <w:noProof/>
            <w:webHidden/>
          </w:rPr>
          <w:instrText xml:space="preserve"> PAGEREF _Toc430464426 \h </w:instrText>
        </w:r>
        <w:r w:rsidR="00FA02F5">
          <w:rPr>
            <w:noProof/>
            <w:webHidden/>
          </w:rPr>
        </w:r>
        <w:r w:rsidR="00FA02F5">
          <w:rPr>
            <w:noProof/>
            <w:webHidden/>
          </w:rPr>
          <w:fldChar w:fldCharType="separate"/>
        </w:r>
        <w:r>
          <w:rPr>
            <w:noProof/>
            <w:webHidden/>
          </w:rPr>
          <w:t>19</w:t>
        </w:r>
        <w:r w:rsidR="00FA02F5">
          <w:rPr>
            <w:noProof/>
            <w:webHidden/>
          </w:rPr>
          <w:fldChar w:fldCharType="end"/>
        </w:r>
      </w:hyperlink>
    </w:p>
    <w:p w:rsidR="00FA02F5" w:rsidRDefault="004E664C">
      <w:pPr>
        <w:pStyle w:val="TOC2"/>
        <w:rPr>
          <w:rFonts w:asciiTheme="minorHAnsi" w:eastAsiaTheme="minorEastAsia" w:hAnsiTheme="minorHAnsi"/>
          <w:color w:val="auto"/>
          <w:sz w:val="22"/>
          <w:lang w:eastAsia="en-AU"/>
        </w:rPr>
      </w:pPr>
      <w:hyperlink w:anchor="_Toc430464427" w:history="1">
        <w:r w:rsidR="00FA02F5" w:rsidRPr="00404035">
          <w:rPr>
            <w:rStyle w:val="Hyperlink"/>
          </w:rPr>
          <w:t>5.3.</w:t>
        </w:r>
        <w:r w:rsidR="00FA02F5">
          <w:rPr>
            <w:rFonts w:asciiTheme="minorHAnsi" w:eastAsiaTheme="minorEastAsia" w:hAnsiTheme="minorHAnsi"/>
            <w:color w:val="auto"/>
            <w:sz w:val="22"/>
            <w:lang w:eastAsia="en-AU"/>
          </w:rPr>
          <w:tab/>
        </w:r>
        <w:r w:rsidR="00FA02F5" w:rsidRPr="00404035">
          <w:rPr>
            <w:rStyle w:val="Hyperlink"/>
          </w:rPr>
          <w:t>MANAGEMENT OF HUMAN RESOURCES</w:t>
        </w:r>
        <w:r w:rsidR="00FA02F5">
          <w:rPr>
            <w:webHidden/>
          </w:rPr>
          <w:tab/>
        </w:r>
        <w:r w:rsidR="00FA02F5">
          <w:rPr>
            <w:webHidden/>
          </w:rPr>
          <w:fldChar w:fldCharType="begin"/>
        </w:r>
        <w:r w:rsidR="00FA02F5">
          <w:rPr>
            <w:webHidden/>
          </w:rPr>
          <w:instrText xml:space="preserve"> PAGEREF _Toc430464427 \h </w:instrText>
        </w:r>
        <w:r w:rsidR="00FA02F5">
          <w:rPr>
            <w:webHidden/>
          </w:rPr>
        </w:r>
        <w:r w:rsidR="00FA02F5">
          <w:rPr>
            <w:webHidden/>
          </w:rPr>
          <w:fldChar w:fldCharType="separate"/>
        </w:r>
        <w:r>
          <w:rPr>
            <w:webHidden/>
          </w:rPr>
          <w:t>19</w:t>
        </w:r>
        <w:r w:rsidR="00FA02F5">
          <w:rPr>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8" w:history="1">
        <w:r w:rsidR="00FA02F5" w:rsidRPr="00404035">
          <w:rPr>
            <w:rStyle w:val="Hyperlink"/>
            <w:noProof/>
          </w:rPr>
          <w:t>5.3.1.</w:t>
        </w:r>
        <w:r w:rsidR="00FA02F5">
          <w:rPr>
            <w:rFonts w:asciiTheme="minorHAnsi" w:eastAsiaTheme="minorEastAsia" w:hAnsiTheme="minorHAnsi"/>
            <w:noProof/>
            <w:color w:val="auto"/>
            <w:sz w:val="22"/>
            <w:lang w:eastAsia="en-AU"/>
          </w:rPr>
          <w:tab/>
        </w:r>
        <w:r w:rsidR="00FA02F5" w:rsidRPr="00404035">
          <w:rPr>
            <w:rStyle w:val="Hyperlink"/>
            <w:noProof/>
          </w:rPr>
          <w:t>STAFFING STATISTICS</w:t>
        </w:r>
        <w:r w:rsidR="00FA02F5">
          <w:rPr>
            <w:noProof/>
            <w:webHidden/>
          </w:rPr>
          <w:tab/>
        </w:r>
        <w:r w:rsidR="00FA02F5">
          <w:rPr>
            <w:noProof/>
            <w:webHidden/>
          </w:rPr>
          <w:fldChar w:fldCharType="begin"/>
        </w:r>
        <w:r w:rsidR="00FA02F5">
          <w:rPr>
            <w:noProof/>
            <w:webHidden/>
          </w:rPr>
          <w:instrText xml:space="preserve"> PAGEREF _Toc430464428 \h </w:instrText>
        </w:r>
        <w:r w:rsidR="00FA02F5">
          <w:rPr>
            <w:noProof/>
            <w:webHidden/>
          </w:rPr>
        </w:r>
        <w:r w:rsidR="00FA02F5">
          <w:rPr>
            <w:noProof/>
            <w:webHidden/>
          </w:rPr>
          <w:fldChar w:fldCharType="separate"/>
        </w:r>
        <w:r>
          <w:rPr>
            <w:noProof/>
            <w:webHidden/>
          </w:rPr>
          <w:t>20</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29" w:history="1">
        <w:r w:rsidR="00FA02F5" w:rsidRPr="00404035">
          <w:rPr>
            <w:rStyle w:val="Hyperlink"/>
            <w:noProof/>
          </w:rPr>
          <w:t>5.3.2.</w:t>
        </w:r>
        <w:r w:rsidR="00FA02F5">
          <w:rPr>
            <w:rFonts w:asciiTheme="minorHAnsi" w:eastAsiaTheme="minorEastAsia" w:hAnsiTheme="minorHAnsi"/>
            <w:noProof/>
            <w:color w:val="auto"/>
            <w:sz w:val="22"/>
            <w:lang w:eastAsia="en-AU"/>
          </w:rPr>
          <w:tab/>
        </w:r>
        <w:r w:rsidR="00FA02F5" w:rsidRPr="00404035">
          <w:rPr>
            <w:rStyle w:val="Hyperlink"/>
            <w:noProof/>
          </w:rPr>
          <w:t>REMUNERATION FOR CEO AND SENIOR EXECUTIVE SERVICE</w:t>
        </w:r>
        <w:r w:rsidR="00FA02F5">
          <w:rPr>
            <w:noProof/>
            <w:webHidden/>
          </w:rPr>
          <w:tab/>
        </w:r>
        <w:r w:rsidR="00FA02F5">
          <w:rPr>
            <w:noProof/>
            <w:webHidden/>
          </w:rPr>
          <w:fldChar w:fldCharType="begin"/>
        </w:r>
        <w:r w:rsidR="00FA02F5">
          <w:rPr>
            <w:noProof/>
            <w:webHidden/>
          </w:rPr>
          <w:instrText xml:space="preserve"> PAGEREF _Toc430464429 \h </w:instrText>
        </w:r>
        <w:r w:rsidR="00FA02F5">
          <w:rPr>
            <w:noProof/>
            <w:webHidden/>
          </w:rPr>
        </w:r>
        <w:r w:rsidR="00FA02F5">
          <w:rPr>
            <w:noProof/>
            <w:webHidden/>
          </w:rPr>
          <w:fldChar w:fldCharType="separate"/>
        </w:r>
        <w:r>
          <w:rPr>
            <w:noProof/>
            <w:webHidden/>
          </w:rPr>
          <w:t>20</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0" w:history="1">
        <w:r w:rsidR="00FA02F5" w:rsidRPr="00404035">
          <w:rPr>
            <w:rStyle w:val="Hyperlink"/>
            <w:noProof/>
          </w:rPr>
          <w:t>5.3.3.</w:t>
        </w:r>
        <w:r w:rsidR="00FA02F5">
          <w:rPr>
            <w:rFonts w:asciiTheme="minorHAnsi" w:eastAsiaTheme="minorEastAsia" w:hAnsiTheme="minorHAnsi"/>
            <w:noProof/>
            <w:color w:val="auto"/>
            <w:sz w:val="22"/>
            <w:lang w:eastAsia="en-AU"/>
          </w:rPr>
          <w:tab/>
        </w:r>
        <w:r w:rsidR="00FA02F5" w:rsidRPr="00404035">
          <w:rPr>
            <w:rStyle w:val="Hyperlink"/>
            <w:noProof/>
          </w:rPr>
          <w:t>REMUNERATION FOR AUTHORITY CHAIR AND MEMBERS</w:t>
        </w:r>
        <w:r w:rsidR="00FA02F5">
          <w:rPr>
            <w:noProof/>
            <w:webHidden/>
          </w:rPr>
          <w:tab/>
        </w:r>
        <w:r w:rsidR="00FA02F5">
          <w:rPr>
            <w:noProof/>
            <w:webHidden/>
          </w:rPr>
          <w:fldChar w:fldCharType="begin"/>
        </w:r>
        <w:r w:rsidR="00FA02F5">
          <w:rPr>
            <w:noProof/>
            <w:webHidden/>
          </w:rPr>
          <w:instrText xml:space="preserve"> PAGEREF _Toc430464430 \h </w:instrText>
        </w:r>
        <w:r w:rsidR="00FA02F5">
          <w:rPr>
            <w:noProof/>
            <w:webHidden/>
          </w:rPr>
        </w:r>
        <w:r w:rsidR="00FA02F5">
          <w:rPr>
            <w:noProof/>
            <w:webHidden/>
          </w:rPr>
          <w:fldChar w:fldCharType="separate"/>
        </w:r>
        <w:r>
          <w:rPr>
            <w:noProof/>
            <w:webHidden/>
          </w:rPr>
          <w:t>21</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1" w:history="1">
        <w:r w:rsidR="00FA02F5" w:rsidRPr="00404035">
          <w:rPr>
            <w:rStyle w:val="Hyperlink"/>
            <w:noProof/>
          </w:rPr>
          <w:t>5.3.4.</w:t>
        </w:r>
        <w:r w:rsidR="00FA02F5">
          <w:rPr>
            <w:rFonts w:asciiTheme="minorHAnsi" w:eastAsiaTheme="minorEastAsia" w:hAnsiTheme="minorHAnsi"/>
            <w:noProof/>
            <w:color w:val="auto"/>
            <w:sz w:val="22"/>
            <w:lang w:eastAsia="en-AU"/>
          </w:rPr>
          <w:tab/>
        </w:r>
        <w:r w:rsidR="00FA02F5" w:rsidRPr="00404035">
          <w:rPr>
            <w:rStyle w:val="Hyperlink"/>
            <w:noProof/>
          </w:rPr>
          <w:t>EMPLOYMENT ARRANGEMENTS</w:t>
        </w:r>
        <w:r w:rsidR="00FA02F5">
          <w:rPr>
            <w:noProof/>
            <w:webHidden/>
          </w:rPr>
          <w:tab/>
        </w:r>
        <w:r w:rsidR="00FA02F5">
          <w:rPr>
            <w:noProof/>
            <w:webHidden/>
          </w:rPr>
          <w:fldChar w:fldCharType="begin"/>
        </w:r>
        <w:r w:rsidR="00FA02F5">
          <w:rPr>
            <w:noProof/>
            <w:webHidden/>
          </w:rPr>
          <w:instrText xml:space="preserve"> PAGEREF _Toc430464431 \h </w:instrText>
        </w:r>
        <w:r w:rsidR="00FA02F5">
          <w:rPr>
            <w:noProof/>
            <w:webHidden/>
          </w:rPr>
        </w:r>
        <w:r w:rsidR="00FA02F5">
          <w:rPr>
            <w:noProof/>
            <w:webHidden/>
          </w:rPr>
          <w:fldChar w:fldCharType="separate"/>
        </w:r>
        <w:r>
          <w:rPr>
            <w:noProof/>
            <w:webHidden/>
          </w:rPr>
          <w:t>21</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2" w:history="1">
        <w:r w:rsidR="00FA02F5" w:rsidRPr="00404035">
          <w:rPr>
            <w:rStyle w:val="Hyperlink"/>
            <w:noProof/>
          </w:rPr>
          <w:t>5.3.5.</w:t>
        </w:r>
        <w:r w:rsidR="00FA02F5">
          <w:rPr>
            <w:rFonts w:asciiTheme="minorHAnsi" w:eastAsiaTheme="minorEastAsia" w:hAnsiTheme="minorHAnsi"/>
            <w:noProof/>
            <w:color w:val="auto"/>
            <w:sz w:val="22"/>
            <w:lang w:eastAsia="en-AU"/>
          </w:rPr>
          <w:tab/>
        </w:r>
        <w:r w:rsidR="00FA02F5" w:rsidRPr="00404035">
          <w:rPr>
            <w:rStyle w:val="Hyperlink"/>
            <w:noProof/>
          </w:rPr>
          <w:t>CONSULTATIVE ARRANGEMENTS</w:t>
        </w:r>
        <w:r w:rsidR="00FA02F5">
          <w:rPr>
            <w:noProof/>
            <w:webHidden/>
          </w:rPr>
          <w:tab/>
        </w:r>
        <w:r w:rsidR="00FA02F5">
          <w:rPr>
            <w:noProof/>
            <w:webHidden/>
          </w:rPr>
          <w:fldChar w:fldCharType="begin"/>
        </w:r>
        <w:r w:rsidR="00FA02F5">
          <w:rPr>
            <w:noProof/>
            <w:webHidden/>
          </w:rPr>
          <w:instrText xml:space="preserve"> PAGEREF _Toc430464432 \h </w:instrText>
        </w:r>
        <w:r w:rsidR="00FA02F5">
          <w:rPr>
            <w:noProof/>
            <w:webHidden/>
          </w:rPr>
        </w:r>
        <w:r w:rsidR="00FA02F5">
          <w:rPr>
            <w:noProof/>
            <w:webHidden/>
          </w:rPr>
          <w:fldChar w:fldCharType="separate"/>
        </w:r>
        <w:r>
          <w:rPr>
            <w:noProof/>
            <w:webHidden/>
          </w:rPr>
          <w:t>21</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3" w:history="1">
        <w:r w:rsidR="00FA02F5" w:rsidRPr="00404035">
          <w:rPr>
            <w:rStyle w:val="Hyperlink"/>
            <w:noProof/>
          </w:rPr>
          <w:t>5.3.6.</w:t>
        </w:r>
        <w:r w:rsidR="00FA02F5">
          <w:rPr>
            <w:rFonts w:asciiTheme="minorHAnsi" w:eastAsiaTheme="minorEastAsia" w:hAnsiTheme="minorHAnsi"/>
            <w:noProof/>
            <w:color w:val="auto"/>
            <w:sz w:val="22"/>
            <w:lang w:eastAsia="en-AU"/>
          </w:rPr>
          <w:tab/>
        </w:r>
        <w:r w:rsidR="00FA02F5" w:rsidRPr="00404035">
          <w:rPr>
            <w:rStyle w:val="Hyperlink"/>
            <w:noProof/>
          </w:rPr>
          <w:t>PERFORMANCE MANAGEMENT</w:t>
        </w:r>
        <w:r w:rsidR="00FA02F5">
          <w:rPr>
            <w:noProof/>
            <w:webHidden/>
          </w:rPr>
          <w:tab/>
        </w:r>
        <w:r w:rsidR="00FA02F5">
          <w:rPr>
            <w:noProof/>
            <w:webHidden/>
          </w:rPr>
          <w:fldChar w:fldCharType="begin"/>
        </w:r>
        <w:r w:rsidR="00FA02F5">
          <w:rPr>
            <w:noProof/>
            <w:webHidden/>
          </w:rPr>
          <w:instrText xml:space="preserve"> PAGEREF _Toc430464433 \h </w:instrText>
        </w:r>
        <w:r w:rsidR="00FA02F5">
          <w:rPr>
            <w:noProof/>
            <w:webHidden/>
          </w:rPr>
        </w:r>
        <w:r w:rsidR="00FA02F5">
          <w:rPr>
            <w:noProof/>
            <w:webHidden/>
          </w:rPr>
          <w:fldChar w:fldCharType="separate"/>
        </w:r>
        <w:r>
          <w:rPr>
            <w:noProof/>
            <w:webHidden/>
          </w:rPr>
          <w:t>22</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4" w:history="1">
        <w:r w:rsidR="00FA02F5" w:rsidRPr="00404035">
          <w:rPr>
            <w:rStyle w:val="Hyperlink"/>
            <w:noProof/>
          </w:rPr>
          <w:t>5.3.7.</w:t>
        </w:r>
        <w:r w:rsidR="00FA02F5">
          <w:rPr>
            <w:rFonts w:asciiTheme="minorHAnsi" w:eastAsiaTheme="minorEastAsia" w:hAnsiTheme="minorHAnsi"/>
            <w:noProof/>
            <w:color w:val="auto"/>
            <w:sz w:val="22"/>
            <w:lang w:eastAsia="en-AU"/>
          </w:rPr>
          <w:tab/>
        </w:r>
        <w:r w:rsidR="00FA02F5" w:rsidRPr="00404035">
          <w:rPr>
            <w:rStyle w:val="Hyperlink"/>
            <w:noProof/>
          </w:rPr>
          <w:t>LEARNING AND DEVELOPMENT</w:t>
        </w:r>
        <w:r w:rsidR="00FA02F5">
          <w:rPr>
            <w:noProof/>
            <w:webHidden/>
          </w:rPr>
          <w:tab/>
        </w:r>
        <w:r w:rsidR="00FA02F5">
          <w:rPr>
            <w:noProof/>
            <w:webHidden/>
          </w:rPr>
          <w:fldChar w:fldCharType="begin"/>
        </w:r>
        <w:r w:rsidR="00FA02F5">
          <w:rPr>
            <w:noProof/>
            <w:webHidden/>
          </w:rPr>
          <w:instrText xml:space="preserve"> PAGEREF _Toc430464434 \h </w:instrText>
        </w:r>
        <w:r w:rsidR="00FA02F5">
          <w:rPr>
            <w:noProof/>
            <w:webHidden/>
          </w:rPr>
        </w:r>
        <w:r w:rsidR="00FA02F5">
          <w:rPr>
            <w:noProof/>
            <w:webHidden/>
          </w:rPr>
          <w:fldChar w:fldCharType="separate"/>
        </w:r>
        <w:r>
          <w:rPr>
            <w:noProof/>
            <w:webHidden/>
          </w:rPr>
          <w:t>22</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5" w:history="1">
        <w:r w:rsidR="00FA02F5" w:rsidRPr="00404035">
          <w:rPr>
            <w:rStyle w:val="Hyperlink"/>
            <w:noProof/>
          </w:rPr>
          <w:t>5.3.8.</w:t>
        </w:r>
        <w:r w:rsidR="00FA02F5">
          <w:rPr>
            <w:rFonts w:asciiTheme="minorHAnsi" w:eastAsiaTheme="minorEastAsia" w:hAnsiTheme="minorHAnsi"/>
            <w:noProof/>
            <w:color w:val="auto"/>
            <w:sz w:val="22"/>
            <w:lang w:eastAsia="en-AU"/>
          </w:rPr>
          <w:tab/>
        </w:r>
        <w:r w:rsidR="00FA02F5" w:rsidRPr="00404035">
          <w:rPr>
            <w:rStyle w:val="Hyperlink"/>
            <w:noProof/>
          </w:rPr>
          <w:t>WORK HEALTH AND SAFETY</w:t>
        </w:r>
        <w:r w:rsidR="00FA02F5">
          <w:rPr>
            <w:noProof/>
            <w:webHidden/>
          </w:rPr>
          <w:tab/>
        </w:r>
        <w:r w:rsidR="00FA02F5">
          <w:rPr>
            <w:noProof/>
            <w:webHidden/>
          </w:rPr>
          <w:fldChar w:fldCharType="begin"/>
        </w:r>
        <w:r w:rsidR="00FA02F5">
          <w:rPr>
            <w:noProof/>
            <w:webHidden/>
          </w:rPr>
          <w:instrText xml:space="preserve"> PAGEREF _Toc430464435 \h </w:instrText>
        </w:r>
        <w:r w:rsidR="00FA02F5">
          <w:rPr>
            <w:noProof/>
            <w:webHidden/>
          </w:rPr>
        </w:r>
        <w:r w:rsidR="00FA02F5">
          <w:rPr>
            <w:noProof/>
            <w:webHidden/>
          </w:rPr>
          <w:fldChar w:fldCharType="separate"/>
        </w:r>
        <w:r>
          <w:rPr>
            <w:noProof/>
            <w:webHidden/>
          </w:rPr>
          <w:t>22</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6" w:history="1">
        <w:r w:rsidR="00FA02F5" w:rsidRPr="00404035">
          <w:rPr>
            <w:rStyle w:val="Hyperlink"/>
            <w:noProof/>
          </w:rPr>
          <w:t>5.3.9.</w:t>
        </w:r>
        <w:r w:rsidR="00FA02F5">
          <w:rPr>
            <w:rFonts w:asciiTheme="minorHAnsi" w:eastAsiaTheme="minorEastAsia" w:hAnsiTheme="minorHAnsi"/>
            <w:noProof/>
            <w:color w:val="auto"/>
            <w:sz w:val="22"/>
            <w:lang w:eastAsia="en-AU"/>
          </w:rPr>
          <w:tab/>
        </w:r>
        <w:r w:rsidR="00FA02F5" w:rsidRPr="00404035">
          <w:rPr>
            <w:rStyle w:val="Hyperlink"/>
            <w:noProof/>
          </w:rPr>
          <w:t>EMPLOYEE ASSISTANCE PROGRAM</w:t>
        </w:r>
        <w:r w:rsidR="00FA02F5">
          <w:rPr>
            <w:noProof/>
            <w:webHidden/>
          </w:rPr>
          <w:tab/>
        </w:r>
        <w:r w:rsidR="00FA02F5">
          <w:rPr>
            <w:noProof/>
            <w:webHidden/>
          </w:rPr>
          <w:fldChar w:fldCharType="begin"/>
        </w:r>
        <w:r w:rsidR="00FA02F5">
          <w:rPr>
            <w:noProof/>
            <w:webHidden/>
          </w:rPr>
          <w:instrText xml:space="preserve"> PAGEREF _Toc430464436 \h </w:instrText>
        </w:r>
        <w:r w:rsidR="00FA02F5">
          <w:rPr>
            <w:noProof/>
            <w:webHidden/>
          </w:rPr>
        </w:r>
        <w:r w:rsidR="00FA02F5">
          <w:rPr>
            <w:noProof/>
            <w:webHidden/>
          </w:rPr>
          <w:fldChar w:fldCharType="separate"/>
        </w:r>
        <w:r>
          <w:rPr>
            <w:noProof/>
            <w:webHidden/>
          </w:rPr>
          <w:t>22</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7" w:history="1">
        <w:r w:rsidR="00FA02F5" w:rsidRPr="00404035">
          <w:rPr>
            <w:rStyle w:val="Hyperlink"/>
            <w:noProof/>
          </w:rPr>
          <w:t>5.3.10.</w:t>
        </w:r>
        <w:r w:rsidR="00FA02F5">
          <w:rPr>
            <w:rFonts w:asciiTheme="minorHAnsi" w:eastAsiaTheme="minorEastAsia" w:hAnsiTheme="minorHAnsi"/>
            <w:noProof/>
            <w:color w:val="auto"/>
            <w:sz w:val="22"/>
            <w:lang w:eastAsia="en-AU"/>
          </w:rPr>
          <w:tab/>
        </w:r>
        <w:r w:rsidR="00FA02F5" w:rsidRPr="00404035">
          <w:rPr>
            <w:rStyle w:val="Hyperlink"/>
            <w:noProof/>
          </w:rPr>
          <w:t>WORKPLACE DIVERSITY</w:t>
        </w:r>
        <w:r w:rsidR="00FA02F5">
          <w:rPr>
            <w:noProof/>
            <w:webHidden/>
          </w:rPr>
          <w:tab/>
        </w:r>
        <w:r w:rsidR="00FA02F5">
          <w:rPr>
            <w:noProof/>
            <w:webHidden/>
          </w:rPr>
          <w:fldChar w:fldCharType="begin"/>
        </w:r>
        <w:r w:rsidR="00FA02F5">
          <w:rPr>
            <w:noProof/>
            <w:webHidden/>
          </w:rPr>
          <w:instrText xml:space="preserve"> PAGEREF _Toc430464437 \h </w:instrText>
        </w:r>
        <w:r w:rsidR="00FA02F5">
          <w:rPr>
            <w:noProof/>
            <w:webHidden/>
          </w:rPr>
        </w:r>
        <w:r w:rsidR="00FA02F5">
          <w:rPr>
            <w:noProof/>
            <w:webHidden/>
          </w:rPr>
          <w:fldChar w:fldCharType="separate"/>
        </w:r>
        <w:r>
          <w:rPr>
            <w:noProof/>
            <w:webHidden/>
          </w:rPr>
          <w:t>23</w:t>
        </w:r>
        <w:r w:rsidR="00FA02F5">
          <w:rPr>
            <w:noProof/>
            <w:webHidden/>
          </w:rPr>
          <w:fldChar w:fldCharType="end"/>
        </w:r>
      </w:hyperlink>
    </w:p>
    <w:p w:rsidR="00FA02F5" w:rsidRDefault="004E664C">
      <w:pPr>
        <w:pStyle w:val="TOC3"/>
        <w:rPr>
          <w:rFonts w:asciiTheme="minorHAnsi" w:eastAsiaTheme="minorEastAsia" w:hAnsiTheme="minorHAnsi"/>
          <w:noProof/>
          <w:color w:val="auto"/>
          <w:sz w:val="22"/>
          <w:lang w:eastAsia="en-AU"/>
        </w:rPr>
      </w:pPr>
      <w:hyperlink w:anchor="_Toc430464438" w:history="1">
        <w:r w:rsidR="00FA02F5" w:rsidRPr="00404035">
          <w:rPr>
            <w:rStyle w:val="Hyperlink"/>
            <w:noProof/>
          </w:rPr>
          <w:t>5.3.11.</w:t>
        </w:r>
        <w:r w:rsidR="00FA02F5">
          <w:rPr>
            <w:rFonts w:asciiTheme="minorHAnsi" w:eastAsiaTheme="minorEastAsia" w:hAnsiTheme="minorHAnsi"/>
            <w:noProof/>
            <w:color w:val="auto"/>
            <w:sz w:val="22"/>
            <w:lang w:eastAsia="en-AU"/>
          </w:rPr>
          <w:tab/>
        </w:r>
        <w:r w:rsidR="00FA02F5" w:rsidRPr="00404035">
          <w:rPr>
            <w:rStyle w:val="Hyperlink"/>
            <w:noProof/>
          </w:rPr>
          <w:t>DISABILITY REPORTING</w:t>
        </w:r>
        <w:r w:rsidR="00FA02F5">
          <w:rPr>
            <w:noProof/>
            <w:webHidden/>
          </w:rPr>
          <w:tab/>
        </w:r>
        <w:r w:rsidR="00FA02F5">
          <w:rPr>
            <w:noProof/>
            <w:webHidden/>
          </w:rPr>
          <w:fldChar w:fldCharType="begin"/>
        </w:r>
        <w:r w:rsidR="00FA02F5">
          <w:rPr>
            <w:noProof/>
            <w:webHidden/>
          </w:rPr>
          <w:instrText xml:space="preserve"> PAGEREF _Toc430464438 \h </w:instrText>
        </w:r>
        <w:r w:rsidR="00FA02F5">
          <w:rPr>
            <w:noProof/>
            <w:webHidden/>
          </w:rPr>
        </w:r>
        <w:r w:rsidR="00FA02F5">
          <w:rPr>
            <w:noProof/>
            <w:webHidden/>
          </w:rPr>
          <w:fldChar w:fldCharType="separate"/>
        </w:r>
        <w:r>
          <w:rPr>
            <w:noProof/>
            <w:webHidden/>
          </w:rPr>
          <w:t>23</w:t>
        </w:r>
        <w:r w:rsidR="00FA02F5">
          <w:rPr>
            <w:noProof/>
            <w:webHidden/>
          </w:rPr>
          <w:fldChar w:fldCharType="end"/>
        </w:r>
      </w:hyperlink>
    </w:p>
    <w:p w:rsidR="00FA02F5" w:rsidRDefault="004E664C">
      <w:pPr>
        <w:pStyle w:val="TOC5"/>
        <w:rPr>
          <w:rFonts w:asciiTheme="minorHAnsi" w:eastAsiaTheme="minorEastAsia" w:hAnsiTheme="minorHAnsi"/>
          <w:b w:val="0"/>
          <w:caps w:val="0"/>
          <w:noProof/>
          <w:color w:val="auto"/>
          <w:sz w:val="22"/>
          <w:lang w:eastAsia="en-AU"/>
        </w:rPr>
      </w:pPr>
      <w:hyperlink w:anchor="_Toc430464440" w:history="1">
        <w:r w:rsidR="00FA02F5" w:rsidRPr="00404035">
          <w:rPr>
            <w:rStyle w:val="Hyperlink"/>
            <w:noProof/>
          </w:rPr>
          <w:t>GLOSSARY</w:t>
        </w:r>
        <w:r w:rsidR="00FA02F5">
          <w:rPr>
            <w:noProof/>
            <w:webHidden/>
          </w:rPr>
          <w:tab/>
        </w:r>
        <w:r w:rsidR="00FA02F5">
          <w:rPr>
            <w:noProof/>
            <w:webHidden/>
          </w:rPr>
          <w:fldChar w:fldCharType="begin"/>
        </w:r>
        <w:r w:rsidR="00FA02F5">
          <w:rPr>
            <w:noProof/>
            <w:webHidden/>
          </w:rPr>
          <w:instrText xml:space="preserve"> PAGEREF _Toc430464440 \h </w:instrText>
        </w:r>
        <w:r w:rsidR="00FA02F5">
          <w:rPr>
            <w:noProof/>
            <w:webHidden/>
          </w:rPr>
        </w:r>
        <w:r w:rsidR="00FA02F5">
          <w:rPr>
            <w:noProof/>
            <w:webHidden/>
          </w:rPr>
          <w:fldChar w:fldCharType="separate"/>
        </w:r>
        <w:r>
          <w:rPr>
            <w:noProof/>
            <w:webHidden/>
          </w:rPr>
          <w:t>29</w:t>
        </w:r>
        <w:r w:rsidR="00FA02F5">
          <w:rPr>
            <w:noProof/>
            <w:webHidden/>
          </w:rPr>
          <w:fldChar w:fldCharType="end"/>
        </w:r>
      </w:hyperlink>
    </w:p>
    <w:p w:rsidR="00FA02F5" w:rsidRDefault="004E664C">
      <w:pPr>
        <w:pStyle w:val="TOC5"/>
        <w:rPr>
          <w:rFonts w:asciiTheme="minorHAnsi" w:eastAsiaTheme="minorEastAsia" w:hAnsiTheme="minorHAnsi"/>
          <w:b w:val="0"/>
          <w:caps w:val="0"/>
          <w:noProof/>
          <w:color w:val="auto"/>
          <w:sz w:val="22"/>
          <w:lang w:eastAsia="en-AU"/>
        </w:rPr>
      </w:pPr>
      <w:hyperlink w:anchor="_Toc430464441" w:history="1">
        <w:r w:rsidR="00FA02F5" w:rsidRPr="00404035">
          <w:rPr>
            <w:rStyle w:val="Hyperlink"/>
            <w:noProof/>
          </w:rPr>
          <w:t>ABBREVIATIONS</w:t>
        </w:r>
        <w:r w:rsidR="00FA02F5">
          <w:rPr>
            <w:noProof/>
            <w:webHidden/>
          </w:rPr>
          <w:tab/>
        </w:r>
        <w:r w:rsidR="00FA02F5">
          <w:rPr>
            <w:noProof/>
            <w:webHidden/>
          </w:rPr>
          <w:fldChar w:fldCharType="begin"/>
        </w:r>
        <w:r w:rsidR="00FA02F5">
          <w:rPr>
            <w:noProof/>
            <w:webHidden/>
          </w:rPr>
          <w:instrText xml:space="preserve"> PAGEREF _Toc430464441 \h </w:instrText>
        </w:r>
        <w:r w:rsidR="00FA02F5">
          <w:rPr>
            <w:noProof/>
            <w:webHidden/>
          </w:rPr>
        </w:r>
        <w:r w:rsidR="00FA02F5">
          <w:rPr>
            <w:noProof/>
            <w:webHidden/>
          </w:rPr>
          <w:fldChar w:fldCharType="separate"/>
        </w:r>
        <w:r>
          <w:rPr>
            <w:noProof/>
            <w:webHidden/>
          </w:rPr>
          <w:t>30</w:t>
        </w:r>
        <w:r w:rsidR="00FA02F5">
          <w:rPr>
            <w:noProof/>
            <w:webHidden/>
          </w:rPr>
          <w:fldChar w:fldCharType="end"/>
        </w:r>
      </w:hyperlink>
    </w:p>
    <w:p w:rsidR="00FA02F5" w:rsidRDefault="004E664C">
      <w:pPr>
        <w:pStyle w:val="TOC5"/>
        <w:rPr>
          <w:rFonts w:asciiTheme="minorHAnsi" w:eastAsiaTheme="minorEastAsia" w:hAnsiTheme="minorHAnsi"/>
          <w:b w:val="0"/>
          <w:caps w:val="0"/>
          <w:noProof/>
          <w:color w:val="auto"/>
          <w:sz w:val="22"/>
          <w:lang w:eastAsia="en-AU"/>
        </w:rPr>
      </w:pPr>
      <w:hyperlink w:anchor="_Toc430464442" w:history="1">
        <w:r w:rsidR="00FA02F5" w:rsidRPr="00404035">
          <w:rPr>
            <w:rStyle w:val="Hyperlink"/>
            <w:noProof/>
          </w:rPr>
          <w:t>INDEX</w:t>
        </w:r>
        <w:r w:rsidR="00FA02F5">
          <w:rPr>
            <w:noProof/>
            <w:webHidden/>
          </w:rPr>
          <w:tab/>
        </w:r>
        <w:r w:rsidR="00FA02F5">
          <w:rPr>
            <w:noProof/>
            <w:webHidden/>
          </w:rPr>
          <w:fldChar w:fldCharType="begin"/>
        </w:r>
        <w:r w:rsidR="00FA02F5">
          <w:rPr>
            <w:noProof/>
            <w:webHidden/>
          </w:rPr>
          <w:instrText xml:space="preserve"> PAGEREF _Toc430464442 \h </w:instrText>
        </w:r>
        <w:r w:rsidR="00FA02F5">
          <w:rPr>
            <w:noProof/>
            <w:webHidden/>
          </w:rPr>
          <w:fldChar w:fldCharType="separate"/>
        </w:r>
        <w:r>
          <w:rPr>
            <w:b w:val="0"/>
            <w:bCs/>
            <w:noProof/>
            <w:webHidden/>
            <w:lang w:val="en-US"/>
          </w:rPr>
          <w:t>Error! Bookmark not defined.</w:t>
        </w:r>
        <w:r w:rsidR="00FA02F5">
          <w:rPr>
            <w:noProof/>
            <w:webHidden/>
          </w:rPr>
          <w:fldChar w:fldCharType="end"/>
        </w:r>
      </w:hyperlink>
    </w:p>
    <w:p w:rsidR="007A6CE7" w:rsidRDefault="002B2DB0" w:rsidP="00716FCB">
      <w:r>
        <w:rPr>
          <w:b/>
          <w:caps/>
          <w:noProof/>
        </w:rPr>
        <w:fldChar w:fldCharType="end"/>
      </w:r>
    </w:p>
    <w:p w:rsidR="008B6AC6" w:rsidRDefault="008B6AC6" w:rsidP="008B6AC6">
      <w:pPr>
        <w:pStyle w:val="NoSpacing"/>
      </w:pPr>
    </w:p>
    <w:p w:rsidR="00952268" w:rsidRDefault="00952268" w:rsidP="00C54EAA">
      <w:pPr>
        <w:pStyle w:val="TOCHeading"/>
      </w:pPr>
      <w:r>
        <w:t>Appendices</w:t>
      </w:r>
    </w:p>
    <w:p w:rsidR="00C57241" w:rsidRDefault="002B2DB0">
      <w:pPr>
        <w:pStyle w:val="TOC4"/>
        <w:rPr>
          <w:rFonts w:asciiTheme="minorHAnsi" w:eastAsiaTheme="minorEastAsia" w:hAnsiTheme="minorHAnsi"/>
          <w:color w:val="auto"/>
          <w:sz w:val="22"/>
          <w:lang w:eastAsia="en-AU"/>
        </w:rPr>
      </w:pPr>
      <w:r>
        <w:rPr>
          <w:b/>
          <w:caps/>
        </w:rPr>
        <w:fldChar w:fldCharType="begin"/>
      </w:r>
      <w:r w:rsidR="00A30B1E">
        <w:rPr>
          <w:b/>
          <w:caps/>
        </w:rPr>
        <w:instrText xml:space="preserve"> TOC \h \z \t "Appendix Heading 1,4" </w:instrText>
      </w:r>
      <w:r>
        <w:rPr>
          <w:b/>
          <w:caps/>
        </w:rPr>
        <w:fldChar w:fldCharType="separate"/>
      </w:r>
      <w:hyperlink w:anchor="_Toc398104937" w:history="1">
        <w:r w:rsidR="00C57241" w:rsidRPr="00541A7B">
          <w:rPr>
            <w:rStyle w:val="Hyperlink"/>
          </w:rPr>
          <w:t>Appendix A</w:t>
        </w:r>
        <w:r w:rsidR="00C57241">
          <w:rPr>
            <w:rFonts w:asciiTheme="minorHAnsi" w:eastAsiaTheme="minorEastAsia" w:hAnsiTheme="minorHAnsi"/>
            <w:color w:val="auto"/>
            <w:sz w:val="22"/>
            <w:lang w:eastAsia="en-AU"/>
          </w:rPr>
          <w:tab/>
        </w:r>
        <w:r w:rsidR="00C57241" w:rsidRPr="00541A7B">
          <w:rPr>
            <w:rStyle w:val="Hyperlink"/>
          </w:rPr>
          <w:t>AUDITED FINANCIAL STATEMENTS</w:t>
        </w:r>
        <w:r w:rsidR="00C57241">
          <w:rPr>
            <w:webHidden/>
          </w:rPr>
          <w:tab/>
        </w:r>
        <w:r w:rsidR="00C57241">
          <w:rPr>
            <w:webHidden/>
          </w:rPr>
          <w:fldChar w:fldCharType="begin"/>
        </w:r>
        <w:r w:rsidR="00C57241">
          <w:rPr>
            <w:webHidden/>
          </w:rPr>
          <w:instrText xml:space="preserve"> PAGEREF _Toc398104937 \h </w:instrText>
        </w:r>
        <w:r w:rsidR="00C57241">
          <w:rPr>
            <w:webHidden/>
          </w:rPr>
        </w:r>
        <w:r w:rsidR="00C57241">
          <w:rPr>
            <w:webHidden/>
          </w:rPr>
          <w:fldChar w:fldCharType="separate"/>
        </w:r>
        <w:r w:rsidR="004E664C">
          <w:rPr>
            <w:webHidden/>
          </w:rPr>
          <w:t>24</w:t>
        </w:r>
        <w:r w:rsidR="00C57241">
          <w:rPr>
            <w:webHidden/>
          </w:rPr>
          <w:fldChar w:fldCharType="end"/>
        </w:r>
      </w:hyperlink>
    </w:p>
    <w:p w:rsidR="00C57241" w:rsidRDefault="004E664C">
      <w:pPr>
        <w:pStyle w:val="TOC4"/>
        <w:rPr>
          <w:rFonts w:asciiTheme="minorHAnsi" w:eastAsiaTheme="minorEastAsia" w:hAnsiTheme="minorHAnsi"/>
          <w:color w:val="auto"/>
          <w:sz w:val="22"/>
          <w:lang w:eastAsia="en-AU"/>
        </w:rPr>
      </w:pPr>
      <w:hyperlink w:anchor="_Toc398104938" w:history="1">
        <w:r w:rsidR="00C57241" w:rsidRPr="00541A7B">
          <w:rPr>
            <w:rStyle w:val="Hyperlink"/>
          </w:rPr>
          <w:t>Appendix B</w:t>
        </w:r>
        <w:r w:rsidR="00C57241">
          <w:rPr>
            <w:rFonts w:asciiTheme="minorHAnsi" w:eastAsiaTheme="minorEastAsia" w:hAnsiTheme="minorHAnsi"/>
            <w:color w:val="auto"/>
            <w:sz w:val="22"/>
            <w:lang w:eastAsia="en-AU"/>
          </w:rPr>
          <w:tab/>
        </w:r>
        <w:r w:rsidR="00C57241" w:rsidRPr="00541A7B">
          <w:rPr>
            <w:rStyle w:val="Hyperlink"/>
          </w:rPr>
          <w:t>LIST OF REQUIREMENTS</w:t>
        </w:r>
        <w:r w:rsidR="00C57241">
          <w:rPr>
            <w:webHidden/>
          </w:rPr>
          <w:tab/>
        </w:r>
        <w:r w:rsidR="00C57241">
          <w:rPr>
            <w:webHidden/>
          </w:rPr>
          <w:fldChar w:fldCharType="begin"/>
        </w:r>
        <w:r w:rsidR="00C57241">
          <w:rPr>
            <w:webHidden/>
          </w:rPr>
          <w:instrText xml:space="preserve"> PAGEREF _Toc398104938 \h </w:instrText>
        </w:r>
        <w:r w:rsidR="00C57241">
          <w:rPr>
            <w:webHidden/>
          </w:rPr>
        </w:r>
        <w:r w:rsidR="00C57241">
          <w:rPr>
            <w:webHidden/>
          </w:rPr>
          <w:fldChar w:fldCharType="separate"/>
        </w:r>
        <w:r>
          <w:rPr>
            <w:webHidden/>
          </w:rPr>
          <w:t>25</w:t>
        </w:r>
        <w:r w:rsidR="00C57241">
          <w:rPr>
            <w:webHidden/>
          </w:rPr>
          <w:fldChar w:fldCharType="end"/>
        </w:r>
      </w:hyperlink>
    </w:p>
    <w:p w:rsidR="008B6AC6" w:rsidRDefault="002B2DB0" w:rsidP="00517C36">
      <w:r>
        <w:rPr>
          <w:b/>
          <w:caps/>
          <w:noProof/>
        </w:rPr>
        <w:fldChar w:fldCharType="end"/>
      </w:r>
    </w:p>
    <w:p w:rsidR="007A6CE7" w:rsidRDefault="007A6CE7" w:rsidP="008B47F3">
      <w:pPr>
        <w:pStyle w:val="TOCHeading"/>
      </w:pPr>
      <w:r>
        <w:t>Figures</w:t>
      </w:r>
    </w:p>
    <w:p w:rsidR="00E8559B" w:rsidRDefault="00FE3E7F" w:rsidP="00716FCB">
      <w:r>
        <w:t>Figure 1:</w:t>
      </w:r>
      <w:r>
        <w:tab/>
        <w:t xml:space="preserve">AUTHORITY ORGANISATIONAL STRUCTURE </w:t>
      </w:r>
      <w:r w:rsidR="00C6707D">
        <w:t>*</w:t>
      </w:r>
      <w:r>
        <w:t xml:space="preserve">                        15</w:t>
      </w:r>
    </w:p>
    <w:p w:rsidR="008B6AC6" w:rsidRDefault="008B6AC6" w:rsidP="008B6AC6">
      <w:pPr>
        <w:pStyle w:val="NoSpacing"/>
      </w:pPr>
    </w:p>
    <w:p w:rsidR="008B6AC6" w:rsidRDefault="008B6AC6" w:rsidP="008B6AC6">
      <w:pPr>
        <w:pStyle w:val="NoSpacing"/>
      </w:pPr>
    </w:p>
    <w:p w:rsidR="006D2AC1" w:rsidRDefault="006D2AC1" w:rsidP="006D2AC1">
      <w:pPr>
        <w:pStyle w:val="NoSpacing"/>
      </w:pPr>
    </w:p>
    <w:p w:rsidR="008B6AC6" w:rsidRDefault="008B6AC6" w:rsidP="008B6AC6"/>
    <w:p w:rsidR="001E5FDF" w:rsidRDefault="001E5FDF" w:rsidP="008B6AC6">
      <w:pPr>
        <w:sectPr w:rsidR="001E5FDF" w:rsidSect="00165111">
          <w:headerReference w:type="even" r:id="rId23"/>
          <w:headerReference w:type="default" r:id="rId24"/>
          <w:footerReference w:type="default" r:id="rId25"/>
          <w:headerReference w:type="first" r:id="rId26"/>
          <w:pgSz w:w="11907" w:h="16839" w:code="9"/>
          <w:pgMar w:top="1134" w:right="1134" w:bottom="1134" w:left="1134" w:header="720" w:footer="720" w:gutter="0"/>
          <w:pgNumType w:fmt="lowerRoman" w:start="1"/>
          <w:cols w:space="720"/>
          <w:docGrid w:linePitch="360"/>
        </w:sectPr>
      </w:pPr>
    </w:p>
    <w:p w:rsidR="0011361F" w:rsidRDefault="0011361F">
      <w:pPr>
        <w:spacing w:after="200" w:line="276" w:lineRule="auto"/>
        <w:rPr>
          <w:rFonts w:eastAsia="Times New Roman" w:cs="Arial"/>
          <w:bCs/>
          <w:caps/>
          <w:color w:val="0C9FCD"/>
          <w:sz w:val="40"/>
          <w:szCs w:val="32"/>
          <w:lang w:val="en-GB" w:eastAsia="en-AU"/>
        </w:rPr>
      </w:pPr>
      <w:r>
        <w:br w:type="page"/>
      </w:r>
    </w:p>
    <w:p w:rsidR="00D42FE0" w:rsidRPr="0023630C" w:rsidRDefault="00D42FE0" w:rsidP="0056200C">
      <w:pPr>
        <w:pStyle w:val="Heading1"/>
      </w:pPr>
      <w:bookmarkStart w:id="0" w:name="_Toc430464388"/>
      <w:r w:rsidRPr="0023630C">
        <w:lastRenderedPageBreak/>
        <w:t>MEMBERS OF THE CLIMATE CHANGE AUTHORITY</w:t>
      </w:r>
      <w:bookmarkEnd w:id="0"/>
    </w:p>
    <w:p w:rsidR="00D42FE0" w:rsidRPr="0023630C" w:rsidRDefault="00D42FE0" w:rsidP="00D42FE0">
      <w:pPr>
        <w:pStyle w:val="Image"/>
      </w:pPr>
    </w:p>
    <w:p w:rsidR="00D42FE0" w:rsidRPr="0023630C" w:rsidRDefault="00D42FE0" w:rsidP="00DD1A80">
      <w:pPr>
        <w:pStyle w:val="Heading4"/>
      </w:pPr>
      <w:r w:rsidRPr="0023630C">
        <w:t>Chair: Mr Bernie Fraser</w:t>
      </w:r>
      <w:r w:rsidR="00776374">
        <w:t xml:space="preserve"> </w:t>
      </w:r>
    </w:p>
    <w:p w:rsidR="0095506D" w:rsidRPr="0095506D" w:rsidRDefault="0095506D" w:rsidP="0095506D">
      <w:r w:rsidRPr="0095506D">
        <w:t>On 10 July 2011, the Prime Minister announced that Mr Bernie Fraser was to be the</w:t>
      </w:r>
      <w:r w:rsidR="00664D0B">
        <w:t xml:space="preserve"> first Chair of the Authority. </w:t>
      </w:r>
      <w:r w:rsidRPr="0095506D">
        <w:t>Mr Fraser has decades of experience in public economic policy</w:t>
      </w:r>
      <w:r w:rsidR="00664D0B">
        <w:t xml:space="preserve"> and business, having served as</w:t>
      </w:r>
      <w:r w:rsidRPr="0095506D">
        <w:t xml:space="preserve"> Governor of the Reserve Bank of Australia (RBA) from 1989 to 1996 and Secretary of the Treasury from 1984 to 1989. Mr Fraser was a director of two of Australia</w:t>
      </w:r>
      <w:r w:rsidR="00393862">
        <w:t>’</w:t>
      </w:r>
      <w:r w:rsidRPr="0095506D">
        <w:t xml:space="preserve">s largest superannuation funds, AustralianSuper and Cbus, for 15 </w:t>
      </w:r>
      <w:r w:rsidR="00664D0B">
        <w:t xml:space="preserve">years before retiring recently. </w:t>
      </w:r>
      <w:r w:rsidRPr="0095506D">
        <w:t>He has been Chair of ME</w:t>
      </w:r>
      <w:r w:rsidR="00664D0B">
        <w:t xml:space="preserve"> </w:t>
      </w:r>
      <w:r w:rsidRPr="0095506D">
        <w:t>Bank since its inception.</w:t>
      </w:r>
      <w:r w:rsidR="002674AF" w:rsidRPr="002674AF">
        <w:t xml:space="preserve"> </w:t>
      </w:r>
      <w:r w:rsidR="002674AF">
        <w:t xml:space="preserve">Mr Fraser </w:t>
      </w:r>
      <w:r w:rsidR="0001554E">
        <w:t xml:space="preserve">resigned </w:t>
      </w:r>
      <w:r w:rsidR="00C279FD">
        <w:t>as Authority Chair on 8</w:t>
      </w:r>
      <w:r w:rsidR="003B64E4">
        <w:t> </w:t>
      </w:r>
      <w:r w:rsidR="002674AF">
        <w:t>September</w:t>
      </w:r>
      <w:r w:rsidR="003B64E4">
        <w:t> </w:t>
      </w:r>
      <w:r w:rsidR="002674AF">
        <w:t>2015.</w:t>
      </w:r>
    </w:p>
    <w:p w:rsidR="00D42FE0" w:rsidRPr="0023630C" w:rsidRDefault="00D42FE0" w:rsidP="00D42FE0">
      <w:pPr>
        <w:pStyle w:val="Heading4"/>
      </w:pPr>
      <w:r w:rsidRPr="0023630C">
        <w:t xml:space="preserve">Ex </w:t>
      </w:r>
      <w:r w:rsidR="00510AE2">
        <w:t>o</w:t>
      </w:r>
      <w:r w:rsidRPr="0023630C">
        <w:t xml:space="preserve">fficio </w:t>
      </w:r>
      <w:r w:rsidR="00002977">
        <w:t>m</w:t>
      </w:r>
      <w:r w:rsidRPr="0023630C">
        <w:t>ember</w:t>
      </w:r>
      <w:r w:rsidR="00510AE2">
        <w:t xml:space="preserve"> and</w:t>
      </w:r>
      <w:r w:rsidRPr="0023630C">
        <w:t xml:space="preserve"> Chief Scientist</w:t>
      </w:r>
      <w:r w:rsidR="00C80B96">
        <w:t>:</w:t>
      </w:r>
      <w:r w:rsidRPr="0023630C">
        <w:t xml:space="preserve"> Professor Ian Chubb</w:t>
      </w:r>
      <w:r w:rsidR="00002977">
        <w:t>,</w:t>
      </w:r>
      <w:r w:rsidRPr="0023630C">
        <w:t xml:space="preserve"> AC</w:t>
      </w:r>
    </w:p>
    <w:p w:rsidR="00D42FE0" w:rsidRPr="0023630C" w:rsidRDefault="00D42FE0" w:rsidP="00664D0B">
      <w:pPr>
        <w:pStyle w:val="BodyText"/>
      </w:pPr>
      <w:r w:rsidRPr="0023630C">
        <w:t xml:space="preserve">The </w:t>
      </w:r>
      <w:r w:rsidR="00B15473" w:rsidRPr="00B15473">
        <w:rPr>
          <w:rStyle w:val="Textitalic"/>
        </w:rPr>
        <w:t>Climate Change Authority Act 2011</w:t>
      </w:r>
      <w:r w:rsidRPr="0023630C">
        <w:t xml:space="preserve"> appoints the Chief Scientist as an ex officio </w:t>
      </w:r>
      <w:r w:rsidR="00026469">
        <w:t>me</w:t>
      </w:r>
      <w:r w:rsidRPr="0023630C">
        <w:t>mber of the Authority. The current Chief Scientist, Professor Ian Chubb</w:t>
      </w:r>
      <w:r w:rsidR="00002977">
        <w:t>,</w:t>
      </w:r>
      <w:r w:rsidRPr="0023630C">
        <w:t xml:space="preserve"> AC, began his </w:t>
      </w:r>
      <w:r w:rsidR="00BD145D">
        <w:t>four</w:t>
      </w:r>
      <w:r w:rsidR="00BF5F5B">
        <w:t>-</w:t>
      </w:r>
      <w:r w:rsidRPr="0023630C">
        <w:t>year term on</w:t>
      </w:r>
      <w:r w:rsidR="00191E1B">
        <w:t xml:space="preserve"> 23 </w:t>
      </w:r>
      <w:r w:rsidRPr="0023630C">
        <w:t>May</w:t>
      </w:r>
      <w:r w:rsidR="00191E1B">
        <w:t> </w:t>
      </w:r>
      <w:r w:rsidRPr="0023630C">
        <w:t>2011. Professor Chubb has had a distinguished career in higher education and research</w:t>
      </w:r>
      <w:r w:rsidR="00BF5F5B">
        <w:t>,</w:t>
      </w:r>
      <w:r w:rsidRPr="0023630C">
        <w:t xml:space="preserve"> retir</w:t>
      </w:r>
      <w:r w:rsidR="00BF5F5B">
        <w:t>ing</w:t>
      </w:r>
      <w:r w:rsidRPr="0023630C">
        <w:t xml:space="preserve"> after a decade as </w:t>
      </w:r>
      <w:r w:rsidR="00D461A9">
        <w:t>V</w:t>
      </w:r>
      <w:r w:rsidRPr="0023630C">
        <w:t>ice-</w:t>
      </w:r>
      <w:r w:rsidR="00D461A9">
        <w:t>C</w:t>
      </w:r>
      <w:r w:rsidRPr="0023630C">
        <w:t>hancellor of the Australian National University</w:t>
      </w:r>
      <w:r w:rsidR="00936E65">
        <w:t xml:space="preserve"> (ANU)</w:t>
      </w:r>
      <w:r w:rsidRPr="0023630C">
        <w:t xml:space="preserve">. </w:t>
      </w:r>
      <w:r w:rsidR="00BF5F5B" w:rsidRPr="0023630C">
        <w:t>He later took on leadership roles in university administration and sector advocacy bodies.</w:t>
      </w:r>
      <w:r w:rsidR="00BF5F5B">
        <w:t xml:space="preserve"> </w:t>
      </w:r>
      <w:r w:rsidRPr="0023630C">
        <w:t>A neuroscientist by training, he has co-authored some 70 full papers and co-edited one book</w:t>
      </w:r>
      <w:r w:rsidR="00BF5F5B">
        <w:t>—</w:t>
      </w:r>
      <w:r w:rsidRPr="0023630C">
        <w:t>all related to his research. Professor Chubb has previously been named the A</w:t>
      </w:r>
      <w:r w:rsidR="00936E65">
        <w:t xml:space="preserve">ustralian </w:t>
      </w:r>
      <w:r w:rsidRPr="0023630C">
        <w:t>C</w:t>
      </w:r>
      <w:r w:rsidR="00936E65">
        <w:t xml:space="preserve">apital </w:t>
      </w:r>
      <w:r w:rsidRPr="0023630C">
        <w:t>T</w:t>
      </w:r>
      <w:r w:rsidR="00936E65">
        <w:t>erritory</w:t>
      </w:r>
      <w:r w:rsidR="00BF5F5B">
        <w:t>’</w:t>
      </w:r>
      <w:r w:rsidRPr="0023630C">
        <w:t xml:space="preserve">s </w:t>
      </w:r>
      <w:r w:rsidR="00BF5F5B">
        <w:t xml:space="preserve">nominee for </w:t>
      </w:r>
      <w:r w:rsidRPr="0023630C">
        <w:t>Australian of the Year for his contribution to higher education.</w:t>
      </w:r>
    </w:p>
    <w:p w:rsidR="00D42FE0" w:rsidRPr="0023630C" w:rsidRDefault="00D42FE0" w:rsidP="00D42FE0">
      <w:pPr>
        <w:pStyle w:val="Heading4"/>
      </w:pPr>
      <w:r w:rsidRPr="0023630C">
        <w:t>Professor Clive Hamilton</w:t>
      </w:r>
    </w:p>
    <w:p w:rsidR="00D42FE0" w:rsidRPr="0023630C" w:rsidRDefault="00D42FE0" w:rsidP="00664D0B">
      <w:pPr>
        <w:pStyle w:val="BodyText"/>
      </w:pPr>
      <w:r w:rsidRPr="0023630C">
        <w:t>Professor Hamilton holds the Vice-Chancellor</w:t>
      </w:r>
      <w:r w:rsidR="002F49DA">
        <w:t>’</w:t>
      </w:r>
      <w:r w:rsidRPr="0023630C">
        <w:t xml:space="preserve">s Chair and is Professor of Public Ethics at the Centre for Applied Philosophy and Public Ethics, Charles Sturt University. </w:t>
      </w:r>
      <w:r w:rsidR="00504BC0" w:rsidRPr="0023630C">
        <w:t xml:space="preserve">He holds an </w:t>
      </w:r>
      <w:r w:rsidR="00002977">
        <w:t>A</w:t>
      </w:r>
      <w:r w:rsidR="00504BC0" w:rsidRPr="0023630C">
        <w:t xml:space="preserve">rts degree from ANU and an </w:t>
      </w:r>
      <w:r w:rsidR="00002977">
        <w:t>E</w:t>
      </w:r>
      <w:r w:rsidR="00504BC0" w:rsidRPr="0023630C">
        <w:t>conomics degree from the University of Sydney</w:t>
      </w:r>
      <w:r w:rsidR="00504BC0">
        <w:t>,</w:t>
      </w:r>
      <w:r w:rsidR="00504BC0" w:rsidRPr="0023630C">
        <w:t xml:space="preserve"> and completed his doctorate at the Institute of Development Studies at the University of Sussex. </w:t>
      </w:r>
      <w:r w:rsidRPr="0023630C">
        <w:t>For 14 years, he was the Executive Director of The Australia Institute, a progressive think tank. Before establishing The Australia Institute, Professor Hamilton taught in the Graduate Program in the Economics of Development at ANU</w:t>
      </w:r>
      <w:r w:rsidR="00BD145D">
        <w:t xml:space="preserve">. </w:t>
      </w:r>
      <w:r w:rsidR="00504BC0">
        <w:t>He</w:t>
      </w:r>
      <w:r w:rsidRPr="0023630C">
        <w:t xml:space="preserve"> then joined the Australian Public Service, first with the Bureau of Industry Economics and </w:t>
      </w:r>
      <w:r w:rsidR="00BD145D">
        <w:t>subsequently</w:t>
      </w:r>
      <w:r w:rsidR="00936E65">
        <w:t xml:space="preserve"> </w:t>
      </w:r>
      <w:r w:rsidRPr="0023630C">
        <w:t xml:space="preserve">the Resource Assessment Commission. He also worked as a resource economist in Indonesia. Professor Hamilton has held visiting academic positions at Yale University, the University of Sydney, ANU, </w:t>
      </w:r>
      <w:r w:rsidR="00504BC0">
        <w:t xml:space="preserve">the </w:t>
      </w:r>
      <w:r w:rsidRPr="0023630C">
        <w:t>University of Cambridge and the University of Oxford. He is a member of the Royal Society</w:t>
      </w:r>
      <w:r w:rsidR="00504BC0">
        <w:t>’</w:t>
      </w:r>
      <w:r w:rsidRPr="0023630C">
        <w:t>s Solar Radiation Management Governance Initiative.</w:t>
      </w:r>
    </w:p>
    <w:p w:rsidR="00D42FE0" w:rsidRPr="0023630C" w:rsidRDefault="00D42FE0" w:rsidP="00D42FE0">
      <w:pPr>
        <w:pStyle w:val="Heading4"/>
      </w:pPr>
      <w:r w:rsidRPr="0023630C">
        <w:t>Professor David Karoly</w:t>
      </w:r>
    </w:p>
    <w:p w:rsidR="00D42FE0" w:rsidRPr="0023630C" w:rsidRDefault="00D42FE0" w:rsidP="005E7DE0">
      <w:pPr>
        <w:pStyle w:val="BodyText"/>
      </w:pPr>
      <w:r w:rsidRPr="0023630C">
        <w:t>Professor Karoly is Professor of Atmospheric Science in the University of Melbourne</w:t>
      </w:r>
      <w:r w:rsidR="00504BC0">
        <w:t>’</w:t>
      </w:r>
      <w:r w:rsidRPr="0023630C">
        <w:t>s School of Earth Sciences. His research expertise is in climate variability and climate change, including greenhouse climate change, stratospheric ozone depletion and interannual climate variations due to El Niño-Southern Oscillation. Professor Karoly was Chair of the Premier of Victoria</w:t>
      </w:r>
      <w:r w:rsidR="00504BC0">
        <w:t>’</w:t>
      </w:r>
      <w:r w:rsidRPr="0023630C">
        <w:t>s Climate Change Reference Group during 2008</w:t>
      </w:r>
      <w:r w:rsidR="00504BC0">
        <w:t>–</w:t>
      </w:r>
      <w:r w:rsidRPr="0023630C">
        <w:t xml:space="preserve">09 and a member of the </w:t>
      </w:r>
      <w:r w:rsidR="00002977">
        <w:t>Commonwealth</w:t>
      </w:r>
      <w:r w:rsidR="00002977" w:rsidRPr="0023630C">
        <w:t xml:space="preserve"> </w:t>
      </w:r>
      <w:r w:rsidRPr="0023630C">
        <w:t>Government</w:t>
      </w:r>
      <w:r w:rsidR="00504BC0">
        <w:t>’</w:t>
      </w:r>
      <w:r w:rsidRPr="0023630C">
        <w:t xml:space="preserve">s High Level </w:t>
      </w:r>
      <w:r w:rsidRPr="0023630C">
        <w:lastRenderedPageBreak/>
        <w:t>Coordinating Group on Climate Change Science during 2009</w:t>
      </w:r>
      <w:r w:rsidR="00504BC0">
        <w:t>–</w:t>
      </w:r>
      <w:r w:rsidRPr="0023630C">
        <w:t>11. Professor Karoly is also a member of the Wentworth Group of Concerned Scientists.</w:t>
      </w:r>
    </w:p>
    <w:p w:rsidR="00D42FE0" w:rsidRPr="0023630C" w:rsidRDefault="00D42FE0" w:rsidP="00D42FE0">
      <w:pPr>
        <w:pStyle w:val="Heading4"/>
      </w:pPr>
      <w:r w:rsidRPr="0023630C">
        <w:t>Professor John Quiggin</w:t>
      </w:r>
    </w:p>
    <w:p w:rsidR="00D42FE0" w:rsidRPr="0019531C" w:rsidRDefault="00D42FE0" w:rsidP="00D42FE0">
      <w:pPr>
        <w:pStyle w:val="BodyText"/>
        <w:rPr>
          <w:rStyle w:val="Textbold"/>
        </w:rPr>
      </w:pPr>
      <w:r w:rsidRPr="0023630C">
        <w:t xml:space="preserve">Professor Quiggin is an Australian Laureate Fellow at the University of Queensland. He </w:t>
      </w:r>
      <w:r w:rsidR="00504BC0">
        <w:t xml:space="preserve">has </w:t>
      </w:r>
      <w:r w:rsidR="001D7163">
        <w:t>B</w:t>
      </w:r>
      <w:r w:rsidR="00191E1B">
        <w:t>achelor degrees in A</w:t>
      </w:r>
      <w:r w:rsidRPr="0023630C">
        <w:t xml:space="preserve">rts and Economics and a </w:t>
      </w:r>
      <w:r w:rsidR="00504BC0">
        <w:t>M</w:t>
      </w:r>
      <w:r w:rsidRPr="0023630C">
        <w:t xml:space="preserve">asters </w:t>
      </w:r>
      <w:r w:rsidR="002C350C">
        <w:t>of</w:t>
      </w:r>
      <w:r w:rsidRPr="0023630C">
        <w:t xml:space="preserve"> Economics, and was awarded his PhD from the University of New England in 1988. He has held academic positions at </w:t>
      </w:r>
      <w:r w:rsidR="00936E65">
        <w:t>ANU</w:t>
      </w:r>
      <w:r w:rsidRPr="0023630C">
        <w:t>, James Cook University, the University of Maryland, the University of Sydney, Johns Hopkins University and the University of Queensland</w:t>
      </w:r>
      <w:r w:rsidR="00504BC0">
        <w:t>,</w:t>
      </w:r>
      <w:r w:rsidRPr="0023630C">
        <w:t xml:space="preserve"> and was a board member of the Queensland Competition Authority. Professor Quiggin is among the top 500 economists in the world according to IDEAS/Respect and is best known for his work on utility theory. </w:t>
      </w:r>
      <w:r w:rsidR="009F45FB">
        <w:t>He</w:t>
      </w:r>
      <w:r w:rsidRPr="0023630C">
        <w:t xml:space="preserve"> has frequently been recognised for his research, including twice receiving Federation Fellowships from the Australian Research Council. His most recent book,</w:t>
      </w:r>
      <w:r w:rsidR="009F45FB">
        <w:t xml:space="preserve"> </w:t>
      </w:r>
      <w:r w:rsidRPr="005E7DE0">
        <w:rPr>
          <w:i/>
        </w:rPr>
        <w:t>Zombie Economics: How Dead Ideas Still Walk among Us</w:t>
      </w:r>
      <w:r w:rsidRPr="0023630C">
        <w:t xml:space="preserve">, was published in October 2010 </w:t>
      </w:r>
      <w:r w:rsidR="009F45FB">
        <w:t>by</w:t>
      </w:r>
      <w:r w:rsidR="009F45FB" w:rsidRPr="0023630C">
        <w:t xml:space="preserve"> </w:t>
      </w:r>
      <w:r w:rsidRPr="0023630C">
        <w:t>Princeton University Press. Professor Quiggin is a Fellow of the Econometric Society and in 2011 received the Distinguished Fellow Award of the Economic Society of Australia.</w:t>
      </w:r>
    </w:p>
    <w:p w:rsidR="00EA64DA" w:rsidRDefault="009D77B4" w:rsidP="009D77B4">
      <w:pPr>
        <w:pStyle w:val="Heading1"/>
      </w:pPr>
      <w:bookmarkStart w:id="1" w:name="_Toc430464389"/>
      <w:r>
        <w:lastRenderedPageBreak/>
        <w:t>C</w:t>
      </w:r>
      <w:r w:rsidR="00693161">
        <w:t xml:space="preserve">hief </w:t>
      </w:r>
      <w:r>
        <w:t>E</w:t>
      </w:r>
      <w:r w:rsidR="00693161">
        <w:t xml:space="preserve">xecutive </w:t>
      </w:r>
      <w:r>
        <w:t>O</w:t>
      </w:r>
      <w:r w:rsidR="00693161">
        <w:t>fficer</w:t>
      </w:r>
      <w:r w:rsidR="0091186D">
        <w:t>’</w:t>
      </w:r>
      <w:r w:rsidR="00693161">
        <w:t>s REVIEW</w:t>
      </w:r>
      <w:bookmarkEnd w:id="1"/>
    </w:p>
    <w:p w:rsidR="009E7617" w:rsidRDefault="009E7617" w:rsidP="00D42FE0">
      <w:pPr>
        <w:pStyle w:val="Image"/>
      </w:pPr>
    </w:p>
    <w:p w:rsidR="00F968B1" w:rsidRDefault="00F968B1" w:rsidP="00013AF8">
      <w:pPr>
        <w:pStyle w:val="BodyText"/>
      </w:pPr>
      <w:r w:rsidRPr="00D03FA7">
        <w:t>I am pleased to present the Climate Change Authority</w:t>
      </w:r>
      <w:r>
        <w:t>’</w:t>
      </w:r>
      <w:r w:rsidRPr="00D03FA7">
        <w:t xml:space="preserve">s </w:t>
      </w:r>
      <w:r>
        <w:t xml:space="preserve">third </w:t>
      </w:r>
      <w:r w:rsidRPr="00D03FA7">
        <w:t xml:space="preserve">annual report, for the financial year </w:t>
      </w:r>
      <w:r w:rsidR="00D40978">
        <w:t xml:space="preserve">  </w:t>
      </w:r>
      <w:r w:rsidRPr="00D03FA7">
        <w:t>201</w:t>
      </w:r>
      <w:r w:rsidR="00FA26F1">
        <w:t>4</w:t>
      </w:r>
      <w:r w:rsidR="00F9031B">
        <w:t>–</w:t>
      </w:r>
      <w:r w:rsidR="00FA26F1">
        <w:t>1</w:t>
      </w:r>
      <w:r>
        <w:t>5</w:t>
      </w:r>
      <w:r w:rsidRPr="00D03FA7">
        <w:t>.</w:t>
      </w:r>
      <w:r>
        <w:t xml:space="preserve">  </w:t>
      </w:r>
    </w:p>
    <w:p w:rsidR="00601F3B" w:rsidRDefault="00776374" w:rsidP="00D40978">
      <w:pPr>
        <w:pStyle w:val="BodyText"/>
        <w:rPr>
          <w:lang w:eastAsia="en-AU"/>
        </w:rPr>
      </w:pPr>
      <w:r w:rsidRPr="00C5693D">
        <w:rPr>
          <w:lang w:eastAsia="en-AU"/>
        </w:rPr>
        <w:t xml:space="preserve">This is the Authority’s third year of operation and it has achieved a significant amount in that time, including: </w:t>
      </w:r>
    </w:p>
    <w:p w:rsidR="00776374" w:rsidRPr="00FA26F1" w:rsidRDefault="00F9031B" w:rsidP="00FA26F1">
      <w:pPr>
        <w:pStyle w:val="ListBullet"/>
      </w:pPr>
      <w:r>
        <w:t xml:space="preserve">publishing </w:t>
      </w:r>
      <w:r w:rsidR="00776374" w:rsidRPr="00FA26F1">
        <w:t>the first report of the special review on climate action</w:t>
      </w:r>
      <w:r>
        <w:t>, which</w:t>
      </w:r>
      <w:r w:rsidR="00776374" w:rsidRPr="00FA26F1">
        <w:t xml:space="preserve"> recommended future emissions reduction ta</w:t>
      </w:r>
      <w:r w:rsidR="00191E1B">
        <w:t>rgets for Australia (July 2015)</w:t>
      </w:r>
    </w:p>
    <w:p w:rsidR="00776374" w:rsidRPr="00FA26F1" w:rsidRDefault="00F9031B" w:rsidP="00FA26F1">
      <w:pPr>
        <w:pStyle w:val="ListBullet"/>
      </w:pPr>
      <w:r>
        <w:t xml:space="preserve">undertaking </w:t>
      </w:r>
      <w:r w:rsidR="00776374" w:rsidRPr="00FA26F1">
        <w:t xml:space="preserve">reviews of the Renewable Energy </w:t>
      </w:r>
      <w:r w:rsidRPr="00FA26F1">
        <w:t>Target</w:t>
      </w:r>
      <w:r>
        <w:t xml:space="preserve"> (RET) </w:t>
      </w:r>
      <w:r w:rsidR="00776374" w:rsidRPr="00FA26F1">
        <w:t xml:space="preserve">and Carbon Farming Initiative </w:t>
      </w:r>
      <w:r>
        <w:t xml:space="preserve">(CFI) </w:t>
      </w:r>
      <w:r w:rsidR="00776374" w:rsidRPr="00FA26F1">
        <w:t>(December 2014).</w:t>
      </w:r>
    </w:p>
    <w:p w:rsidR="00776374" w:rsidRPr="00C5693D" w:rsidRDefault="00776374" w:rsidP="00D40978">
      <w:pPr>
        <w:pStyle w:val="BodyText"/>
        <w:rPr>
          <w:lang w:eastAsia="en-AU"/>
        </w:rPr>
      </w:pPr>
      <w:r w:rsidRPr="00C5693D">
        <w:rPr>
          <w:lang w:eastAsia="en-AU"/>
        </w:rPr>
        <w:t>In all of its work, the Authority seeks to embody its core principles and values of independence, broad stakeholder engagement, excellence in research and analysis, transparency, good governance and accountability, and high-quality staff development</w:t>
      </w:r>
      <w:r w:rsidR="00F9031B">
        <w:rPr>
          <w:lang w:eastAsia="en-AU"/>
        </w:rPr>
        <w:t>.</w:t>
      </w:r>
    </w:p>
    <w:p w:rsidR="00776374" w:rsidRPr="00C5693D" w:rsidRDefault="00776374" w:rsidP="00776374">
      <w:pPr>
        <w:rPr>
          <w:lang w:val="en-GB"/>
        </w:rPr>
      </w:pPr>
      <w:r w:rsidRPr="00C5693D">
        <w:rPr>
          <w:lang w:val="en-GB"/>
        </w:rPr>
        <w:t>The environment in which the Authority is operating has shifted significantly since its establishment in 2012 and continues to change.</w:t>
      </w:r>
    </w:p>
    <w:p w:rsidR="00776374" w:rsidRPr="00C5693D" w:rsidRDefault="00776374" w:rsidP="00776374">
      <w:pPr>
        <w:rPr>
          <w:lang w:val="en-GB"/>
        </w:rPr>
      </w:pPr>
      <w:r w:rsidRPr="00C5693D">
        <w:rPr>
          <w:lang w:val="en-GB"/>
        </w:rPr>
        <w:t xml:space="preserve">The Authority is funded until the </w:t>
      </w:r>
      <w:r>
        <w:rPr>
          <w:lang w:val="en-GB"/>
        </w:rPr>
        <w:t xml:space="preserve">end of the 2016 calendar year. </w:t>
      </w:r>
      <w:r w:rsidRPr="00C5693D">
        <w:rPr>
          <w:lang w:val="en-GB"/>
        </w:rPr>
        <w:t>Government policy is to wind up the Authority at the end of the current parliament. This would require changes to the Authority’s enabling legislat</w:t>
      </w:r>
      <w:r>
        <w:rPr>
          <w:lang w:val="en-GB"/>
        </w:rPr>
        <w:t>ion and i</w:t>
      </w:r>
      <w:r w:rsidRPr="00C5693D">
        <w:rPr>
          <w:lang w:val="en-GB"/>
        </w:rPr>
        <w:t>t is unclear when this could occur.</w:t>
      </w:r>
    </w:p>
    <w:p w:rsidR="00776374" w:rsidRPr="00C5693D" w:rsidRDefault="00776374" w:rsidP="00776374">
      <w:r w:rsidRPr="00C5693D">
        <w:rPr>
          <w:lang w:val="en-GB"/>
        </w:rPr>
        <w:t xml:space="preserve">The Authority is therefore operating in an environment of </w:t>
      </w:r>
      <w:r>
        <w:rPr>
          <w:lang w:val="en-GB"/>
        </w:rPr>
        <w:t xml:space="preserve">some </w:t>
      </w:r>
      <w:r w:rsidRPr="00C5693D">
        <w:rPr>
          <w:lang w:val="en-GB"/>
        </w:rPr>
        <w:t xml:space="preserve">uncertainty. It is a testament to the commitment of </w:t>
      </w:r>
      <w:r w:rsidR="00F9031B">
        <w:rPr>
          <w:lang w:val="en-GB"/>
        </w:rPr>
        <w:t>its</w:t>
      </w:r>
      <w:r>
        <w:rPr>
          <w:lang w:val="en-GB"/>
        </w:rPr>
        <w:t xml:space="preserve"> </w:t>
      </w:r>
      <w:r w:rsidRPr="00C5693D">
        <w:rPr>
          <w:lang w:val="en-GB"/>
        </w:rPr>
        <w:t>members and staff that</w:t>
      </w:r>
      <w:r w:rsidR="00C54C5C">
        <w:rPr>
          <w:lang w:val="en-GB"/>
        </w:rPr>
        <w:t xml:space="preserve"> </w:t>
      </w:r>
      <w:r w:rsidRPr="00C5693D">
        <w:rPr>
          <w:lang w:val="en-GB"/>
        </w:rPr>
        <w:t>the Authority has met its legislative obligations</w:t>
      </w:r>
      <w:r>
        <w:rPr>
          <w:lang w:val="en-GB"/>
        </w:rPr>
        <w:t xml:space="preserve"> and continued</w:t>
      </w:r>
      <w:r w:rsidRPr="00C5693D">
        <w:rPr>
          <w:lang w:val="en-GB"/>
        </w:rPr>
        <w:t xml:space="preserve"> to produce high</w:t>
      </w:r>
      <w:r w:rsidR="00F9031B">
        <w:rPr>
          <w:lang w:val="en-GB"/>
        </w:rPr>
        <w:t>-</w:t>
      </w:r>
      <w:r w:rsidRPr="00C5693D">
        <w:rPr>
          <w:lang w:val="en-GB"/>
        </w:rPr>
        <w:t xml:space="preserve">quality review reports and other products </w:t>
      </w:r>
      <w:r>
        <w:rPr>
          <w:lang w:val="en-GB"/>
        </w:rPr>
        <w:t xml:space="preserve">to inform climate change policy </w:t>
      </w:r>
      <w:r w:rsidRPr="00C5693D">
        <w:rPr>
          <w:lang w:val="en-GB"/>
        </w:rPr>
        <w:t xml:space="preserve">over the last year. </w:t>
      </w:r>
    </w:p>
    <w:p w:rsidR="00776374" w:rsidRDefault="00776374" w:rsidP="00776374">
      <w:r w:rsidRPr="00C5693D">
        <w:t>In this context, I would like to acknowledge the excellent leadership and work of Ms Anthea Harris, who led the Authority as C</w:t>
      </w:r>
      <w:r w:rsidR="00A07BF4">
        <w:t xml:space="preserve">hief </w:t>
      </w:r>
      <w:r w:rsidRPr="00C5693D">
        <w:t>E</w:t>
      </w:r>
      <w:r w:rsidR="00A07BF4">
        <w:t xml:space="preserve">xecutive </w:t>
      </w:r>
      <w:r w:rsidRPr="00C5693D">
        <w:t>O</w:t>
      </w:r>
      <w:r w:rsidR="00A07BF4">
        <w:t>fficer (CEO)</w:t>
      </w:r>
      <w:r w:rsidRPr="00C5693D">
        <w:t xml:space="preserve"> until April 2015. </w:t>
      </w:r>
    </w:p>
    <w:p w:rsidR="00776374" w:rsidRDefault="00776374" w:rsidP="00776374">
      <w:r>
        <w:t xml:space="preserve">I would also like to extend my grateful thanks to the Authority members and the Chair, Mr Bernie Fraser, who resigned from the Authority in September 2015. The Authority members’ engagement, guidance and expertise have added great value to our work. </w:t>
      </w:r>
    </w:p>
    <w:p w:rsidR="00776374" w:rsidRDefault="00776374" w:rsidP="00776374">
      <w:r>
        <w:t>I also thank the Authority secretariat staff</w:t>
      </w:r>
      <w:r w:rsidR="00F9031B">
        <w:t>,</w:t>
      </w:r>
      <w:r>
        <w:t xml:space="preserve"> who continue to demonstrate high levels of resilience, expertise, good humour and the pursuit of excellence in meeting our legislative obligations and providing advice on climate change policy.</w:t>
      </w:r>
    </w:p>
    <w:p w:rsidR="00776374" w:rsidRPr="00275F65" w:rsidRDefault="00776374" w:rsidP="00776374">
      <w:pPr>
        <w:pStyle w:val="BodyText"/>
      </w:pPr>
    </w:p>
    <w:p w:rsidR="00D42FE0" w:rsidRPr="00DD1A80" w:rsidRDefault="003B13FA" w:rsidP="00FA26F1">
      <w:pPr>
        <w:pStyle w:val="BodyText"/>
        <w:spacing w:after="0" w:line="240" w:lineRule="auto"/>
        <w:rPr>
          <w:rStyle w:val="Textbold"/>
        </w:rPr>
      </w:pPr>
      <w:r>
        <w:rPr>
          <w:rStyle w:val="Textbold"/>
        </w:rPr>
        <w:t>Shayleen Thompson</w:t>
      </w:r>
    </w:p>
    <w:p w:rsidR="00D42FE0" w:rsidRPr="00D42FE0" w:rsidRDefault="003B13FA" w:rsidP="00FA26F1">
      <w:pPr>
        <w:pStyle w:val="BodyText"/>
        <w:spacing w:after="0" w:line="240" w:lineRule="auto"/>
      </w:pPr>
      <w:r>
        <w:rPr>
          <w:rStyle w:val="Textbold"/>
        </w:rPr>
        <w:t xml:space="preserve">A/g </w:t>
      </w:r>
      <w:r w:rsidR="00D42FE0" w:rsidRPr="00DD1A80">
        <w:rPr>
          <w:rStyle w:val="Textbold"/>
        </w:rPr>
        <w:t>Chief Executive Officer</w:t>
      </w:r>
      <w:r w:rsidR="00D42FE0" w:rsidRPr="00D42FE0">
        <w:br w:type="page"/>
      </w:r>
    </w:p>
    <w:p w:rsidR="009D77B4" w:rsidRDefault="009D77B4" w:rsidP="009D77B4">
      <w:pPr>
        <w:pStyle w:val="Heading1"/>
      </w:pPr>
      <w:bookmarkStart w:id="2" w:name="_Toc430464390"/>
      <w:r>
        <w:lastRenderedPageBreak/>
        <w:t>ABOUT THE CLIMATE CHANGE AUTHORITY</w:t>
      </w:r>
      <w:bookmarkEnd w:id="2"/>
    </w:p>
    <w:p w:rsidR="009D77B4" w:rsidRDefault="00492FDC" w:rsidP="009D77B4">
      <w:pPr>
        <w:pStyle w:val="Heading2"/>
      </w:pPr>
      <w:bookmarkStart w:id="3" w:name="_Toc430464391"/>
      <w:r>
        <w:t>FUNCTIONS OF THE AUTHORITY</w:t>
      </w:r>
      <w:bookmarkEnd w:id="3"/>
    </w:p>
    <w:p w:rsidR="00843FAC" w:rsidRPr="00843FAC" w:rsidRDefault="00843FAC" w:rsidP="0020100F">
      <w:pPr>
        <w:pStyle w:val="BodyText"/>
      </w:pPr>
      <w:r>
        <w:t xml:space="preserve">The Authority was established under the </w:t>
      </w:r>
      <w:r w:rsidRPr="00410293">
        <w:rPr>
          <w:rStyle w:val="Textitalic"/>
        </w:rPr>
        <w:t>Climate Change Authority Act 2011</w:t>
      </w:r>
      <w:r w:rsidR="000A0C64">
        <w:t xml:space="preserve"> </w:t>
      </w:r>
      <w:r>
        <w:t>and commenced operation on 1 July 2012. The Authority is an independent statutory body established to provide expert and balanced advice on climate change policy issues, including Australia</w:t>
      </w:r>
      <w:r w:rsidR="00510AE2">
        <w:t>’</w:t>
      </w:r>
      <w:r>
        <w:t>s emissions reduction goals.</w:t>
      </w:r>
    </w:p>
    <w:p w:rsidR="00843FAC" w:rsidRDefault="00843FAC" w:rsidP="0020100F">
      <w:pPr>
        <w:pStyle w:val="BodyText"/>
      </w:pPr>
      <w:r w:rsidRPr="00492FDC">
        <w:t>Th</w:t>
      </w:r>
      <w:r w:rsidR="00D461A9">
        <w:t>e Authority had</w:t>
      </w:r>
      <w:r w:rsidRPr="00492FDC">
        <w:t xml:space="preserve"> a number of functions as set out under the Act. These include</w:t>
      </w:r>
      <w:r w:rsidR="009E7617">
        <w:t>d</w:t>
      </w:r>
      <w:r w:rsidRPr="00492FDC">
        <w:t xml:space="preserve"> conducting </w:t>
      </w:r>
      <w:r>
        <w:t>legislative reviews of:</w:t>
      </w:r>
      <w:r w:rsidR="0001554E">
        <w:t xml:space="preserve"> </w:t>
      </w:r>
    </w:p>
    <w:p w:rsidR="00843FAC" w:rsidRDefault="00843FAC" w:rsidP="00E627B5">
      <w:pPr>
        <w:pStyle w:val="ListBullet"/>
      </w:pPr>
      <w:r>
        <w:t xml:space="preserve">the operation of the </w:t>
      </w:r>
      <w:r w:rsidRPr="00C55516">
        <w:rPr>
          <w:i/>
        </w:rPr>
        <w:t>Carbon Credits</w:t>
      </w:r>
      <w:r>
        <w:t xml:space="preserve"> </w:t>
      </w:r>
      <w:r w:rsidRPr="00410293">
        <w:rPr>
          <w:rStyle w:val="Textitalic"/>
        </w:rPr>
        <w:t>(Carbon Farming Initiative) Act 2011</w:t>
      </w:r>
      <w:r w:rsidR="00410293" w:rsidRPr="00410293">
        <w:rPr>
          <w:rStyle w:val="Textitalic"/>
        </w:rPr>
        <w:t xml:space="preserve"> </w:t>
      </w:r>
      <w:r w:rsidR="00410293" w:rsidRPr="00410293">
        <w:t>(Cth)</w:t>
      </w:r>
      <w:r w:rsidRPr="00410293">
        <w:t>,</w:t>
      </w:r>
      <w:r w:rsidR="00B939A9">
        <w:t xml:space="preserve"> relating to</w:t>
      </w:r>
      <w:r>
        <w:t xml:space="preserve"> projects to remove carbon dioxide from the atmosphere and projects to avoid emissions of greenhouse gases</w:t>
      </w:r>
    </w:p>
    <w:p w:rsidR="00726DB1" w:rsidRDefault="00843FAC" w:rsidP="00726DB1">
      <w:pPr>
        <w:pStyle w:val="ListBullet"/>
      </w:pPr>
      <w:r>
        <w:t xml:space="preserve">sections 76A and 76B of the </w:t>
      </w:r>
      <w:r w:rsidRPr="00C55516">
        <w:rPr>
          <w:i/>
        </w:rPr>
        <w:t>Na</w:t>
      </w:r>
      <w:r w:rsidRPr="00410293">
        <w:rPr>
          <w:rStyle w:val="Textitalic"/>
        </w:rPr>
        <w:t>tional Greenhouse and Energy Reporting Act 2007</w:t>
      </w:r>
      <w:r w:rsidR="00410293">
        <w:rPr>
          <w:rStyle w:val="Textitalic"/>
        </w:rPr>
        <w:t xml:space="preserve"> </w:t>
      </w:r>
      <w:r w:rsidR="00410293" w:rsidRPr="00410293">
        <w:t>(Cth)</w:t>
      </w:r>
      <w:r w:rsidR="00560C33">
        <w:t>, relating to greenhouse gas and energy reporting</w:t>
      </w:r>
      <w:r w:rsidR="00726DB1" w:rsidRPr="00726DB1">
        <w:t xml:space="preserve"> </w:t>
      </w:r>
    </w:p>
    <w:p w:rsidR="00726DB1" w:rsidRDefault="00726DB1" w:rsidP="00726DB1">
      <w:pPr>
        <w:pStyle w:val="ListBullet"/>
      </w:pPr>
      <w:r>
        <w:t xml:space="preserve">section 289 of the </w:t>
      </w:r>
      <w:r w:rsidRPr="00410293">
        <w:rPr>
          <w:rStyle w:val="Textitalic"/>
        </w:rPr>
        <w:t xml:space="preserve">Clean Energy Act 2011 </w:t>
      </w:r>
      <w:r w:rsidRPr="00410293">
        <w:t>(Cth)</w:t>
      </w:r>
      <w:r>
        <w:t xml:space="preserve"> (since repealed)</w:t>
      </w:r>
      <w:r w:rsidRPr="00410293">
        <w:t>,</w:t>
      </w:r>
      <w:r>
        <w:t xml:space="preserve"> relating to reviewing the level of carbon pollution caps, and any indicative national emissions trajectory and national carbon budget</w:t>
      </w:r>
    </w:p>
    <w:p w:rsidR="00843FAC" w:rsidRDefault="00726DB1" w:rsidP="00726DB1">
      <w:pPr>
        <w:pStyle w:val="ListBullet"/>
      </w:pPr>
      <w:r>
        <w:t>section 291 of the Clean Energy Act (since repealed), relating to Australia’s progress in achieving its medium- and long-term targets for the reduction of greenhouse gas emissions and any national carbon budget</w:t>
      </w:r>
      <w:r w:rsidR="00191E1B">
        <w:t xml:space="preserve"> </w:t>
      </w:r>
    </w:p>
    <w:p w:rsidR="009E7617" w:rsidRPr="008B77CD" w:rsidRDefault="00560C33" w:rsidP="008B77CD">
      <w:pPr>
        <w:pStyle w:val="ListBullet"/>
        <w:rPr>
          <w:rStyle w:val="Textitalic"/>
        </w:rPr>
      </w:pPr>
      <w:r>
        <w:t>the Ren</w:t>
      </w:r>
      <w:r w:rsidR="00B939A9">
        <w:t>ewable Energy Target</w:t>
      </w:r>
      <w:r w:rsidR="00C0132E">
        <w:t xml:space="preserve"> (since repealed</w:t>
      </w:r>
      <w:r w:rsidR="008B77CD" w:rsidRPr="008B77CD">
        <w:t xml:space="preserve"> </w:t>
      </w:r>
      <w:r w:rsidR="008B77CD" w:rsidRPr="00CE149E">
        <w:t xml:space="preserve">by the </w:t>
      </w:r>
      <w:r w:rsidR="008B77CD" w:rsidRPr="00CE149E">
        <w:rPr>
          <w:rStyle w:val="Textitalic"/>
        </w:rPr>
        <w:t>Renewable Energy (Electricity) Amendment Act 2015</w:t>
      </w:r>
      <w:r w:rsidR="00C0132E">
        <w:t>)</w:t>
      </w:r>
      <w:r>
        <w:t xml:space="preserve">, </w:t>
      </w:r>
      <w:r w:rsidR="00B939A9">
        <w:t>under</w:t>
      </w:r>
      <w:r w:rsidR="00843FAC">
        <w:t xml:space="preserve"> </w:t>
      </w:r>
      <w:r w:rsidR="00B939A9">
        <w:t>section</w:t>
      </w:r>
      <w:r w:rsidR="00510AE2">
        <w:t> </w:t>
      </w:r>
      <w:r w:rsidR="00843FAC">
        <w:t xml:space="preserve">162 of the </w:t>
      </w:r>
      <w:r w:rsidR="00843FAC" w:rsidRPr="00410293">
        <w:rPr>
          <w:rStyle w:val="Textitalic"/>
        </w:rPr>
        <w:t>Renewable Energy (Electricity) Act 2000</w:t>
      </w:r>
      <w:r w:rsidR="00410293">
        <w:rPr>
          <w:rStyle w:val="Textitalic"/>
        </w:rPr>
        <w:t xml:space="preserve"> </w:t>
      </w:r>
      <w:r w:rsidR="00410293" w:rsidRPr="00410293">
        <w:t>(Cth)</w:t>
      </w:r>
      <w:r w:rsidR="00F9031B">
        <w:t>.</w:t>
      </w:r>
      <w:r w:rsidR="00B939A9">
        <w:t xml:space="preserve"> </w:t>
      </w:r>
      <w:r w:rsidR="009E7617">
        <w:t xml:space="preserve"> </w:t>
      </w:r>
    </w:p>
    <w:p w:rsidR="00C0132E" w:rsidRPr="00104330" w:rsidRDefault="00B939A9" w:rsidP="00C0132E">
      <w:r>
        <w:t xml:space="preserve">Under </w:t>
      </w:r>
      <w:r w:rsidR="00C0132E">
        <w:t xml:space="preserve">section 59 </w:t>
      </w:r>
      <w:r w:rsidR="00560C33">
        <w:t xml:space="preserve">of the </w:t>
      </w:r>
      <w:r w:rsidR="00C0132E">
        <w:rPr>
          <w:rStyle w:val="Textitalic"/>
          <w:i w:val="0"/>
        </w:rPr>
        <w:t>Act</w:t>
      </w:r>
      <w:r>
        <w:rPr>
          <w:i/>
        </w:rPr>
        <w:t xml:space="preserve">, </w:t>
      </w:r>
      <w:r w:rsidRPr="00B939A9">
        <w:t xml:space="preserve">the </w:t>
      </w:r>
      <w:r w:rsidR="00776374">
        <w:t>M</w:t>
      </w:r>
      <w:r w:rsidRPr="00B939A9">
        <w:t xml:space="preserve">inister </w:t>
      </w:r>
      <w:r w:rsidR="00776374">
        <w:t xml:space="preserve">for the Environment </w:t>
      </w:r>
      <w:r w:rsidRPr="00B939A9">
        <w:t xml:space="preserve">or both Houses of Parliament may request the Authority to conduct </w:t>
      </w:r>
      <w:r w:rsidR="00560C33" w:rsidRPr="00B939A9">
        <w:t>special reviews</w:t>
      </w:r>
      <w:r>
        <w:t xml:space="preserve">. </w:t>
      </w:r>
      <w:r w:rsidR="00C0132E">
        <w:t xml:space="preserve">On </w:t>
      </w:r>
      <w:r w:rsidR="00191E1B">
        <w:t>15 December</w:t>
      </w:r>
      <w:r w:rsidR="00C0132E">
        <w:t xml:space="preserve"> 2014, the </w:t>
      </w:r>
      <w:r w:rsidR="00D40978">
        <w:t>M</w:t>
      </w:r>
      <w:r w:rsidR="00C0132E">
        <w:t xml:space="preserve">inister requested </w:t>
      </w:r>
      <w:r w:rsidR="00191E1B">
        <w:t xml:space="preserve">that </w:t>
      </w:r>
      <w:r w:rsidR="00C0132E">
        <w:t>the Authority undertake a special review</w:t>
      </w:r>
      <w:r w:rsidR="00013AF8">
        <w:t>, t</w:t>
      </w:r>
      <w:r w:rsidR="00C0132E" w:rsidRPr="00CE149E">
        <w:t>he terms of</w:t>
      </w:r>
      <w:r w:rsidR="00C0132E">
        <w:t xml:space="preserve"> reference for </w:t>
      </w:r>
      <w:r w:rsidR="00013AF8">
        <w:t xml:space="preserve">which </w:t>
      </w:r>
      <w:r w:rsidR="00C0132E" w:rsidRPr="00CE149E">
        <w:t>include whether Australia should have an emission</w:t>
      </w:r>
      <w:r w:rsidR="00191E1B">
        <w:t>s</w:t>
      </w:r>
      <w:r w:rsidR="00C0132E" w:rsidRPr="00CE149E">
        <w:t xml:space="preserve"> trading scheme and any conditions for introducing such a scheme. It requires the Authority to consider whether the climate policies of other countries, including the USA, China, Japan, </w:t>
      </w:r>
      <w:r w:rsidR="00013AF8">
        <w:t xml:space="preserve">the </w:t>
      </w:r>
      <w:r w:rsidR="00C0132E" w:rsidRPr="00CE149E">
        <w:t xml:space="preserve">Republic of Korea and the European Union are equivalent to an emissions trading scheme. The Authority must also consider what </w:t>
      </w:r>
      <w:r w:rsidR="00462CFA">
        <w:t xml:space="preserve">future emissions targets </w:t>
      </w:r>
      <w:r w:rsidR="00C0132E" w:rsidRPr="00CE149E">
        <w:t>Australia</w:t>
      </w:r>
      <w:r w:rsidR="00462CFA">
        <w:t xml:space="preserve"> should commit to as part of</w:t>
      </w:r>
      <w:r w:rsidR="00C0132E" w:rsidRPr="00CE149E">
        <w:t xml:space="preserve"> an effective and equitable global response to climate change.</w:t>
      </w:r>
    </w:p>
    <w:p w:rsidR="00B93DD3" w:rsidRPr="00B93DD3" w:rsidRDefault="00492FDC" w:rsidP="00C55516">
      <w:pPr>
        <w:pStyle w:val="BodyText"/>
      </w:pPr>
      <w:r>
        <w:t xml:space="preserve">In addition to the functions listed above, the Authority </w:t>
      </w:r>
      <w:r w:rsidR="00776374">
        <w:t>can</w:t>
      </w:r>
      <w:r w:rsidR="006C74AA">
        <w:t xml:space="preserve"> </w:t>
      </w:r>
      <w:r>
        <w:t>conduct research about matters relating to climate change (</w:t>
      </w:r>
      <w:r w:rsidR="00B939A9">
        <w:t>under section</w:t>
      </w:r>
      <w:r>
        <w:t xml:space="preserve"> 11 of the Act).</w:t>
      </w:r>
    </w:p>
    <w:p w:rsidR="00B93DD3" w:rsidRPr="00CD7D46" w:rsidRDefault="00B93DD3" w:rsidP="00C55516">
      <w:pPr>
        <w:pStyle w:val="BodyText"/>
        <w:rPr>
          <w:rStyle w:val="Textitalic"/>
        </w:rPr>
      </w:pPr>
      <w:r w:rsidRPr="00492FDC">
        <w:t xml:space="preserve">The Authority reports to the </w:t>
      </w:r>
      <w:r w:rsidR="00013AF8">
        <w:t>Commonwealth</w:t>
      </w:r>
      <w:r w:rsidR="00013AF8" w:rsidRPr="00492FDC">
        <w:t xml:space="preserve"> </w:t>
      </w:r>
      <w:r w:rsidRPr="00492FDC">
        <w:t>Parliament through the Minister</w:t>
      </w:r>
      <w:r w:rsidR="00410293">
        <w:t xml:space="preserve"> for the Environment</w:t>
      </w:r>
      <w:r w:rsidRPr="00CD7D46">
        <w:rPr>
          <w:rStyle w:val="Textitalic"/>
        </w:rPr>
        <w:t>.</w:t>
      </w:r>
    </w:p>
    <w:p w:rsidR="009D77B4" w:rsidRDefault="009D77B4" w:rsidP="009D77B4">
      <w:pPr>
        <w:pStyle w:val="Heading2"/>
      </w:pPr>
      <w:bookmarkStart w:id="4" w:name="_Toc430464392"/>
      <w:r>
        <w:t>ORGANISATIONAL STRUCTURE</w:t>
      </w:r>
      <w:bookmarkEnd w:id="4"/>
    </w:p>
    <w:p w:rsidR="00B93DD3" w:rsidRPr="00104330" w:rsidRDefault="002C702A" w:rsidP="00C55516">
      <w:pPr>
        <w:pStyle w:val="BodyText"/>
      </w:pPr>
      <w:r w:rsidRPr="00104330">
        <w:t>The Authority’s organisational structure is outlined in Figure 1.</w:t>
      </w:r>
      <w:r>
        <w:t xml:space="preserve"> </w:t>
      </w:r>
      <w:r w:rsidR="00C0132E">
        <w:t>A fully constituted</w:t>
      </w:r>
      <w:r w:rsidR="004105A1">
        <w:t xml:space="preserve"> </w:t>
      </w:r>
      <w:r w:rsidR="00B93DD3" w:rsidRPr="00104330">
        <w:t xml:space="preserve">Authority </w:t>
      </w:r>
      <w:r>
        <w:t>comprises</w:t>
      </w:r>
      <w:r w:rsidR="004105A1">
        <w:t xml:space="preserve"> a Chair and </w:t>
      </w:r>
      <w:r w:rsidR="000A315C">
        <w:t>seven</w:t>
      </w:r>
      <w:r w:rsidR="00B93DD3" w:rsidRPr="00104330">
        <w:t xml:space="preserve"> part-time </w:t>
      </w:r>
      <w:r w:rsidR="00013AF8">
        <w:t>m</w:t>
      </w:r>
      <w:r w:rsidR="00B93DD3" w:rsidRPr="00104330">
        <w:t>em</w:t>
      </w:r>
      <w:r w:rsidR="000A33EB">
        <w:t>bers</w:t>
      </w:r>
      <w:r w:rsidR="000A315C">
        <w:t>, plus</w:t>
      </w:r>
      <w:r w:rsidR="000A33EB">
        <w:t xml:space="preserve"> an ex</w:t>
      </w:r>
      <w:r w:rsidR="00510AE2">
        <w:t xml:space="preserve"> </w:t>
      </w:r>
      <w:r w:rsidR="000A33EB">
        <w:t xml:space="preserve">officio </w:t>
      </w:r>
      <w:r w:rsidR="00013AF8">
        <w:t>m</w:t>
      </w:r>
      <w:r w:rsidR="000A33EB">
        <w:t>ember</w:t>
      </w:r>
      <w:r w:rsidR="00C80B96">
        <w:t>—</w:t>
      </w:r>
      <w:r w:rsidR="004105A1">
        <w:t>Australia</w:t>
      </w:r>
      <w:r w:rsidR="00C80B96">
        <w:t>’</w:t>
      </w:r>
      <w:r w:rsidR="004105A1">
        <w:t>s</w:t>
      </w:r>
      <w:r w:rsidR="00B93DD3" w:rsidRPr="00104330">
        <w:t xml:space="preserve"> Chief Scientist. Members are appointed by the</w:t>
      </w:r>
      <w:r w:rsidR="00410293">
        <w:t xml:space="preserve"> </w:t>
      </w:r>
      <w:r w:rsidR="00B93DD3" w:rsidRPr="00104330">
        <w:t>Minister</w:t>
      </w:r>
      <w:r w:rsidR="00410293">
        <w:t xml:space="preserve"> for the Environment</w:t>
      </w:r>
      <w:r w:rsidR="00B93DD3" w:rsidRPr="00104330">
        <w:t xml:space="preserve"> under section 18 of the </w:t>
      </w:r>
      <w:r w:rsidR="00D461A9" w:rsidRPr="00D40978">
        <w:t>Climate Change Authority</w:t>
      </w:r>
      <w:r w:rsidR="00D461A9" w:rsidRPr="00013AF8">
        <w:t xml:space="preserve"> </w:t>
      </w:r>
      <w:r w:rsidR="00191E1B" w:rsidRPr="00013AF8">
        <w:rPr>
          <w:rStyle w:val="Textitalic"/>
          <w:i w:val="0"/>
        </w:rPr>
        <w:t>Act</w:t>
      </w:r>
      <w:r w:rsidR="00D461A9" w:rsidRPr="00D461A9">
        <w:rPr>
          <w:rStyle w:val="Textitalic"/>
        </w:rPr>
        <w:t xml:space="preserve"> </w:t>
      </w:r>
      <w:r w:rsidR="00D461A9" w:rsidRPr="00D40978">
        <w:rPr>
          <w:rStyle w:val="Textitalic"/>
          <w:i w:val="0"/>
        </w:rPr>
        <w:t>2011</w:t>
      </w:r>
      <w:r w:rsidR="00B93DD3" w:rsidRPr="00191E1B">
        <w:rPr>
          <w:i/>
        </w:rPr>
        <w:t>.</w:t>
      </w:r>
      <w:r w:rsidR="00C0132E">
        <w:t xml:space="preserve"> For the majority of</w:t>
      </w:r>
      <w:r w:rsidR="00191E1B">
        <w:t xml:space="preserve"> </w:t>
      </w:r>
      <w:r w:rsidR="00C0132E">
        <w:t>2014</w:t>
      </w:r>
      <w:r w:rsidR="00C80B96">
        <w:t>–</w:t>
      </w:r>
      <w:r w:rsidR="00C0132E">
        <w:t>15</w:t>
      </w:r>
      <w:r w:rsidR="0091186D">
        <w:t>,</w:t>
      </w:r>
      <w:r w:rsidR="000A315C">
        <w:t xml:space="preserve"> the </w:t>
      </w:r>
      <w:r w:rsidR="00C0132E">
        <w:t>Authority had</w:t>
      </w:r>
      <w:r w:rsidR="00191E1B">
        <w:t xml:space="preserve"> a Chair plus four</w:t>
      </w:r>
      <w:r w:rsidR="000A315C">
        <w:t xml:space="preserve"> </w:t>
      </w:r>
      <w:r w:rsidR="00013AF8">
        <w:t>m</w:t>
      </w:r>
      <w:r w:rsidR="000A315C">
        <w:t>embers</w:t>
      </w:r>
      <w:r w:rsidR="00013AF8">
        <w:t>, with f</w:t>
      </w:r>
      <w:r w:rsidR="00CA5346">
        <w:t>our member vacancies.</w:t>
      </w:r>
      <w:r w:rsidR="00C0132E">
        <w:t xml:space="preserve"> </w:t>
      </w:r>
    </w:p>
    <w:p w:rsidR="00B93DD3" w:rsidRPr="00104330" w:rsidRDefault="00B93DD3" w:rsidP="009D79F8">
      <w:pPr>
        <w:pStyle w:val="BodyText"/>
        <w:keepLines/>
      </w:pPr>
      <w:r w:rsidRPr="00104330">
        <w:lastRenderedPageBreak/>
        <w:t xml:space="preserve">Authority </w:t>
      </w:r>
      <w:r w:rsidR="00013AF8">
        <w:t>m</w:t>
      </w:r>
      <w:r w:rsidRPr="00104330">
        <w:t xml:space="preserve">embers are </w:t>
      </w:r>
      <w:r w:rsidR="004105A1">
        <w:t xml:space="preserve">supported </w:t>
      </w:r>
      <w:r w:rsidRPr="00104330">
        <w:t>by the Chief Executive Officer (CEO)</w:t>
      </w:r>
      <w:r w:rsidR="00C408B8">
        <w:t xml:space="preserve"> and </w:t>
      </w:r>
      <w:r w:rsidRPr="00104330">
        <w:t>Authority staff. The CEO is responsible for the day-to-day ad</w:t>
      </w:r>
      <w:r w:rsidR="004105A1">
        <w:t xml:space="preserve">ministration of the Authority. </w:t>
      </w:r>
      <w:r w:rsidR="00C0132E">
        <w:t xml:space="preserve">The Authority has an Acting CEO, Ms Shayleen Thompson, who has been appointed </w:t>
      </w:r>
      <w:r w:rsidR="00A624D3">
        <w:t>un</w:t>
      </w:r>
      <w:r w:rsidR="00C0132E">
        <w:t xml:space="preserve">til 30 June 2016. </w:t>
      </w:r>
      <w:r w:rsidR="00CA5346" w:rsidRPr="00104330">
        <w:t>Ms</w:t>
      </w:r>
      <w:r w:rsidR="00CA5346">
        <w:t xml:space="preserve"> Thompson</w:t>
      </w:r>
      <w:r w:rsidR="00CA5346" w:rsidRPr="00104330">
        <w:t xml:space="preserve"> is supported by the Gener</w:t>
      </w:r>
      <w:r w:rsidR="00CA5346">
        <w:t>al Manager Review</w:t>
      </w:r>
      <w:r w:rsidR="0091598D">
        <w:t>s</w:t>
      </w:r>
      <w:r w:rsidR="00CA5346">
        <w:t>, Ms Kath Rowley.</w:t>
      </w:r>
    </w:p>
    <w:p w:rsidR="00B93DD3" w:rsidRDefault="004105A1" w:rsidP="00C55516">
      <w:pPr>
        <w:pStyle w:val="BodyText"/>
      </w:pPr>
      <w:r>
        <w:t>T</w:t>
      </w:r>
      <w:r w:rsidR="00B93DD3" w:rsidRPr="00104330">
        <w:t xml:space="preserve">he Authority has </w:t>
      </w:r>
      <w:r>
        <w:t xml:space="preserve">established </w:t>
      </w:r>
      <w:r w:rsidR="00B93DD3" w:rsidRPr="00104330">
        <w:t xml:space="preserve">structures, systems and processes in place to ensure that its governance, compliance and accountability responsibilities are met (see </w:t>
      </w:r>
      <w:r w:rsidR="0091186D">
        <w:t xml:space="preserve">Chapter </w:t>
      </w:r>
      <w:r w:rsidR="00B93DD3" w:rsidRPr="00104330">
        <w:t>5).</w:t>
      </w:r>
    </w:p>
    <w:p w:rsidR="002267C5" w:rsidRDefault="002267C5" w:rsidP="00C55516">
      <w:pPr>
        <w:pStyle w:val="Caption"/>
      </w:pPr>
      <w:r>
        <w:t>F</w:t>
      </w:r>
      <w:r w:rsidR="009E60EC">
        <w:t>igure </w:t>
      </w:r>
      <w:r>
        <w:t xml:space="preserve">1: </w:t>
      </w:r>
      <w:r w:rsidRPr="009975E5">
        <w:t xml:space="preserve">Climate Change Authority </w:t>
      </w:r>
      <w:r w:rsidR="0091186D">
        <w:t>o</w:t>
      </w:r>
      <w:r w:rsidRPr="009975E5">
        <w:t xml:space="preserve">rganisation </w:t>
      </w:r>
      <w:r w:rsidR="0091186D">
        <w:t>c</w:t>
      </w:r>
      <w:r w:rsidRPr="009975E5">
        <w:t>hart</w:t>
      </w:r>
      <w:r>
        <w:t xml:space="preserve"> a</w:t>
      </w:r>
      <w:r w:rsidRPr="009975E5">
        <w:t xml:space="preserve">s at 30 June </w:t>
      </w:r>
      <w:r w:rsidR="00705BC8">
        <w:t>2015</w:t>
      </w:r>
      <w:r>
        <w:t xml:space="preserve"> </w:t>
      </w:r>
      <w:bookmarkStart w:id="5" w:name="_Toc371694365"/>
    </w:p>
    <w:p w:rsidR="00F24CA3" w:rsidRPr="00F24CA3" w:rsidRDefault="00F24CA3" w:rsidP="00F24CA3">
      <w:r w:rsidRPr="00F24CA3">
        <w:rPr>
          <w:noProof/>
          <w:lang w:eastAsia="en-AU"/>
        </w:rPr>
        <w:drawing>
          <wp:inline distT="0" distB="0" distL="0" distR="0" wp14:anchorId="394997AB" wp14:editId="574C3CFB">
            <wp:extent cx="5486400" cy="320040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267C5" w:rsidRDefault="002267C5" w:rsidP="002267C5"/>
    <w:p w:rsidR="002267C5" w:rsidRPr="002267C5" w:rsidRDefault="002267C5" w:rsidP="002267C5">
      <w:pPr>
        <w:pStyle w:val="Heading2"/>
        <w:numPr>
          <w:ilvl w:val="1"/>
          <w:numId w:val="8"/>
        </w:numPr>
      </w:pPr>
      <w:bookmarkStart w:id="6" w:name="_Toc430464393"/>
      <w:bookmarkEnd w:id="5"/>
      <w:r w:rsidRPr="002267C5">
        <w:t>OUTCOME AND PROGRAM STRUCTURE</w:t>
      </w:r>
      <w:bookmarkEnd w:id="6"/>
    </w:p>
    <w:p w:rsidR="00CA5346" w:rsidRDefault="002267C5" w:rsidP="00CA5346">
      <w:r w:rsidRPr="00104330">
        <w:t xml:space="preserve">The </w:t>
      </w:r>
      <w:r w:rsidR="00CC7703">
        <w:t>Commonwealth</w:t>
      </w:r>
      <w:r w:rsidR="00CC7703" w:rsidRPr="00104330">
        <w:t xml:space="preserve"> </w:t>
      </w:r>
      <w:r w:rsidRPr="00104330">
        <w:t xml:space="preserve">Government requires agencies to measure their performance in terms of outcomes. </w:t>
      </w:r>
      <w:r w:rsidR="00CA5346">
        <w:t>In 2014</w:t>
      </w:r>
      <w:r w:rsidR="00CC7703">
        <w:t>–</w:t>
      </w:r>
      <w:r w:rsidR="00CA5346">
        <w:t>15</w:t>
      </w:r>
      <w:r w:rsidR="00CC7703">
        <w:t>,</w:t>
      </w:r>
      <w:r w:rsidR="00CA5346">
        <w:t xml:space="preserve"> the </w:t>
      </w:r>
      <w:r w:rsidR="00CC7703">
        <w:t>g</w:t>
      </w:r>
      <w:r w:rsidR="00CA5346" w:rsidRPr="00E53AC5">
        <w:t>overnment</w:t>
      </w:r>
      <w:r w:rsidR="00CA5346">
        <w:t xml:space="preserve"> i</w:t>
      </w:r>
      <w:r w:rsidR="00CA5346" w:rsidRPr="00E53AC5">
        <w:t xml:space="preserve">ntroduced legislation </w:t>
      </w:r>
      <w:r w:rsidR="00A33C33">
        <w:t>in</w:t>
      </w:r>
      <w:r w:rsidR="00CA5346" w:rsidRPr="00E53AC5">
        <w:t xml:space="preserve">to </w:t>
      </w:r>
      <w:r w:rsidR="00CC7703">
        <w:t>p</w:t>
      </w:r>
      <w:r w:rsidR="00A33C33">
        <w:t xml:space="preserve">arliament </w:t>
      </w:r>
      <w:r w:rsidR="00A624D3">
        <w:t xml:space="preserve">to </w:t>
      </w:r>
      <w:r w:rsidR="00A33C33">
        <w:t xml:space="preserve">wind up the </w:t>
      </w:r>
      <w:r w:rsidR="00CA5346" w:rsidRPr="00E53AC5">
        <w:t xml:space="preserve">Authority </w:t>
      </w:r>
      <w:r w:rsidR="00CA5346">
        <w:t xml:space="preserve">and </w:t>
      </w:r>
      <w:r w:rsidR="00CA5346" w:rsidRPr="00E53AC5">
        <w:t>cease its operation</w:t>
      </w:r>
      <w:r w:rsidR="00CA5346">
        <w:t xml:space="preserve">. </w:t>
      </w:r>
      <w:r w:rsidR="00CA5346" w:rsidRPr="00E53AC5">
        <w:t xml:space="preserve">In line with this intention, the Authority </w:t>
      </w:r>
      <w:r w:rsidR="00CA5346">
        <w:t xml:space="preserve">did </w:t>
      </w:r>
      <w:r w:rsidR="00CA5346" w:rsidRPr="00E53AC5">
        <w:t>not receive appropriation funding</w:t>
      </w:r>
      <w:r w:rsidR="00CA5346">
        <w:t xml:space="preserve"> in 2014</w:t>
      </w:r>
      <w:r w:rsidR="00CC7703">
        <w:t>–</w:t>
      </w:r>
      <w:r w:rsidR="00CA5346">
        <w:t>15 and there were no published outcomes for the Authority</w:t>
      </w:r>
      <w:r w:rsidR="00A33C33">
        <w:t xml:space="preserve"> in the Portfolio Budget Statements</w:t>
      </w:r>
      <w:r w:rsidR="00CA5346">
        <w:t>.</w:t>
      </w:r>
    </w:p>
    <w:p w:rsidR="005070DA" w:rsidRDefault="005070DA" w:rsidP="00CA5346">
      <w:r>
        <w:t xml:space="preserve">However, the Authority retained some legislative obligations under the </w:t>
      </w:r>
      <w:r w:rsidR="00D461A9" w:rsidRPr="0091598D">
        <w:t xml:space="preserve">Climate Change Authority </w:t>
      </w:r>
      <w:r w:rsidR="00191E1B" w:rsidRPr="0091598D">
        <w:t>Act</w:t>
      </w:r>
      <w:r w:rsidR="00D461A9" w:rsidRPr="00D461A9">
        <w:rPr>
          <w:i/>
        </w:rPr>
        <w:t xml:space="preserve"> </w:t>
      </w:r>
      <w:r w:rsidR="00D461A9" w:rsidRPr="0091598D">
        <w:t>2011</w:t>
      </w:r>
      <w:r w:rsidR="00191E1B" w:rsidRPr="0091598D">
        <w:t xml:space="preserve"> </w:t>
      </w:r>
      <w:r w:rsidR="00A33C33">
        <w:t>for the</w:t>
      </w:r>
      <w:r>
        <w:t xml:space="preserve"> 2014</w:t>
      </w:r>
      <w:r w:rsidR="00CC7703">
        <w:t>–</w:t>
      </w:r>
      <w:r>
        <w:t>15</w:t>
      </w:r>
      <w:r w:rsidR="00A33C33">
        <w:t xml:space="preserve"> financial year</w:t>
      </w:r>
      <w:r>
        <w:t xml:space="preserve">, including statutory reviews of the </w:t>
      </w:r>
      <w:r w:rsidR="00A624D3">
        <w:t xml:space="preserve">RET </w:t>
      </w:r>
      <w:r>
        <w:t>(</w:t>
      </w:r>
      <w:r w:rsidR="00A624D3">
        <w:t xml:space="preserve">the Authority’s review </w:t>
      </w:r>
      <w:r>
        <w:t xml:space="preserve">requirement </w:t>
      </w:r>
      <w:r w:rsidR="00A624D3">
        <w:t xml:space="preserve">for the RET was </w:t>
      </w:r>
      <w:r>
        <w:t xml:space="preserve">subsequently repealed) and the </w:t>
      </w:r>
      <w:r w:rsidR="00CC7703">
        <w:t>CFI</w:t>
      </w:r>
      <w:r>
        <w:t xml:space="preserve">. </w:t>
      </w:r>
      <w:r w:rsidR="00A33C33">
        <w:t>These reviews were completed on time, in line with the requirements of the legislation.</w:t>
      </w:r>
    </w:p>
    <w:p w:rsidR="00CA5346" w:rsidRDefault="005070DA" w:rsidP="00CA5346">
      <w:r>
        <w:t>I</w:t>
      </w:r>
      <w:r w:rsidR="00CA5346">
        <w:t>n December 2014</w:t>
      </w:r>
      <w:r w:rsidR="00191E1B">
        <w:t>,</w:t>
      </w:r>
      <w:r w:rsidR="00CA5346">
        <w:t xml:space="preserve"> the </w:t>
      </w:r>
      <w:r w:rsidR="00375664">
        <w:t>g</w:t>
      </w:r>
      <w:r w:rsidR="00CA5346">
        <w:t xml:space="preserve">overnment agreed to </w:t>
      </w:r>
      <w:r>
        <w:t>retain</w:t>
      </w:r>
      <w:r w:rsidR="00CA5346">
        <w:t xml:space="preserve"> the Authority </w:t>
      </w:r>
      <w:r w:rsidR="00A33C33">
        <w:t xml:space="preserve">for the life of the current </w:t>
      </w:r>
      <w:r w:rsidR="00375664">
        <w:t>p</w:t>
      </w:r>
      <w:r w:rsidR="00A33C33">
        <w:t xml:space="preserve">arliament and provided </w:t>
      </w:r>
      <w:r w:rsidR="00CA5346">
        <w:t xml:space="preserve">funding until December 2016. On </w:t>
      </w:r>
      <w:r w:rsidR="00191E1B">
        <w:t xml:space="preserve">15 </w:t>
      </w:r>
      <w:r w:rsidR="00D461A9">
        <w:t>December</w:t>
      </w:r>
      <w:r w:rsidR="00CA5346">
        <w:t xml:space="preserve"> 2014, the Minister for the Environment requested the Authority undertake a special review</w:t>
      </w:r>
      <w:r>
        <w:t xml:space="preserve"> under Part 3 of the </w:t>
      </w:r>
      <w:r w:rsidR="00F1094B" w:rsidRPr="0091598D">
        <w:t xml:space="preserve">Climate Change Authority </w:t>
      </w:r>
      <w:r w:rsidR="00191E1B" w:rsidRPr="0091598D">
        <w:t>Act</w:t>
      </w:r>
      <w:r w:rsidR="00F1094B" w:rsidRPr="0091598D">
        <w:t xml:space="preserve"> 2011</w:t>
      </w:r>
      <w:r>
        <w:t>.</w:t>
      </w:r>
    </w:p>
    <w:p w:rsidR="00191E1B" w:rsidRDefault="00191E1B" w:rsidP="00CA5346"/>
    <w:p w:rsidR="005070DA" w:rsidRDefault="005070DA" w:rsidP="00CA5346"/>
    <w:p w:rsidR="00D42FE0" w:rsidRDefault="00D42FE0" w:rsidP="00D42FE0">
      <w:pPr>
        <w:pStyle w:val="BodyText"/>
      </w:pPr>
    </w:p>
    <w:tbl>
      <w:tblPr>
        <w:tblStyle w:val="CCATablebox"/>
        <w:tblW w:w="0" w:type="auto"/>
        <w:tblLook w:val="04A0" w:firstRow="1" w:lastRow="0" w:firstColumn="1" w:lastColumn="0" w:noHBand="0" w:noVBand="1"/>
      </w:tblPr>
      <w:tblGrid>
        <w:gridCol w:w="9639"/>
      </w:tblGrid>
      <w:tr w:rsidR="001F52BD" w:rsidRPr="0013346F" w:rsidTr="008B2014">
        <w:trPr>
          <w:cnfStyle w:val="100000000000" w:firstRow="1" w:lastRow="0" w:firstColumn="0" w:lastColumn="0" w:oddVBand="0" w:evenVBand="0" w:oddHBand="0" w:evenHBand="0" w:firstRowFirstColumn="0" w:firstRowLastColumn="0" w:lastRowFirstColumn="0" w:lastRowLastColumn="0"/>
          <w:trHeight w:val="658"/>
        </w:trPr>
        <w:tc>
          <w:tcPr>
            <w:tcW w:w="9855" w:type="dxa"/>
          </w:tcPr>
          <w:p w:rsidR="001F52BD" w:rsidRPr="0013346F" w:rsidRDefault="001F52BD" w:rsidP="008B2014">
            <w:pPr>
              <w:pStyle w:val="Headingnumberedbox"/>
            </w:pPr>
            <w:r w:rsidRPr="003F1034">
              <w:rPr>
                <w:rStyle w:val="Textbold"/>
                <w:b/>
              </w:rPr>
              <w:lastRenderedPageBreak/>
              <w:t xml:space="preserve">OUTCOMES </w:t>
            </w:r>
            <w:r w:rsidRPr="00DD1A80">
              <w:rPr>
                <w:rStyle w:val="Textbold"/>
                <w:b/>
              </w:rPr>
              <w:t>AND</w:t>
            </w:r>
            <w:r w:rsidRPr="003F1034">
              <w:rPr>
                <w:rStyle w:val="Textbold"/>
                <w:b/>
              </w:rPr>
              <w:t xml:space="preserve"> </w:t>
            </w:r>
            <w:r w:rsidRPr="00DD1A80">
              <w:rPr>
                <w:rStyle w:val="Textbold"/>
                <w:b/>
              </w:rPr>
              <w:t>PERFORMANCE</w:t>
            </w:r>
            <w:r w:rsidRPr="003F1034">
              <w:rPr>
                <w:rStyle w:val="Textbold"/>
                <w:b/>
              </w:rPr>
              <w:t xml:space="preserve"> INFORMATION</w:t>
            </w:r>
          </w:p>
        </w:tc>
      </w:tr>
      <w:tr w:rsidR="001F52BD" w:rsidRPr="0013346F" w:rsidTr="008B2014">
        <w:tc>
          <w:tcPr>
            <w:tcW w:w="9855" w:type="dxa"/>
          </w:tcPr>
          <w:tbl>
            <w:tblPr>
              <w:tblW w:w="9757" w:type="dxa"/>
              <w:tblLook w:val="0020" w:firstRow="1" w:lastRow="0" w:firstColumn="0" w:lastColumn="0" w:noHBand="0" w:noVBand="0"/>
              <w:tblDescription w:val="OUTCOME 1"/>
            </w:tblPr>
            <w:tblGrid>
              <w:gridCol w:w="9757"/>
            </w:tblGrid>
            <w:tr w:rsidR="001F52BD" w:rsidRPr="0013346F" w:rsidTr="008B2014">
              <w:trPr>
                <w:trHeight w:val="61"/>
              </w:trPr>
              <w:tc>
                <w:tcPr>
                  <w:tcW w:w="5000" w:type="pct"/>
                </w:tcPr>
                <w:p w:rsidR="001F52BD" w:rsidRPr="0013346F" w:rsidRDefault="001F52BD" w:rsidP="008B2014">
                  <w:pPr>
                    <w:pStyle w:val="TableText"/>
                  </w:pPr>
                  <w:r w:rsidRPr="0013346F">
                    <w:t>OUTCOME DESCRIPTION</w:t>
                  </w:r>
                </w:p>
                <w:p w:rsidR="00A624D3" w:rsidRDefault="001F52BD" w:rsidP="001F52BD">
                  <w:pPr>
                    <w:pStyle w:val="TableText"/>
                  </w:pPr>
                  <w:r w:rsidRPr="0013346F">
                    <w:t xml:space="preserve">Provide expert advice to the Australian Government on climate change mitigation initiatives, including the level of carbon pollution caps, the </w:t>
                  </w:r>
                  <w:r w:rsidR="00A624D3">
                    <w:t>C</w:t>
                  </w:r>
                  <w:r w:rsidRPr="0013346F">
                    <w:t xml:space="preserve">arbon </w:t>
                  </w:r>
                  <w:r w:rsidR="00A624D3">
                    <w:t>F</w:t>
                  </w:r>
                  <w:r>
                    <w:t xml:space="preserve">arming </w:t>
                  </w:r>
                  <w:r w:rsidR="00A624D3">
                    <w:t>I</w:t>
                  </w:r>
                  <w:r>
                    <w:t>nitiative</w:t>
                  </w:r>
                  <w:r w:rsidRPr="0013346F">
                    <w:t>, the Renewable Energy Target and progress in achieving Australia’s emissions reduction targets, through conducting periodic reviews and undertaking climate change research.</w:t>
                  </w:r>
                  <w:r w:rsidRPr="003B13FA">
                    <w:t xml:space="preserve"> </w:t>
                  </w:r>
                </w:p>
                <w:p w:rsidR="001F52BD" w:rsidRPr="0013346F" w:rsidRDefault="001F52BD" w:rsidP="001F52BD">
                  <w:pPr>
                    <w:pStyle w:val="TableText"/>
                  </w:pPr>
                  <w:r w:rsidRPr="003B13FA">
                    <w:t>Conduct a special review into Australia’s policies and future targets for reducing greenhouse gas emissions in the context of its international commitments and the action of other countries.</w:t>
                  </w:r>
                </w:p>
              </w:tc>
            </w:tr>
            <w:tr w:rsidR="001F52BD" w:rsidRPr="0013346F" w:rsidTr="008B2014">
              <w:trPr>
                <w:trHeight w:val="61"/>
              </w:trPr>
              <w:tc>
                <w:tcPr>
                  <w:tcW w:w="5000" w:type="pct"/>
                </w:tcPr>
                <w:p w:rsidR="001F52BD" w:rsidRPr="0013346F" w:rsidRDefault="001F52BD" w:rsidP="008B2014">
                  <w:pPr>
                    <w:pStyle w:val="TableText"/>
                  </w:pPr>
                  <w:r w:rsidRPr="0013346F">
                    <w:t>OUTCOME STRATEGY</w:t>
                  </w:r>
                </w:p>
                <w:p w:rsidR="001F52BD" w:rsidRPr="0013346F" w:rsidRDefault="001F52BD" w:rsidP="008B2014">
                  <w:pPr>
                    <w:pStyle w:val="TableText"/>
                  </w:pPr>
                  <w:r w:rsidRPr="0013346F">
                    <w:t xml:space="preserve">The </w:t>
                  </w:r>
                  <w:r w:rsidR="00F1094B">
                    <w:t xml:space="preserve">Climate Change </w:t>
                  </w:r>
                  <w:r w:rsidRPr="0013346F">
                    <w:t>Authority will deliver influential, independent</w:t>
                  </w:r>
                  <w:r w:rsidR="004F066B">
                    <w:t xml:space="preserve"> and</w:t>
                  </w:r>
                  <w:r w:rsidRPr="0013346F">
                    <w:t xml:space="preserve"> expert advice by:</w:t>
                  </w:r>
                </w:p>
                <w:p w:rsidR="001F52BD" w:rsidRPr="0013346F" w:rsidRDefault="001F52BD" w:rsidP="008B2014">
                  <w:pPr>
                    <w:pStyle w:val="TableListBullet"/>
                  </w:pPr>
                  <w:r w:rsidRPr="0013346F">
                    <w:t>engaging stakeholder</w:t>
                  </w:r>
                  <w:r>
                    <w:t>s</w:t>
                  </w:r>
                  <w:r w:rsidRPr="0013346F">
                    <w:t xml:space="preserve"> to gather information and debate policy options</w:t>
                  </w:r>
                </w:p>
                <w:p w:rsidR="001F52BD" w:rsidRPr="0013346F" w:rsidRDefault="001F52BD" w:rsidP="008B2014">
                  <w:pPr>
                    <w:pStyle w:val="TableListBullet"/>
                  </w:pPr>
                  <w:r w:rsidRPr="0013346F">
                    <w:t>undertaking extensive and rigorous research and analysis</w:t>
                  </w:r>
                </w:p>
                <w:p w:rsidR="001F52BD" w:rsidRPr="0013346F" w:rsidRDefault="001F52BD" w:rsidP="008B2014">
                  <w:pPr>
                    <w:pStyle w:val="TableListBullet"/>
                  </w:pPr>
                  <w:r w:rsidRPr="0013346F">
                    <w:t>presenting insightful and practical reports</w:t>
                  </w:r>
                </w:p>
                <w:p w:rsidR="001F52BD" w:rsidRPr="0013346F" w:rsidRDefault="001F52BD" w:rsidP="008B2014">
                  <w:pPr>
                    <w:pStyle w:val="TableListBullet"/>
                  </w:pPr>
                  <w:r w:rsidRPr="0013346F">
                    <w:t>operating within a strong governance and accountability framework.</w:t>
                  </w:r>
                </w:p>
                <w:p w:rsidR="001F52BD" w:rsidRPr="0013346F" w:rsidRDefault="001F52BD" w:rsidP="00E93022">
                  <w:pPr>
                    <w:pStyle w:val="TableText"/>
                    <w:keepNext/>
                    <w:keepLines/>
                  </w:pPr>
                  <w:r w:rsidRPr="0013346F">
                    <w:t>In performing its work, the Authority will be guided by the following principles</w:t>
                  </w:r>
                  <w:r w:rsidR="004F066B">
                    <w:t>—</w:t>
                  </w:r>
                  <w:r w:rsidRPr="0013346F">
                    <w:t>economic efficiency; environmental effectiveness; equity; public interest; accounting for the impact on households, business, workers and communities; supporting the development of an effective global response to climate change; and consistency with Australia’s foreign policy and trade objectives.</w:t>
                  </w:r>
                </w:p>
              </w:tc>
            </w:tr>
          </w:tbl>
          <w:p w:rsidR="001F52BD" w:rsidRPr="0013346F" w:rsidRDefault="001F52BD" w:rsidP="00E93022">
            <w:pPr>
              <w:pStyle w:val="TableText"/>
            </w:pPr>
            <w:r w:rsidRPr="0013346F">
              <w:t xml:space="preserve">The program attached to this outcome was Program 1.1: Reviewing Climate Change Mitigation Policies. Performance against this program is assessed in </w:t>
            </w:r>
            <w:r>
              <w:t>Chapter 4</w:t>
            </w:r>
            <w:r w:rsidRPr="0013346F">
              <w:t>.</w:t>
            </w:r>
          </w:p>
          <w:p w:rsidR="001F52BD" w:rsidRPr="0013346F" w:rsidRDefault="001F52BD" w:rsidP="008B2014">
            <w:pPr>
              <w:pStyle w:val="TableText"/>
            </w:pPr>
          </w:p>
        </w:tc>
      </w:tr>
    </w:tbl>
    <w:p w:rsidR="001F52BD" w:rsidRDefault="001F52BD" w:rsidP="00D42FE0">
      <w:pPr>
        <w:pStyle w:val="BodyText"/>
      </w:pPr>
    </w:p>
    <w:p w:rsidR="002C01A5" w:rsidRDefault="002C01A5" w:rsidP="00D42FE0">
      <w:pPr>
        <w:pStyle w:val="BodyText"/>
      </w:pPr>
    </w:p>
    <w:p w:rsidR="00F6257E" w:rsidRDefault="009D77B4" w:rsidP="00081CB4">
      <w:pPr>
        <w:pStyle w:val="Heading1"/>
      </w:pPr>
      <w:bookmarkStart w:id="7" w:name="_Toc430464394"/>
      <w:r>
        <w:lastRenderedPageBreak/>
        <w:t>PERFORMANCE</w:t>
      </w:r>
      <w:bookmarkEnd w:id="7"/>
    </w:p>
    <w:p w:rsidR="00D42FE0" w:rsidRDefault="00F06177" w:rsidP="00D42FE0">
      <w:pPr>
        <w:pStyle w:val="BodyText"/>
      </w:pPr>
      <w:r>
        <w:t>Chapter 4</w:t>
      </w:r>
      <w:r w:rsidR="00D42FE0" w:rsidRPr="000B04CE">
        <w:t xml:space="preserve"> describes the Climate Change Authority’s performance in achieving the deliverables </w:t>
      </w:r>
      <w:r w:rsidR="00D42FE0">
        <w:t>against the key</w:t>
      </w:r>
      <w:r w:rsidR="00D42FE0" w:rsidRPr="000B04CE">
        <w:t xml:space="preserve"> performance indicators for Program 1</w:t>
      </w:r>
      <w:r w:rsidR="001F52BD">
        <w:t>.1</w:t>
      </w:r>
      <w:r w:rsidR="00D42FE0" w:rsidRPr="000B04CE">
        <w:t xml:space="preserve">: </w:t>
      </w:r>
      <w:r w:rsidR="001F52BD" w:rsidRPr="0013346F">
        <w:t>Reviewing Climate Change Mitigation Policies</w:t>
      </w:r>
      <w:r w:rsidR="001F52BD">
        <w:t xml:space="preserve"> </w:t>
      </w:r>
    </w:p>
    <w:tbl>
      <w:tblPr>
        <w:tblStyle w:val="CCATablebox"/>
        <w:tblW w:w="0" w:type="auto"/>
        <w:tblLook w:val="04A0" w:firstRow="1" w:lastRow="0" w:firstColumn="1" w:lastColumn="0" w:noHBand="0" w:noVBand="1"/>
      </w:tblPr>
      <w:tblGrid>
        <w:gridCol w:w="9639"/>
      </w:tblGrid>
      <w:tr w:rsidR="00CA360A" w:rsidTr="00AA1791">
        <w:trPr>
          <w:cnfStyle w:val="100000000000" w:firstRow="1" w:lastRow="0" w:firstColumn="0" w:lastColumn="0" w:oddVBand="0" w:evenVBand="0" w:oddHBand="0" w:evenHBand="0" w:firstRowFirstColumn="0" w:firstRowLastColumn="0" w:lastRowFirstColumn="0" w:lastRowLastColumn="0"/>
        </w:trPr>
        <w:tc>
          <w:tcPr>
            <w:tcW w:w="9855" w:type="dxa"/>
          </w:tcPr>
          <w:p w:rsidR="00CA360A" w:rsidRPr="00E627B5" w:rsidRDefault="00CA360A" w:rsidP="00DD1A80">
            <w:pPr>
              <w:pStyle w:val="Headingnumberedbox"/>
              <w:rPr>
                <w:rStyle w:val="Textbold"/>
                <w:b/>
              </w:rPr>
            </w:pPr>
            <w:r w:rsidRPr="00E627B5">
              <w:rPr>
                <w:rStyle w:val="Textbold"/>
                <w:b/>
              </w:rPr>
              <w:t>P</w:t>
            </w:r>
            <w:r w:rsidR="00E627B5" w:rsidRPr="00E627B5">
              <w:rPr>
                <w:rStyle w:val="Textbold"/>
                <w:b/>
              </w:rPr>
              <w:t>rogram</w:t>
            </w:r>
            <w:r w:rsidR="00E627B5">
              <w:rPr>
                <w:rStyle w:val="Textbold"/>
              </w:rPr>
              <w:t xml:space="preserve"> </w:t>
            </w:r>
            <w:r w:rsidR="002C01A5">
              <w:rPr>
                <w:rStyle w:val="Textbold"/>
                <w:b/>
              </w:rPr>
              <w:t>1</w:t>
            </w:r>
            <w:r w:rsidR="004531C0">
              <w:rPr>
                <w:rStyle w:val="Textbold"/>
                <w:b/>
              </w:rPr>
              <w:t>.1</w:t>
            </w:r>
            <w:r w:rsidR="002C01A5">
              <w:rPr>
                <w:rStyle w:val="Textbold"/>
                <w:b/>
              </w:rPr>
              <w:t xml:space="preserve"> </w:t>
            </w:r>
            <w:r w:rsidR="004531C0" w:rsidRPr="0013346F">
              <w:t>Reviewing Climate Change Mitigation Policies</w:t>
            </w:r>
          </w:p>
          <w:p w:rsidR="00CA360A" w:rsidRPr="00CA360A" w:rsidRDefault="00CA360A" w:rsidP="00521939">
            <w:pPr>
              <w:pStyle w:val="TableText"/>
            </w:pPr>
            <w:r>
              <w:rPr>
                <w:rStyle w:val="Textbold"/>
              </w:rPr>
              <w:t>Program o</w:t>
            </w:r>
            <w:r w:rsidRPr="00CA360A">
              <w:rPr>
                <w:rStyle w:val="Textbold"/>
              </w:rPr>
              <w:t>bjective:</w:t>
            </w:r>
            <w:r w:rsidRPr="00CA360A">
              <w:t xml:space="preserve"> The Authority</w:t>
            </w:r>
            <w:r w:rsidR="0091186D">
              <w:t>’</w:t>
            </w:r>
            <w:r w:rsidRPr="00CA360A">
              <w:t xml:space="preserve">s </w:t>
            </w:r>
            <w:r w:rsidR="00351F64">
              <w:t xml:space="preserve">primary </w:t>
            </w:r>
            <w:r w:rsidRPr="00CA360A">
              <w:t xml:space="preserve">objective is to </w:t>
            </w:r>
            <w:r w:rsidR="00351F64">
              <w:t xml:space="preserve">provide expert independent advice on the </w:t>
            </w:r>
            <w:r w:rsidR="004F066B">
              <w:t>g</w:t>
            </w:r>
            <w:r w:rsidR="00351F64">
              <w:t>overnment</w:t>
            </w:r>
            <w:r w:rsidR="0091186D">
              <w:t>’</w:t>
            </w:r>
            <w:r w:rsidR="00351F64">
              <w:t>s</w:t>
            </w:r>
            <w:r w:rsidRPr="00CA360A">
              <w:t xml:space="preserve"> climate change mitigation initiatives. </w:t>
            </w:r>
          </w:p>
          <w:p w:rsidR="00CA360A" w:rsidRPr="00CA360A" w:rsidRDefault="00CA360A" w:rsidP="00521939">
            <w:pPr>
              <w:pStyle w:val="TableText"/>
              <w:rPr>
                <w:rStyle w:val="Textbold"/>
                <w:bCs w:val="0"/>
              </w:rPr>
            </w:pPr>
            <w:r w:rsidRPr="000B04CE">
              <w:rPr>
                <w:rStyle w:val="Textbold"/>
              </w:rPr>
              <w:t>Deliverables</w:t>
            </w:r>
          </w:p>
          <w:p w:rsidR="00E93022" w:rsidRDefault="00E93022" w:rsidP="00E93022">
            <w:pPr>
              <w:pStyle w:val="TableListBullet"/>
            </w:pPr>
            <w:r>
              <w:t xml:space="preserve">Complete a review </w:t>
            </w:r>
            <w:r w:rsidR="008A438D">
              <w:t xml:space="preserve">of </w:t>
            </w:r>
            <w:r>
              <w:t>the Renewable Energy Target by 31 December 2014</w:t>
            </w:r>
            <w:r w:rsidR="004F066B">
              <w:t>.</w:t>
            </w:r>
          </w:p>
          <w:p w:rsidR="00E93022" w:rsidRPr="000B04CE" w:rsidRDefault="00E93022" w:rsidP="00E93022">
            <w:pPr>
              <w:pStyle w:val="TableListBullet"/>
            </w:pPr>
            <w:r>
              <w:t>Complete a review of the Carbon Farming Initiative by 31 December 2014</w:t>
            </w:r>
            <w:r w:rsidR="004F066B">
              <w:t>.</w:t>
            </w:r>
          </w:p>
          <w:p w:rsidR="00854A1D" w:rsidRDefault="00CA360A" w:rsidP="00521939">
            <w:pPr>
              <w:pStyle w:val="TableListBullet"/>
            </w:pPr>
            <w:r w:rsidRPr="000B04CE">
              <w:t>Complete</w:t>
            </w:r>
            <w:r w:rsidR="004F066B">
              <w:t xml:space="preserve"> a</w:t>
            </w:r>
            <w:r w:rsidRPr="000B04CE">
              <w:t xml:space="preserve"> </w:t>
            </w:r>
            <w:r w:rsidR="00BC72B1">
              <w:t xml:space="preserve">draft report on emissions reduction targets </w:t>
            </w:r>
            <w:r w:rsidR="00A624D3">
              <w:t xml:space="preserve">for </w:t>
            </w:r>
            <w:r w:rsidR="00BC72B1">
              <w:t>Australia for publ</w:t>
            </w:r>
            <w:r w:rsidR="00191E1B">
              <w:t>ic consultation by 30 June 2015</w:t>
            </w:r>
            <w:r w:rsidR="004F066B">
              <w:t>.</w:t>
            </w:r>
          </w:p>
          <w:p w:rsidR="00CA360A" w:rsidRPr="00CA360A" w:rsidRDefault="00CA360A" w:rsidP="00521939">
            <w:pPr>
              <w:pStyle w:val="TableText"/>
              <w:rPr>
                <w:rStyle w:val="Textbold"/>
                <w:bCs w:val="0"/>
              </w:rPr>
            </w:pPr>
            <w:r w:rsidRPr="000B04CE">
              <w:rPr>
                <w:rStyle w:val="Textbold"/>
              </w:rPr>
              <w:t xml:space="preserve">Key </w:t>
            </w:r>
            <w:r w:rsidR="0091186D">
              <w:rPr>
                <w:rStyle w:val="Textbold"/>
              </w:rPr>
              <w:t>p</w:t>
            </w:r>
            <w:r w:rsidRPr="000B04CE">
              <w:rPr>
                <w:rStyle w:val="Textbold"/>
              </w:rPr>
              <w:t xml:space="preserve">erformance </w:t>
            </w:r>
            <w:r w:rsidR="0091186D">
              <w:rPr>
                <w:rStyle w:val="Textbold"/>
              </w:rPr>
              <w:t>i</w:t>
            </w:r>
            <w:r w:rsidRPr="000B04CE">
              <w:rPr>
                <w:rStyle w:val="Textbold"/>
              </w:rPr>
              <w:t>ndicators</w:t>
            </w:r>
          </w:p>
          <w:p w:rsidR="00CA360A" w:rsidRPr="000B04CE" w:rsidRDefault="00CA360A" w:rsidP="00521939">
            <w:pPr>
              <w:pStyle w:val="TableListBullet"/>
            </w:pPr>
            <w:r w:rsidRPr="000B04CE">
              <w:t>The quality of reviews, including their reception by stakeholders and use in public policy forums and discussions</w:t>
            </w:r>
            <w:r w:rsidR="004F066B">
              <w:t>.</w:t>
            </w:r>
            <w:r w:rsidRPr="000B04CE">
              <w:t xml:space="preserve"> </w:t>
            </w:r>
          </w:p>
          <w:p w:rsidR="00CA360A" w:rsidRPr="000B04CE" w:rsidRDefault="00CA360A" w:rsidP="00521939">
            <w:pPr>
              <w:pStyle w:val="TableListBullet"/>
            </w:pPr>
            <w:r w:rsidRPr="000B04CE">
              <w:t>The delivery of reviews within legislated time</w:t>
            </w:r>
            <w:r w:rsidR="0091186D">
              <w:t xml:space="preserve"> </w:t>
            </w:r>
            <w:r w:rsidRPr="000B04CE">
              <w:t>frames</w:t>
            </w:r>
            <w:r w:rsidR="004F066B">
              <w:t>.</w:t>
            </w:r>
            <w:r w:rsidRPr="000B04CE">
              <w:t xml:space="preserve"> </w:t>
            </w:r>
          </w:p>
          <w:p w:rsidR="00CA360A" w:rsidRPr="000B04CE" w:rsidRDefault="00CA360A" w:rsidP="00521939">
            <w:pPr>
              <w:pStyle w:val="TableListBullet"/>
            </w:pPr>
            <w:r w:rsidRPr="000B04CE">
              <w:t>The transparency and accessibility of the public consultation processes for reviews, including that they are highly regarded by stakeholders</w:t>
            </w:r>
            <w:r w:rsidR="004F066B">
              <w:t>.</w:t>
            </w:r>
          </w:p>
          <w:p w:rsidR="00CA360A" w:rsidRDefault="00CA360A" w:rsidP="00521939">
            <w:pPr>
              <w:pStyle w:val="TableListBullet"/>
            </w:pPr>
            <w:r w:rsidRPr="000B04CE">
              <w:t>The independence of the Authority</w:t>
            </w:r>
            <w:r w:rsidR="0091186D">
              <w:t>’</w:t>
            </w:r>
            <w:r w:rsidRPr="000B04CE">
              <w:t>s decision-making in conducting and completing reviews, including the perception of independence by stakeholders</w:t>
            </w:r>
            <w:r w:rsidR="004F066B">
              <w:t>.</w:t>
            </w:r>
          </w:p>
        </w:tc>
      </w:tr>
    </w:tbl>
    <w:p w:rsidR="004531C0" w:rsidRDefault="004531C0" w:rsidP="004531C0">
      <w:pPr>
        <w:pStyle w:val="Heading2"/>
      </w:pPr>
      <w:bookmarkStart w:id="8" w:name="_Toc430464395"/>
      <w:r>
        <w:t xml:space="preserve">Renewable Energy Target </w:t>
      </w:r>
      <w:r w:rsidR="004F066B">
        <w:t>r</w:t>
      </w:r>
      <w:r>
        <w:t>eview</w:t>
      </w:r>
      <w:bookmarkEnd w:id="8"/>
    </w:p>
    <w:p w:rsidR="00E93022" w:rsidRDefault="004531C0" w:rsidP="00E93022">
      <w:pPr>
        <w:pStyle w:val="Heading3"/>
      </w:pPr>
      <w:bookmarkStart w:id="9" w:name="_Toc430464396"/>
      <w:r>
        <w:t>Legislative r</w:t>
      </w:r>
      <w:r w:rsidR="00E93022">
        <w:t>equirements</w:t>
      </w:r>
      <w:bookmarkEnd w:id="9"/>
      <w:r w:rsidR="00E93022">
        <w:t xml:space="preserve"> </w:t>
      </w:r>
    </w:p>
    <w:p w:rsidR="00462CFA" w:rsidRDefault="0056200C" w:rsidP="00C06150">
      <w:pPr>
        <w:pStyle w:val="BodyText"/>
        <w:rPr>
          <w:lang w:val="en-GB" w:eastAsia="en-AU"/>
        </w:rPr>
      </w:pPr>
      <w:r>
        <w:rPr>
          <w:lang w:val="en-GB" w:eastAsia="en-AU"/>
        </w:rPr>
        <w:t xml:space="preserve">The </w:t>
      </w:r>
      <w:r w:rsidRPr="0091598D">
        <w:rPr>
          <w:iCs/>
          <w:lang w:val="en-GB" w:eastAsia="en-AU"/>
        </w:rPr>
        <w:t>Renewable Energy (Electricity) Act</w:t>
      </w:r>
      <w:r>
        <w:rPr>
          <w:i/>
          <w:iCs/>
          <w:lang w:val="en-GB" w:eastAsia="en-AU"/>
        </w:rPr>
        <w:t xml:space="preserve"> </w:t>
      </w:r>
      <w:r w:rsidRPr="0091598D">
        <w:rPr>
          <w:iCs/>
          <w:lang w:val="en-GB" w:eastAsia="en-AU"/>
        </w:rPr>
        <w:t>2000</w:t>
      </w:r>
      <w:r>
        <w:rPr>
          <w:i/>
          <w:iCs/>
          <w:lang w:val="en-GB" w:eastAsia="en-AU"/>
        </w:rPr>
        <w:t xml:space="preserve"> </w:t>
      </w:r>
      <w:r>
        <w:rPr>
          <w:lang w:val="en-GB" w:eastAsia="en-AU"/>
        </w:rPr>
        <w:t xml:space="preserve">and </w:t>
      </w:r>
      <w:r w:rsidRPr="0091598D">
        <w:rPr>
          <w:iCs/>
          <w:lang w:val="en-GB" w:eastAsia="en-AU"/>
        </w:rPr>
        <w:t>Climate Change Authority Act 2011</w:t>
      </w:r>
      <w:r>
        <w:rPr>
          <w:lang w:val="en-GB" w:eastAsia="en-AU"/>
        </w:rPr>
        <w:t xml:space="preserve"> </w:t>
      </w:r>
      <w:r w:rsidRPr="0091598D">
        <w:t>required</w:t>
      </w:r>
      <w:r>
        <w:rPr>
          <w:lang w:val="en-GB" w:eastAsia="en-AU"/>
        </w:rPr>
        <w:t xml:space="preserve"> that the Authority review the RET every two years. The Acts provided the Authority considerable discretion in the scope and conduct of the review. Since completion of the 2014 review, Parliament has amended the Acts; the Authority is no longer obliged to review the RET. </w:t>
      </w:r>
    </w:p>
    <w:p w:rsidR="00E93022" w:rsidRDefault="00E93022" w:rsidP="00E93022">
      <w:pPr>
        <w:pStyle w:val="Heading3"/>
      </w:pPr>
      <w:bookmarkStart w:id="10" w:name="_Toc430464397"/>
      <w:r>
        <w:t>Conduct of the review</w:t>
      </w:r>
      <w:bookmarkEnd w:id="10"/>
    </w:p>
    <w:p w:rsidR="0056200C" w:rsidRDefault="0056200C" w:rsidP="0056200C">
      <w:pPr>
        <w:pStyle w:val="BodyText"/>
      </w:pPr>
      <w:r w:rsidRPr="00FF0BFC">
        <w:t xml:space="preserve">Uncertainty about the future of the Authority and staffing constraints </w:t>
      </w:r>
      <w:r>
        <w:t xml:space="preserve">meant that the RET review was </w:t>
      </w:r>
      <w:r w:rsidRPr="00FF0BFC">
        <w:t>conducted over a short time</w:t>
      </w:r>
      <w:r w:rsidR="004F066B">
        <w:t xml:space="preserve"> </w:t>
      </w:r>
      <w:r w:rsidRPr="00FF0BFC">
        <w:t>frame</w:t>
      </w:r>
      <w:r w:rsidR="004F066B">
        <w:t>,</w:t>
      </w:r>
      <w:r>
        <w:t xml:space="preserve"> but the Authority met the legislated deadline of 31 December 2014</w:t>
      </w:r>
      <w:r w:rsidRPr="00FF0BFC">
        <w:t xml:space="preserve">. </w:t>
      </w:r>
      <w:r>
        <w:t xml:space="preserve"> </w:t>
      </w:r>
    </w:p>
    <w:p w:rsidR="0056200C" w:rsidRDefault="0056200C" w:rsidP="0056200C">
      <w:pPr>
        <w:pStyle w:val="BodyText"/>
      </w:pPr>
      <w:r>
        <w:t xml:space="preserve">The Authority conducted a tightly focused review exploring the key issues of: </w:t>
      </w:r>
    </w:p>
    <w:p w:rsidR="0056200C" w:rsidRDefault="0056200C" w:rsidP="00161A77">
      <w:pPr>
        <w:pStyle w:val="BodyText"/>
        <w:numPr>
          <w:ilvl w:val="0"/>
          <w:numId w:val="22"/>
        </w:numPr>
      </w:pPr>
      <w:r>
        <w:t>the feasibility and desirability of retaining the Large-scale Renewable Energy Target (LRE</w:t>
      </w:r>
      <w:r w:rsidR="00191E1B">
        <w:t>T) at its then-legislated level</w:t>
      </w:r>
      <w:r>
        <w:t xml:space="preserve"> </w:t>
      </w:r>
    </w:p>
    <w:p w:rsidR="0056200C" w:rsidRDefault="0056200C" w:rsidP="00161A77">
      <w:pPr>
        <w:pStyle w:val="BodyText"/>
        <w:numPr>
          <w:ilvl w:val="0"/>
          <w:numId w:val="22"/>
        </w:numPr>
      </w:pPr>
      <w:r>
        <w:t>t</w:t>
      </w:r>
      <w:r w:rsidR="00191E1B">
        <w:t>he future of the RET after 2020</w:t>
      </w:r>
      <w:r>
        <w:t xml:space="preserve"> </w:t>
      </w:r>
    </w:p>
    <w:p w:rsidR="0056200C" w:rsidRDefault="0056200C" w:rsidP="00161A77">
      <w:pPr>
        <w:pStyle w:val="BodyText"/>
        <w:numPr>
          <w:ilvl w:val="0"/>
          <w:numId w:val="22"/>
        </w:numPr>
      </w:pPr>
      <w:r>
        <w:t>exemptions for emissions-inte</w:t>
      </w:r>
      <w:r w:rsidR="00191E1B">
        <w:t>nsive, trade-exposed industries</w:t>
      </w:r>
    </w:p>
    <w:p w:rsidR="0056200C" w:rsidRDefault="0056200C" w:rsidP="00161A77">
      <w:pPr>
        <w:pStyle w:val="BodyText"/>
        <w:numPr>
          <w:ilvl w:val="0"/>
          <w:numId w:val="22"/>
        </w:numPr>
      </w:pPr>
      <w:r>
        <w:t xml:space="preserve">the level of assistance for solar photovoltaic systems under the Small-scale Renewable Energy Scheme (SRES). </w:t>
      </w:r>
    </w:p>
    <w:p w:rsidR="0056200C" w:rsidRDefault="0056200C" w:rsidP="0056200C">
      <w:pPr>
        <w:pStyle w:val="BodyText"/>
      </w:pPr>
      <w:r w:rsidRPr="00B06763">
        <w:t xml:space="preserve">The Authority drew on the analysis and public consultations conducted for its 2012 RET </w:t>
      </w:r>
      <w:r>
        <w:t>r</w:t>
      </w:r>
      <w:r w:rsidRPr="00B06763">
        <w:t xml:space="preserve">eview, as well as the 2014 review commissioned by the </w:t>
      </w:r>
      <w:r w:rsidR="004F066B">
        <w:t>g</w:t>
      </w:r>
      <w:r w:rsidRPr="00B06763">
        <w:t>overnment and led by Mr Dick Warburton</w:t>
      </w:r>
      <w:r w:rsidR="004F066B">
        <w:t>,</w:t>
      </w:r>
      <w:r w:rsidRPr="00B06763">
        <w:t xml:space="preserve"> AO</w:t>
      </w:r>
      <w:r w:rsidR="004F066B">
        <w:t>,</w:t>
      </w:r>
      <w:r w:rsidRPr="00B06763">
        <w:t xml:space="preserve"> LVO</w:t>
      </w:r>
      <w:r>
        <w:t xml:space="preserve"> (the Warburton Review)</w:t>
      </w:r>
      <w:r w:rsidRPr="00B06763">
        <w:t>. The Authority also invited interested stakeholders to provide additional</w:t>
      </w:r>
      <w:r>
        <w:t xml:space="preserve"> input.</w:t>
      </w:r>
    </w:p>
    <w:p w:rsidR="00E93022" w:rsidRDefault="003B64E4" w:rsidP="00E93022">
      <w:pPr>
        <w:pStyle w:val="Heading3"/>
      </w:pPr>
      <w:bookmarkStart w:id="11" w:name="_Toc430464398"/>
      <w:r>
        <w:lastRenderedPageBreak/>
        <w:t>Key findings</w:t>
      </w:r>
      <w:bookmarkEnd w:id="11"/>
      <w:r>
        <w:t xml:space="preserve"> </w:t>
      </w:r>
    </w:p>
    <w:p w:rsidR="0056200C" w:rsidRDefault="0056200C" w:rsidP="0056200C">
      <w:pPr>
        <w:pStyle w:val="BodyText"/>
      </w:pPr>
      <w:r>
        <w:t>The review, which was published on 22 December 2014, made two recommendations:</w:t>
      </w:r>
    </w:p>
    <w:p w:rsidR="0056200C" w:rsidRDefault="0056200C" w:rsidP="0091598D">
      <w:pPr>
        <w:pStyle w:val="ListBullet"/>
      </w:pPr>
      <w:r>
        <w:t>retain the level but defer the</w:t>
      </w:r>
      <w:r w:rsidR="00F1094B">
        <w:t xml:space="preserve"> timing of the 2020 LRET target</w:t>
      </w:r>
    </w:p>
    <w:p w:rsidR="0056200C" w:rsidRDefault="0056200C" w:rsidP="0091598D">
      <w:pPr>
        <w:pStyle w:val="ListBullet"/>
      </w:pPr>
      <w:r>
        <w:t xml:space="preserve">consider increasing and expanding the RET beyond 2020, to sustain emissions reductions in the electricity sector over the longer term. </w:t>
      </w:r>
    </w:p>
    <w:p w:rsidR="0056200C" w:rsidRDefault="0056200C" w:rsidP="0056200C">
      <w:pPr>
        <w:pStyle w:val="BodyText"/>
      </w:pPr>
      <w:r>
        <w:t>The Authority reviewed the changes in policy, investment levels and electricity demand outlook since its 2012 RET review, and found no compelling case to reduce the target. Nevertheless, the Authority considered that those developments warranted extending the time</w:t>
      </w:r>
      <w:r w:rsidR="004F066B">
        <w:t xml:space="preserve"> </w:t>
      </w:r>
      <w:r>
        <w:t>frame to achieve the target by up to three years. Reducing electricity sector emissions must remain a key focus for Australia over the coming decades if it is to play its part in global action on climate change. In the absence of effective alternatives,</w:t>
      </w:r>
      <w:r w:rsidR="00191E1B">
        <w:t xml:space="preserve"> the Authority recommended the G</w:t>
      </w:r>
      <w:r>
        <w:t>overnment consider increasing and extending the RET targets, and expanding arrangements to cover a wider set of technologies.</w:t>
      </w:r>
    </w:p>
    <w:p w:rsidR="0056200C" w:rsidRDefault="0056200C" w:rsidP="0056200C">
      <w:pPr>
        <w:pStyle w:val="BodyText"/>
        <w:rPr>
          <w:lang w:val="en-GB" w:eastAsia="en-AU"/>
        </w:rPr>
      </w:pPr>
      <w:r>
        <w:t>The Authority also concluded that the RET’s overall impact on electri</w:t>
      </w:r>
      <w:r w:rsidR="00F1094B">
        <w:t>city consumers was quite modest</w:t>
      </w:r>
      <w:r>
        <w:t xml:space="preserve"> </w:t>
      </w:r>
      <w:r w:rsidR="00191E1B">
        <w:t xml:space="preserve">and </w:t>
      </w:r>
      <w:r>
        <w:t>that no changes to the SRES were warranted as it was to phase out shortly after the completion of the review</w:t>
      </w:r>
      <w:r w:rsidR="00462CFA">
        <w:t>. The Authority concluded further</w:t>
      </w:r>
      <w:r>
        <w:t xml:space="preserve"> that the frequency of reviews should be changed from every two to every four years to reduce investment uncertainty</w:t>
      </w:r>
      <w:r w:rsidR="00C54C5C">
        <w:t>,</w:t>
      </w:r>
      <w:r>
        <w:t xml:space="preserve"> given the possibility of policy changes resulting from review recommendations. </w:t>
      </w:r>
    </w:p>
    <w:p w:rsidR="00E93022" w:rsidRDefault="00E93022" w:rsidP="00E93022">
      <w:pPr>
        <w:pStyle w:val="Heading3"/>
      </w:pPr>
      <w:bookmarkStart w:id="12" w:name="_Toc430464399"/>
      <w:r>
        <w:t>Performance against key performance indicators</w:t>
      </w:r>
      <w:bookmarkEnd w:id="12"/>
    </w:p>
    <w:p w:rsidR="0056200C" w:rsidRDefault="0056200C" w:rsidP="0056200C">
      <w:pPr>
        <w:rPr>
          <w:rFonts w:cs="Arial"/>
          <w:szCs w:val="21"/>
        </w:rPr>
      </w:pPr>
      <w:r>
        <w:rPr>
          <w:rFonts w:cs="Arial"/>
          <w:szCs w:val="21"/>
        </w:rPr>
        <w:t xml:space="preserve">Following is an assessment of the Authority’s performance in conducting the RET </w:t>
      </w:r>
      <w:r w:rsidR="004F066B">
        <w:rPr>
          <w:rFonts w:cs="Arial"/>
          <w:szCs w:val="21"/>
        </w:rPr>
        <w:t>r</w:t>
      </w:r>
      <w:r>
        <w:rPr>
          <w:rFonts w:cs="Arial"/>
          <w:szCs w:val="21"/>
        </w:rPr>
        <w:t>eview:</w:t>
      </w:r>
    </w:p>
    <w:p w:rsidR="0056200C" w:rsidRDefault="0056200C" w:rsidP="0056200C">
      <w:pPr>
        <w:pStyle w:val="ListBullet"/>
      </w:pPr>
      <w:r>
        <w:rPr>
          <w:i/>
          <w:iCs/>
        </w:rPr>
        <w:t>The quality of reviews, including their reception by stakeholders and use in public policy forums and discussions.</w:t>
      </w:r>
    </w:p>
    <w:p w:rsidR="0056200C" w:rsidRPr="00B06763" w:rsidRDefault="0056200C" w:rsidP="0056200C">
      <w:pPr>
        <w:pStyle w:val="ListBullet2"/>
      </w:pPr>
      <w:r w:rsidRPr="00B06763">
        <w:t xml:space="preserve">The RET review was generally well received and attracted a reasonable </w:t>
      </w:r>
      <w:r>
        <w:t xml:space="preserve">level of </w:t>
      </w:r>
      <w:r w:rsidRPr="00B06763">
        <w:t xml:space="preserve">discussion by stakeholders. </w:t>
      </w:r>
    </w:p>
    <w:p w:rsidR="0056200C" w:rsidRDefault="0056200C" w:rsidP="0056200C">
      <w:pPr>
        <w:pStyle w:val="ListBullet2"/>
      </w:pPr>
      <w:r>
        <w:t xml:space="preserve">The </w:t>
      </w:r>
      <w:r w:rsidR="004F066B">
        <w:t>g</w:t>
      </w:r>
      <w:r>
        <w:t xml:space="preserve">overnment noted the Authority’s recommendations in its formal response to the review. </w:t>
      </w:r>
    </w:p>
    <w:p w:rsidR="0056200C" w:rsidRDefault="0056200C" w:rsidP="0056200C">
      <w:pPr>
        <w:pStyle w:val="ListBullet2"/>
      </w:pPr>
      <w:r>
        <w:t xml:space="preserve">The Authority is currently examining post-2020 mitigation policies for the electricity sector, building on the conclusions and recommendations of the RET </w:t>
      </w:r>
      <w:r w:rsidR="004F066B">
        <w:t>r</w:t>
      </w:r>
      <w:r>
        <w:t xml:space="preserve">eview. This work is generating strong interest among stakeholders, and will inform the final report of the Authority’s Special Review. </w:t>
      </w:r>
    </w:p>
    <w:p w:rsidR="0056200C" w:rsidRDefault="0056200C" w:rsidP="0056200C">
      <w:pPr>
        <w:pStyle w:val="ListBullet"/>
        <w:rPr>
          <w:i/>
          <w:iCs/>
        </w:rPr>
      </w:pPr>
      <w:r>
        <w:rPr>
          <w:i/>
          <w:iCs/>
        </w:rPr>
        <w:t>The delivery of reviews within legislated time frames.</w:t>
      </w:r>
    </w:p>
    <w:p w:rsidR="0056200C" w:rsidRDefault="0056200C" w:rsidP="0056200C">
      <w:pPr>
        <w:pStyle w:val="ListBullet2"/>
      </w:pPr>
      <w:r>
        <w:t>The 2014 RET review was delivered on 22 December 2014, ahead of its statutory deadline of 31</w:t>
      </w:r>
      <w:r w:rsidR="004F066B">
        <w:t> </w:t>
      </w:r>
      <w:r>
        <w:t>December</w:t>
      </w:r>
      <w:r w:rsidR="004B5E22">
        <w:t xml:space="preserve"> 2014</w:t>
      </w:r>
      <w:r>
        <w:t xml:space="preserve">. </w:t>
      </w:r>
    </w:p>
    <w:p w:rsidR="0056200C" w:rsidRDefault="0056200C" w:rsidP="0056200C">
      <w:pPr>
        <w:pStyle w:val="ListBullet"/>
        <w:rPr>
          <w:i/>
          <w:iCs/>
        </w:rPr>
      </w:pPr>
      <w:r>
        <w:rPr>
          <w:i/>
          <w:iCs/>
        </w:rPr>
        <w:t xml:space="preserve">The transparency and accessibility of the public consultation processes for reviews, including that they are highly regarded by stakeholders. </w:t>
      </w:r>
    </w:p>
    <w:p w:rsidR="0056200C" w:rsidRDefault="0056200C" w:rsidP="0056200C">
      <w:pPr>
        <w:pStyle w:val="ListBullet2"/>
      </w:pPr>
      <w:r>
        <w:t xml:space="preserve">Consultation processes built on other public consultation on the RET held in 2014, including submissions to the Warburton Review. This minimised demands on stakeholders while ensuring they had opportunities to provide any additional views and input. </w:t>
      </w:r>
    </w:p>
    <w:p w:rsidR="0056200C" w:rsidRPr="00F51057" w:rsidRDefault="0056200C" w:rsidP="0056200C">
      <w:pPr>
        <w:pStyle w:val="ListBullet2"/>
      </w:pPr>
      <w:r>
        <w:t xml:space="preserve">The Authority issued an open call for comment on its website, and an email alert to stakeholders that subscribe to its emailed newsletter. </w:t>
      </w:r>
      <w:r w:rsidRPr="00F51057">
        <w:t>All submissions were published on the Authority’s website.</w:t>
      </w:r>
      <w:r>
        <w:t xml:space="preserve"> The Authority secretariat met with more than 20 stakeholders representing industry, environment and other interests. </w:t>
      </w:r>
    </w:p>
    <w:p w:rsidR="0056200C" w:rsidRDefault="0056200C" w:rsidP="0056200C">
      <w:pPr>
        <w:pStyle w:val="ListBullet2"/>
      </w:pPr>
      <w:r w:rsidRPr="008A34B5">
        <w:lastRenderedPageBreak/>
        <w:t>Despite the tight time</w:t>
      </w:r>
      <w:r w:rsidR="004B5E22">
        <w:t xml:space="preserve"> </w:t>
      </w:r>
      <w:r w:rsidRPr="008A34B5">
        <w:t>frames, no stakeholders raised concerns about consultation</w:t>
      </w:r>
      <w:r>
        <w:t xml:space="preserve"> processes</w:t>
      </w:r>
      <w:r w:rsidRPr="008A34B5">
        <w:t xml:space="preserve"> and some expressed thanks at the level of </w:t>
      </w:r>
      <w:r>
        <w:t>engagement</w:t>
      </w:r>
      <w:r w:rsidRPr="008A34B5">
        <w:t xml:space="preserve">. </w:t>
      </w:r>
    </w:p>
    <w:p w:rsidR="0056200C" w:rsidRPr="008A34B5" w:rsidRDefault="0056200C" w:rsidP="0056200C">
      <w:pPr>
        <w:pStyle w:val="ListBullet2"/>
      </w:pPr>
      <w:r>
        <w:t xml:space="preserve">The report and related analysis is available on the Authority’s website. </w:t>
      </w:r>
    </w:p>
    <w:p w:rsidR="0056200C" w:rsidRPr="008A34B5" w:rsidRDefault="0056200C" w:rsidP="0056200C">
      <w:pPr>
        <w:pStyle w:val="ListBullet"/>
        <w:rPr>
          <w:i/>
        </w:rPr>
      </w:pPr>
      <w:r w:rsidRPr="008A34B5">
        <w:rPr>
          <w:i/>
        </w:rPr>
        <w:t>The independence of the Authority‘s decision-making in conducting and completing reviews, including the perception of independence by stakeholders.</w:t>
      </w:r>
    </w:p>
    <w:p w:rsidR="0056200C" w:rsidRPr="008A34B5" w:rsidRDefault="0056200C" w:rsidP="0056200C">
      <w:pPr>
        <w:pStyle w:val="ListBullet2"/>
        <w:rPr>
          <w:iCs/>
        </w:rPr>
      </w:pPr>
      <w:r w:rsidRPr="008A34B5">
        <w:rPr>
          <w:iCs/>
        </w:rPr>
        <w:t xml:space="preserve">The Authority made its recommendations in accordance with its statutory principles after reviewing a large amount of evidence. </w:t>
      </w:r>
    </w:p>
    <w:p w:rsidR="0056200C" w:rsidRPr="008A34B5" w:rsidRDefault="0056200C" w:rsidP="0056200C">
      <w:pPr>
        <w:pStyle w:val="ListBullet2"/>
        <w:rPr>
          <w:iCs/>
        </w:rPr>
      </w:pPr>
      <w:r>
        <w:rPr>
          <w:iCs/>
        </w:rPr>
        <w:t xml:space="preserve">No </w:t>
      </w:r>
      <w:r w:rsidRPr="008A34B5">
        <w:rPr>
          <w:iCs/>
        </w:rPr>
        <w:t xml:space="preserve">stakeholders raised concerns </w:t>
      </w:r>
      <w:r w:rsidR="004B5E22">
        <w:rPr>
          <w:iCs/>
        </w:rPr>
        <w:t xml:space="preserve">about </w:t>
      </w:r>
      <w:r>
        <w:rPr>
          <w:iCs/>
        </w:rPr>
        <w:t xml:space="preserve">the independence of the </w:t>
      </w:r>
      <w:r w:rsidRPr="008A34B5">
        <w:rPr>
          <w:iCs/>
        </w:rPr>
        <w:t>Authority</w:t>
      </w:r>
      <w:r>
        <w:rPr>
          <w:iCs/>
        </w:rPr>
        <w:t xml:space="preserve"> or its review. </w:t>
      </w:r>
    </w:p>
    <w:p w:rsidR="00E93022" w:rsidRPr="00FF0BFC" w:rsidRDefault="00E93022" w:rsidP="00E93022">
      <w:pPr>
        <w:pStyle w:val="Heading2"/>
      </w:pPr>
      <w:bookmarkStart w:id="13" w:name="_Toc430464400"/>
      <w:r w:rsidRPr="00FF0BFC">
        <w:t xml:space="preserve">Carbon Farming Initiative </w:t>
      </w:r>
      <w:r w:rsidR="004B5E22">
        <w:t>r</w:t>
      </w:r>
      <w:r w:rsidRPr="00FF0BFC">
        <w:t>eview</w:t>
      </w:r>
      <w:bookmarkEnd w:id="13"/>
    </w:p>
    <w:p w:rsidR="00E93022" w:rsidRPr="00FF0BFC" w:rsidRDefault="00E93022" w:rsidP="00E93022">
      <w:pPr>
        <w:pStyle w:val="Heading3"/>
        <w:numPr>
          <w:ilvl w:val="2"/>
          <w:numId w:val="8"/>
        </w:numPr>
      </w:pPr>
      <w:bookmarkStart w:id="14" w:name="_Toc430464401"/>
      <w:r w:rsidRPr="00FF0BFC">
        <w:t>Legislative requirements</w:t>
      </w:r>
      <w:bookmarkEnd w:id="14"/>
    </w:p>
    <w:p w:rsidR="00E93022" w:rsidRPr="00FF0BFC" w:rsidRDefault="00E93022" w:rsidP="00E93022">
      <w:pPr>
        <w:pStyle w:val="BodyText"/>
      </w:pPr>
      <w:r w:rsidRPr="00FF0BFC">
        <w:t xml:space="preserve">The Authority is required by the </w:t>
      </w:r>
      <w:r w:rsidRPr="0091598D">
        <w:t>Carbon Credits (Carbon Farming Initiative) Act 2011</w:t>
      </w:r>
      <w:r w:rsidRPr="00FF0BFC">
        <w:t xml:space="preserve"> to review the </w:t>
      </w:r>
      <w:r>
        <w:t>CFI</w:t>
      </w:r>
      <w:r w:rsidRPr="00FF0BFC">
        <w:t xml:space="preserve"> every three years. The first </w:t>
      </w:r>
      <w:r>
        <w:t xml:space="preserve">CFI </w:t>
      </w:r>
      <w:r w:rsidRPr="00FF0BFC">
        <w:t>review was completed in December 2014</w:t>
      </w:r>
      <w:r w:rsidR="00462CFA">
        <w:t>, which me</w:t>
      </w:r>
      <w:r w:rsidR="00FA26F1">
        <w:t>an</w:t>
      </w:r>
      <w:r w:rsidR="00462CFA">
        <w:t>t that the statutory deadline for the review was met</w:t>
      </w:r>
      <w:r w:rsidRPr="00FF0BFC">
        <w:t>.</w:t>
      </w:r>
    </w:p>
    <w:p w:rsidR="00E93022" w:rsidRDefault="00E93022" w:rsidP="00E93022">
      <w:pPr>
        <w:pStyle w:val="Heading3"/>
        <w:numPr>
          <w:ilvl w:val="2"/>
          <w:numId w:val="8"/>
        </w:numPr>
      </w:pPr>
      <w:bookmarkStart w:id="15" w:name="_Toc430464402"/>
      <w:r w:rsidRPr="00FF0BFC">
        <w:t>Conduct of the review</w:t>
      </w:r>
      <w:bookmarkEnd w:id="15"/>
    </w:p>
    <w:p w:rsidR="0056200C" w:rsidRPr="00FF0BFC" w:rsidRDefault="0056200C" w:rsidP="0056200C">
      <w:pPr>
        <w:pStyle w:val="BodyText"/>
      </w:pPr>
      <w:r w:rsidRPr="00FF0BFC">
        <w:t xml:space="preserve">Uncertainty about the future of the Authority and staffing constraints </w:t>
      </w:r>
      <w:r>
        <w:t xml:space="preserve">meant </w:t>
      </w:r>
      <w:r w:rsidRPr="00FF0BFC">
        <w:t xml:space="preserve">the CFI review </w:t>
      </w:r>
      <w:r>
        <w:t xml:space="preserve">was </w:t>
      </w:r>
      <w:r w:rsidRPr="00FF0BFC">
        <w:t>conducted over a short time</w:t>
      </w:r>
      <w:r w:rsidR="004B5E22">
        <w:t xml:space="preserve"> </w:t>
      </w:r>
      <w:r w:rsidRPr="00FF0BFC">
        <w:t xml:space="preserve">frame. </w:t>
      </w:r>
      <w:r>
        <w:t xml:space="preserve">In addition, </w:t>
      </w:r>
      <w:r w:rsidRPr="00FF0BFC">
        <w:t>the CFI was being expanded to form the Emissions Reduction Fund (ERF)</w:t>
      </w:r>
      <w:r>
        <w:t xml:space="preserve"> at the time</w:t>
      </w:r>
      <w:r w:rsidRPr="00FF0BFC">
        <w:t xml:space="preserve">. </w:t>
      </w:r>
      <w:r>
        <w:t xml:space="preserve">The Authority therefore focused on evaluating the </w:t>
      </w:r>
      <w:r w:rsidRPr="00FF0BFC">
        <w:t xml:space="preserve">performance of the CFI </w:t>
      </w:r>
      <w:r>
        <w:t xml:space="preserve">to date, and </w:t>
      </w:r>
      <w:r w:rsidRPr="00FF0BFC">
        <w:t>prospects for improvement under the ERF.</w:t>
      </w:r>
      <w:r w:rsidR="00462CFA">
        <w:t xml:space="preserve"> </w:t>
      </w:r>
    </w:p>
    <w:p w:rsidR="0056200C" w:rsidRPr="00FF0BFC" w:rsidRDefault="0056200C" w:rsidP="0056200C">
      <w:pPr>
        <w:pStyle w:val="BodyText"/>
      </w:pPr>
      <w:r>
        <w:t>T</w:t>
      </w:r>
      <w:r w:rsidRPr="00FF0BFC">
        <w:t>he Authority engaged with a range of stakeholders</w:t>
      </w:r>
      <w:r>
        <w:t>, including CFI participants and administrators, industry and environment groups</w:t>
      </w:r>
      <w:r w:rsidRPr="00FF0BFC">
        <w:t>. An issues paper was released in October</w:t>
      </w:r>
      <w:r>
        <w:t> </w:t>
      </w:r>
      <w:r w:rsidRPr="00FF0BFC">
        <w:t>2014</w:t>
      </w:r>
      <w:r w:rsidR="004B5E22">
        <w:t>—</w:t>
      </w:r>
      <w:r w:rsidRPr="00FF0BFC">
        <w:t xml:space="preserve">17 </w:t>
      </w:r>
      <w:r>
        <w:t xml:space="preserve">formal </w:t>
      </w:r>
      <w:r w:rsidRPr="00FF0BFC">
        <w:t>submissions</w:t>
      </w:r>
      <w:r>
        <w:t xml:space="preserve"> were received and the Authority met with 20 stakeholders individually</w:t>
      </w:r>
      <w:r w:rsidRPr="00FF0BFC">
        <w:t xml:space="preserve">. The Authority </w:t>
      </w:r>
      <w:r>
        <w:t xml:space="preserve">tested its preliminary conclusions with </w:t>
      </w:r>
      <w:r w:rsidRPr="00FF0BFC">
        <w:t xml:space="preserve">stakeholders </w:t>
      </w:r>
      <w:r>
        <w:t xml:space="preserve">at </w:t>
      </w:r>
      <w:r w:rsidRPr="00FF0BFC">
        <w:t xml:space="preserve">a </w:t>
      </w:r>
      <w:r>
        <w:t xml:space="preserve">roundtable </w:t>
      </w:r>
      <w:r w:rsidRPr="00FF0BFC">
        <w:t>meeting in late November 2014.</w:t>
      </w:r>
    </w:p>
    <w:p w:rsidR="00E93022" w:rsidRDefault="00E93022" w:rsidP="00E93022">
      <w:pPr>
        <w:pStyle w:val="Heading3"/>
        <w:numPr>
          <w:ilvl w:val="2"/>
          <w:numId w:val="8"/>
        </w:numPr>
      </w:pPr>
      <w:bookmarkStart w:id="16" w:name="_Toc430464403"/>
      <w:r w:rsidRPr="00FF0BFC">
        <w:t>Key findings</w:t>
      </w:r>
      <w:bookmarkEnd w:id="16"/>
    </w:p>
    <w:p w:rsidR="0056200C" w:rsidRPr="00FF0BFC" w:rsidRDefault="0056200C" w:rsidP="0056200C">
      <w:pPr>
        <w:pStyle w:val="BodyText"/>
      </w:pPr>
      <w:r w:rsidRPr="00FF0BFC">
        <w:t xml:space="preserve">The </w:t>
      </w:r>
      <w:r>
        <w:t xml:space="preserve">CFI </w:t>
      </w:r>
      <w:r w:rsidR="004B5E22">
        <w:t>r</w:t>
      </w:r>
      <w:r w:rsidRPr="00FF0BFC">
        <w:t xml:space="preserve">eview </w:t>
      </w:r>
      <w:r w:rsidR="004B5E22">
        <w:t>r</w:t>
      </w:r>
      <w:r w:rsidRPr="00FF0BFC">
        <w:t xml:space="preserve">eport was provided to the Minister for the Environment on 22 December 2014. The Authority’s key findings </w:t>
      </w:r>
      <w:r>
        <w:t>included</w:t>
      </w:r>
      <w:r w:rsidRPr="00FF0BFC">
        <w:t xml:space="preserve"> that:</w:t>
      </w:r>
    </w:p>
    <w:p w:rsidR="0056200C" w:rsidRPr="00FF0BFC" w:rsidRDefault="0056200C" w:rsidP="0091598D">
      <w:pPr>
        <w:pStyle w:val="ListBullet"/>
      </w:pPr>
      <w:r w:rsidRPr="00FF0BFC">
        <w:t xml:space="preserve">the CFI achieved about 10 million tonnes of </w:t>
      </w:r>
      <w:r>
        <w:t xml:space="preserve">genuine </w:t>
      </w:r>
      <w:r w:rsidRPr="00FF0BFC">
        <w:t>emissions reductions, but participation was lower than it might have been, mainly due to policy uncertainty</w:t>
      </w:r>
    </w:p>
    <w:p w:rsidR="0056200C" w:rsidRPr="00FF0BFC" w:rsidRDefault="0056200C" w:rsidP="0091598D">
      <w:pPr>
        <w:pStyle w:val="ListBullet"/>
      </w:pPr>
      <w:r w:rsidRPr="00FF0BFC">
        <w:t>the E</w:t>
      </w:r>
      <w:r>
        <w:t xml:space="preserve">RF </w:t>
      </w:r>
      <w:r w:rsidRPr="00FF0BFC">
        <w:t xml:space="preserve">makes some important improvements </w:t>
      </w:r>
      <w:r w:rsidR="00F1094B">
        <w:t>on</w:t>
      </w:r>
      <w:r w:rsidRPr="00FF0BFC">
        <w:t xml:space="preserve"> the CFI</w:t>
      </w:r>
      <w:r w:rsidR="004B5E22">
        <w:t>;</w:t>
      </w:r>
      <w:r w:rsidRPr="00FF0BFC">
        <w:t xml:space="preserve"> these should reduce costs and increase participation</w:t>
      </w:r>
    </w:p>
    <w:p w:rsidR="0056200C" w:rsidRDefault="0056200C" w:rsidP="0091598D">
      <w:pPr>
        <w:pStyle w:val="ListBullet"/>
      </w:pPr>
      <w:r w:rsidRPr="00FF0BFC">
        <w:t>the expansion and streamlining of the E</w:t>
      </w:r>
      <w:r>
        <w:t xml:space="preserve">RF </w:t>
      </w:r>
      <w:r w:rsidRPr="00FF0BFC">
        <w:t>introduces some new or expanded risks, particularly the possible crediting of emissions reductions that would have occurred without the scheme (known as ‘non-additional’ emissions reductions)</w:t>
      </w:r>
    </w:p>
    <w:p w:rsidR="0056200C" w:rsidRPr="00FF0BFC" w:rsidRDefault="0056200C" w:rsidP="0091598D">
      <w:pPr>
        <w:pStyle w:val="ListBullet"/>
      </w:pPr>
      <w:r>
        <w:t>by itself and as (then) currently funded, the ERF is unlikely to deliver sufficient emissions reductions to achieve Australia’s 2020 target of a 5 per cent reduction on 2000 levels</w:t>
      </w:r>
      <w:r w:rsidRPr="00FF0BFC">
        <w:t>.</w:t>
      </w:r>
    </w:p>
    <w:p w:rsidR="0056200C" w:rsidRDefault="0056200C" w:rsidP="0056200C">
      <w:pPr>
        <w:pStyle w:val="BodyText"/>
      </w:pPr>
      <w:r w:rsidRPr="00FF0BFC">
        <w:t xml:space="preserve">The Authority </w:t>
      </w:r>
      <w:r>
        <w:t>made two recommendations:</w:t>
      </w:r>
    </w:p>
    <w:p w:rsidR="0056200C" w:rsidRDefault="0056200C" w:rsidP="0091598D">
      <w:pPr>
        <w:pStyle w:val="ListBullet"/>
      </w:pPr>
      <w:r>
        <w:t xml:space="preserve">consider introducing </w:t>
      </w:r>
      <w:r w:rsidRPr="00FF0BFC">
        <w:t>enhanced additionality tests for individual projects that generate a large volume of credits</w:t>
      </w:r>
      <w:r>
        <w:t xml:space="preserve"> under the ERF</w:t>
      </w:r>
    </w:p>
    <w:p w:rsidR="0056200C" w:rsidRPr="00FF0BFC" w:rsidRDefault="0056200C" w:rsidP="0091598D">
      <w:pPr>
        <w:pStyle w:val="ListBullet"/>
      </w:pPr>
      <w:r w:rsidRPr="00FF0BFC">
        <w:lastRenderedPageBreak/>
        <w:t xml:space="preserve">that the ongoing appropriateness of the ERF for achieving emissions reductions in particular situations be </w:t>
      </w:r>
      <w:r>
        <w:t xml:space="preserve">monitored and </w:t>
      </w:r>
      <w:r w:rsidRPr="00FF0BFC">
        <w:t>subject to independent and periodic review.</w:t>
      </w:r>
    </w:p>
    <w:p w:rsidR="00E93022" w:rsidRDefault="00E93022" w:rsidP="00E93022">
      <w:pPr>
        <w:pStyle w:val="Heading3"/>
        <w:numPr>
          <w:ilvl w:val="2"/>
          <w:numId w:val="8"/>
        </w:numPr>
      </w:pPr>
      <w:bookmarkStart w:id="17" w:name="_Toc430464404"/>
      <w:r w:rsidRPr="00FF0BFC">
        <w:t>Performance against key performance indicators</w:t>
      </w:r>
      <w:bookmarkEnd w:id="17"/>
    </w:p>
    <w:p w:rsidR="0056200C" w:rsidRPr="00FF0BFC" w:rsidRDefault="0056200C" w:rsidP="0056200C">
      <w:pPr>
        <w:pStyle w:val="BodyText"/>
      </w:pPr>
      <w:r w:rsidRPr="00FF0BFC">
        <w:t>The Authority’s performance against key internal performance indicators:</w:t>
      </w:r>
    </w:p>
    <w:p w:rsidR="0056200C" w:rsidRPr="00FF0BFC" w:rsidRDefault="0056200C" w:rsidP="0056200C">
      <w:pPr>
        <w:pStyle w:val="ListBullet"/>
        <w:rPr>
          <w:i/>
          <w:iCs/>
        </w:rPr>
      </w:pPr>
      <w:r w:rsidRPr="00FF0BFC">
        <w:rPr>
          <w:i/>
          <w:iCs/>
        </w:rPr>
        <w:t>The quality of reviews, including their reception by stakeholders and use in public policy forums and discussions.</w:t>
      </w:r>
    </w:p>
    <w:p w:rsidR="0056200C" w:rsidRDefault="0056200C" w:rsidP="0056200C">
      <w:pPr>
        <w:pStyle w:val="ListBullet2"/>
        <w:rPr>
          <w:iCs/>
        </w:rPr>
      </w:pPr>
      <w:r w:rsidRPr="000B6C99">
        <w:rPr>
          <w:iCs/>
        </w:rPr>
        <w:t xml:space="preserve">The report benefitted from input from a range of stakeholders and from information provided by the Clean Energy Regulator and the Department of the Environment. </w:t>
      </w:r>
    </w:p>
    <w:p w:rsidR="0056200C" w:rsidRPr="000B6C99" w:rsidRDefault="0056200C" w:rsidP="0056200C">
      <w:pPr>
        <w:pStyle w:val="ListBullet2"/>
        <w:rPr>
          <w:iCs/>
        </w:rPr>
      </w:pPr>
      <w:r w:rsidRPr="000B6C99">
        <w:rPr>
          <w:iCs/>
        </w:rPr>
        <w:t>The CFI review was generally well received and was fairly widely discussed by stakeholders.</w:t>
      </w:r>
    </w:p>
    <w:p w:rsidR="0056200C" w:rsidRDefault="0056200C" w:rsidP="0056200C">
      <w:pPr>
        <w:pStyle w:val="ListBullet2"/>
        <w:rPr>
          <w:iCs/>
        </w:rPr>
      </w:pPr>
      <w:r>
        <w:rPr>
          <w:iCs/>
        </w:rPr>
        <w:t xml:space="preserve">The </w:t>
      </w:r>
      <w:r w:rsidR="004B5E22">
        <w:rPr>
          <w:iCs/>
        </w:rPr>
        <w:t>g</w:t>
      </w:r>
      <w:r>
        <w:rPr>
          <w:iCs/>
        </w:rPr>
        <w:t xml:space="preserve">overnment rejected the Authority’s recommendation to consider enhanced additionality tests, and noted the recommendation to monitor and review the appropriateness of the ERF for achieving emissions reductions. </w:t>
      </w:r>
    </w:p>
    <w:p w:rsidR="0056200C" w:rsidRPr="00FF0BFC" w:rsidRDefault="0056200C" w:rsidP="0056200C">
      <w:pPr>
        <w:pStyle w:val="ListBullet"/>
        <w:rPr>
          <w:i/>
          <w:iCs/>
        </w:rPr>
      </w:pPr>
      <w:r w:rsidRPr="00FF0BFC">
        <w:rPr>
          <w:i/>
          <w:iCs/>
        </w:rPr>
        <w:t>The delivery of reviews within legislated time frames.</w:t>
      </w:r>
    </w:p>
    <w:p w:rsidR="0056200C" w:rsidRPr="000B6C99" w:rsidRDefault="0056200C" w:rsidP="0056200C">
      <w:pPr>
        <w:pStyle w:val="ListBullet2"/>
        <w:rPr>
          <w:iCs/>
        </w:rPr>
      </w:pPr>
      <w:r w:rsidRPr="000B6C99">
        <w:rPr>
          <w:iCs/>
        </w:rPr>
        <w:t xml:space="preserve">The 2014 CFI review was delivered on 22 December 2014, ahead </w:t>
      </w:r>
      <w:r w:rsidR="00191E1B">
        <w:rPr>
          <w:iCs/>
        </w:rPr>
        <w:t>of its statutory deadline of 31 </w:t>
      </w:r>
      <w:r w:rsidRPr="000B6C99">
        <w:rPr>
          <w:iCs/>
        </w:rPr>
        <w:t>December</w:t>
      </w:r>
      <w:r w:rsidR="004B5E22">
        <w:rPr>
          <w:iCs/>
        </w:rPr>
        <w:t xml:space="preserve"> 2014</w:t>
      </w:r>
      <w:r w:rsidRPr="000B6C99">
        <w:rPr>
          <w:iCs/>
        </w:rPr>
        <w:t xml:space="preserve">. </w:t>
      </w:r>
    </w:p>
    <w:p w:rsidR="0056200C" w:rsidRPr="00FF0BFC" w:rsidRDefault="0056200C" w:rsidP="0056200C">
      <w:pPr>
        <w:pStyle w:val="ListBullet"/>
        <w:rPr>
          <w:i/>
          <w:iCs/>
        </w:rPr>
      </w:pPr>
      <w:r w:rsidRPr="00FF0BFC">
        <w:rPr>
          <w:i/>
          <w:iCs/>
        </w:rPr>
        <w:t>The transparency and accessibility of the public consultation processes for reviews, including that they are highly regarded by stakeholders.</w:t>
      </w:r>
    </w:p>
    <w:p w:rsidR="0056200C" w:rsidRDefault="0056200C" w:rsidP="0056200C">
      <w:pPr>
        <w:pStyle w:val="ListBullet2"/>
        <w:rPr>
          <w:iCs/>
        </w:rPr>
      </w:pPr>
      <w:r w:rsidRPr="000B6C99">
        <w:rPr>
          <w:iCs/>
        </w:rPr>
        <w:t xml:space="preserve">The Authority consulted widely in the time available. Public submissions were published on the Authority’s website. Given the competitive nature of the CFI market, some of the Authority’s discussions </w:t>
      </w:r>
      <w:r>
        <w:rPr>
          <w:iCs/>
        </w:rPr>
        <w:t xml:space="preserve">with stakeholders </w:t>
      </w:r>
      <w:r w:rsidRPr="000B6C99">
        <w:rPr>
          <w:iCs/>
        </w:rPr>
        <w:t>were held on a confidential basis.</w:t>
      </w:r>
    </w:p>
    <w:p w:rsidR="0056200C" w:rsidRDefault="0056200C" w:rsidP="0056200C">
      <w:pPr>
        <w:pStyle w:val="ListBullet2"/>
        <w:rPr>
          <w:iCs/>
        </w:rPr>
      </w:pPr>
      <w:r w:rsidRPr="000B6C99">
        <w:rPr>
          <w:iCs/>
        </w:rPr>
        <w:t>Several stakeholders expressed their appreciation for the opportunity to provide input and participate in the</w:t>
      </w:r>
      <w:r>
        <w:rPr>
          <w:iCs/>
        </w:rPr>
        <w:t xml:space="preserve"> November</w:t>
      </w:r>
      <w:r w:rsidRPr="000B6C99">
        <w:rPr>
          <w:iCs/>
        </w:rPr>
        <w:t xml:space="preserve"> roundtable. </w:t>
      </w:r>
    </w:p>
    <w:p w:rsidR="0056200C" w:rsidRPr="000B6C99" w:rsidRDefault="0056200C" w:rsidP="0056200C">
      <w:pPr>
        <w:pStyle w:val="ListBullet2"/>
      </w:pPr>
      <w:r>
        <w:t xml:space="preserve">The report and related analysis is available on the Authority’s website. </w:t>
      </w:r>
    </w:p>
    <w:p w:rsidR="0056200C" w:rsidRPr="00FF0BFC" w:rsidRDefault="0056200C" w:rsidP="0056200C">
      <w:pPr>
        <w:pStyle w:val="ListBullet"/>
        <w:rPr>
          <w:i/>
          <w:iCs/>
        </w:rPr>
      </w:pPr>
      <w:r w:rsidRPr="00FF0BFC">
        <w:rPr>
          <w:i/>
          <w:iCs/>
        </w:rPr>
        <w:t>The independence of the Authority‘s decision-making in conducting and completing reviews, including the perception of independence by stakeholders.</w:t>
      </w:r>
    </w:p>
    <w:p w:rsidR="0056200C" w:rsidRPr="008A34B5" w:rsidRDefault="0056200C" w:rsidP="0056200C">
      <w:pPr>
        <w:pStyle w:val="ListBullet2"/>
        <w:rPr>
          <w:iCs/>
        </w:rPr>
      </w:pPr>
      <w:r w:rsidRPr="008A34B5">
        <w:rPr>
          <w:iCs/>
        </w:rPr>
        <w:t xml:space="preserve">The Authority made its recommendations in accordance with its statutory principles after reviewing a large amount of evidence. </w:t>
      </w:r>
    </w:p>
    <w:p w:rsidR="00E93022" w:rsidRDefault="004531C0" w:rsidP="00E93022">
      <w:pPr>
        <w:pStyle w:val="Heading2"/>
      </w:pPr>
      <w:bookmarkStart w:id="18" w:name="_Toc430464405"/>
      <w:r>
        <w:t>Special Review</w:t>
      </w:r>
      <w:bookmarkEnd w:id="18"/>
      <w:r w:rsidR="00E93022">
        <w:t xml:space="preserve"> </w:t>
      </w:r>
    </w:p>
    <w:p w:rsidR="00E93022" w:rsidRDefault="004531C0" w:rsidP="00E93022">
      <w:pPr>
        <w:pStyle w:val="Heading3"/>
      </w:pPr>
      <w:bookmarkStart w:id="19" w:name="_Toc430464406"/>
      <w:r>
        <w:t>Legislative requirements</w:t>
      </w:r>
      <w:bookmarkEnd w:id="19"/>
    </w:p>
    <w:p w:rsidR="0056200C" w:rsidRDefault="0056200C" w:rsidP="0091598D">
      <w:pPr>
        <w:pStyle w:val="BodyText"/>
        <w:rPr>
          <w:lang w:val="en-GB"/>
        </w:rPr>
      </w:pPr>
      <w:r>
        <w:rPr>
          <w:lang w:val="en-GB" w:eastAsia="en-AU"/>
        </w:rPr>
        <w:t xml:space="preserve">On 10 December 2014, the Minister for the Environment requested that the Climate Change Authority conduct a review under section 59 of the </w:t>
      </w:r>
      <w:r w:rsidRPr="0091598D">
        <w:rPr>
          <w:iCs/>
          <w:lang w:val="en-GB" w:eastAsia="en-AU"/>
        </w:rPr>
        <w:t>Climate Change Authority Act</w:t>
      </w:r>
      <w:r w:rsidR="00D9395B" w:rsidRPr="0091598D">
        <w:rPr>
          <w:iCs/>
          <w:lang w:val="en-GB" w:eastAsia="en-AU"/>
        </w:rPr>
        <w:t xml:space="preserve"> 2011</w:t>
      </w:r>
      <w:r>
        <w:rPr>
          <w:lang w:val="en-GB" w:eastAsia="en-AU"/>
        </w:rPr>
        <w:t>. The terms of reference for the Special Review require the Authority to assess</w:t>
      </w:r>
      <w:r>
        <w:rPr>
          <w:lang w:val="en-GB"/>
        </w:rPr>
        <w:t xml:space="preserve"> whether Australia should have an emissions trading scheme</w:t>
      </w:r>
      <w:r w:rsidR="005D1510">
        <w:rPr>
          <w:lang w:val="en-GB"/>
        </w:rPr>
        <w:t xml:space="preserve"> and</w:t>
      </w:r>
      <w:r>
        <w:rPr>
          <w:lang w:val="en-GB"/>
        </w:rPr>
        <w:t xml:space="preserve"> consider </w:t>
      </w:r>
      <w:r w:rsidR="00A624D3">
        <w:rPr>
          <w:lang w:val="en-GB"/>
        </w:rPr>
        <w:t xml:space="preserve">whether </w:t>
      </w:r>
      <w:r>
        <w:rPr>
          <w:lang w:val="en-GB"/>
        </w:rPr>
        <w:t>several key countries</w:t>
      </w:r>
      <w:r w:rsidR="00A624D3">
        <w:rPr>
          <w:lang w:val="en-GB"/>
        </w:rPr>
        <w:t xml:space="preserve"> have trading schemes or similar policies</w:t>
      </w:r>
      <w:r>
        <w:rPr>
          <w:lang w:val="en-GB"/>
        </w:rPr>
        <w:t>, Australia’s international climate commitments and Australian businesses</w:t>
      </w:r>
      <w:r w:rsidR="008A438D">
        <w:rPr>
          <w:lang w:val="en-GB"/>
        </w:rPr>
        <w:t>’</w:t>
      </w:r>
      <w:r>
        <w:rPr>
          <w:lang w:val="en-GB"/>
        </w:rPr>
        <w:t xml:space="preserve"> international competitiveness. </w:t>
      </w:r>
    </w:p>
    <w:p w:rsidR="0056200C" w:rsidRDefault="0056200C" w:rsidP="00881C63">
      <w:pPr>
        <w:pStyle w:val="BodyText"/>
        <w:keepNext/>
        <w:keepLines/>
        <w:rPr>
          <w:lang w:val="en-GB" w:eastAsia="en-AU"/>
        </w:rPr>
      </w:pPr>
      <w:r>
        <w:rPr>
          <w:lang w:val="en-GB" w:eastAsia="en-AU"/>
        </w:rPr>
        <w:t>In the course of its Special Review, the Authority is required to publish three reports:</w:t>
      </w:r>
    </w:p>
    <w:p w:rsidR="0056200C" w:rsidRPr="004366BA" w:rsidRDefault="004B5E22" w:rsidP="00881C63">
      <w:pPr>
        <w:pStyle w:val="ListNumber"/>
        <w:keepNext/>
        <w:keepLines/>
        <w:numPr>
          <w:ilvl w:val="0"/>
          <w:numId w:val="20"/>
        </w:numPr>
        <w:rPr>
          <w:rStyle w:val="Textitalic"/>
          <w:i w:val="0"/>
        </w:rPr>
      </w:pPr>
      <w:r w:rsidRPr="00B44E1E">
        <w:rPr>
          <w:rStyle w:val="Textitalic"/>
          <w:i w:val="0"/>
        </w:rPr>
        <w:t>A</w:t>
      </w:r>
      <w:r w:rsidR="0056200C" w:rsidRPr="004366BA">
        <w:rPr>
          <w:rStyle w:val="Textitalic"/>
          <w:i w:val="0"/>
        </w:rPr>
        <w:t xml:space="preserve"> draft report on Australia’s future emissions reduction target</w:t>
      </w:r>
      <w:r w:rsidR="00A624D3" w:rsidRPr="004366BA">
        <w:rPr>
          <w:rStyle w:val="Textitalic"/>
          <w:i w:val="0"/>
        </w:rPr>
        <w:t>s</w:t>
      </w:r>
      <w:r w:rsidRPr="004366BA">
        <w:rPr>
          <w:rStyle w:val="Textitalic"/>
          <w:i w:val="0"/>
        </w:rPr>
        <w:t>—</w:t>
      </w:r>
      <w:r w:rsidR="0056200C" w:rsidRPr="004366BA">
        <w:rPr>
          <w:rStyle w:val="Textitalic"/>
          <w:i w:val="0"/>
        </w:rPr>
        <w:t>by 30 June 2015</w:t>
      </w:r>
      <w:r w:rsidRPr="004366BA">
        <w:rPr>
          <w:rStyle w:val="Textitalic"/>
          <w:i w:val="0"/>
        </w:rPr>
        <w:t>.</w:t>
      </w:r>
    </w:p>
    <w:p w:rsidR="0056200C" w:rsidRPr="00C06150" w:rsidRDefault="004B5E22" w:rsidP="0091598D">
      <w:pPr>
        <w:pStyle w:val="ListNumber"/>
        <w:rPr>
          <w:rStyle w:val="Textitalic"/>
          <w:i w:val="0"/>
          <w:sz w:val="21"/>
        </w:rPr>
      </w:pPr>
      <w:r w:rsidRPr="004366BA">
        <w:rPr>
          <w:rStyle w:val="Textitalic"/>
          <w:i w:val="0"/>
        </w:rPr>
        <w:t>A</w:t>
      </w:r>
      <w:r w:rsidR="0056200C" w:rsidRPr="004366BA">
        <w:rPr>
          <w:rStyle w:val="Textitalic"/>
          <w:i w:val="0"/>
        </w:rPr>
        <w:t xml:space="preserve"> draft report on an emissions trading </w:t>
      </w:r>
      <w:r w:rsidRPr="004366BA">
        <w:rPr>
          <w:rStyle w:val="Textitalic"/>
          <w:i w:val="0"/>
        </w:rPr>
        <w:t>scheme</w:t>
      </w:r>
      <w:r>
        <w:rPr>
          <w:rStyle w:val="Textitalic"/>
          <w:i w:val="0"/>
        </w:rPr>
        <w:t>—</w:t>
      </w:r>
      <w:r w:rsidR="0056200C" w:rsidRPr="00C06150">
        <w:rPr>
          <w:rStyle w:val="Textitalic"/>
          <w:i w:val="0"/>
        </w:rPr>
        <w:t>by 30 November 2015</w:t>
      </w:r>
      <w:r>
        <w:rPr>
          <w:rStyle w:val="Textitalic"/>
          <w:i w:val="0"/>
        </w:rPr>
        <w:t>.</w:t>
      </w:r>
    </w:p>
    <w:p w:rsidR="0056200C" w:rsidRPr="0056200C" w:rsidRDefault="004B5E22" w:rsidP="0091598D">
      <w:pPr>
        <w:pStyle w:val="ListNumber"/>
        <w:rPr>
          <w:rStyle w:val="Textitalic"/>
          <w:i w:val="0"/>
          <w:sz w:val="21"/>
        </w:rPr>
      </w:pPr>
      <w:r>
        <w:rPr>
          <w:rStyle w:val="Textitalic"/>
          <w:i w:val="0"/>
        </w:rPr>
        <w:t>A</w:t>
      </w:r>
      <w:r w:rsidR="0056200C" w:rsidRPr="0056200C">
        <w:rPr>
          <w:rStyle w:val="Textitalic"/>
          <w:i w:val="0"/>
        </w:rPr>
        <w:t xml:space="preserve"> final report recommending what action Australia should take to implement the outcomes flowing from the </w:t>
      </w:r>
      <w:r w:rsidR="00A624D3">
        <w:rPr>
          <w:rStyle w:val="Textitalic"/>
          <w:i w:val="0"/>
        </w:rPr>
        <w:t xml:space="preserve">Paris climate </w:t>
      </w:r>
      <w:r w:rsidR="0056200C" w:rsidRPr="0056200C">
        <w:rPr>
          <w:rStyle w:val="Textitalic"/>
          <w:i w:val="0"/>
        </w:rPr>
        <w:t>conference</w:t>
      </w:r>
      <w:r>
        <w:rPr>
          <w:rStyle w:val="Textitalic"/>
          <w:i w:val="0"/>
        </w:rPr>
        <w:t>—</w:t>
      </w:r>
      <w:r w:rsidRPr="0056200C">
        <w:rPr>
          <w:rStyle w:val="Textitalic"/>
          <w:i w:val="0"/>
        </w:rPr>
        <w:t>by 30 June 2016</w:t>
      </w:r>
      <w:r w:rsidR="0056200C" w:rsidRPr="0056200C">
        <w:rPr>
          <w:rStyle w:val="Textitalic"/>
          <w:i w:val="0"/>
        </w:rPr>
        <w:t>.</w:t>
      </w:r>
    </w:p>
    <w:p w:rsidR="0056200C" w:rsidRDefault="0056200C" w:rsidP="0056200C">
      <w:pPr>
        <w:pStyle w:val="BodyText"/>
        <w:rPr>
          <w:lang w:val="en-GB" w:eastAsia="en-AU"/>
        </w:rPr>
      </w:pPr>
      <w:r>
        <w:rPr>
          <w:lang w:val="en-GB" w:eastAsia="en-AU"/>
        </w:rPr>
        <w:lastRenderedPageBreak/>
        <w:t xml:space="preserve">In conducting the Special Review, the Authority is required to have regard to the terms of reference and the principles set out in section 12 of the </w:t>
      </w:r>
      <w:r w:rsidRPr="0091598D">
        <w:rPr>
          <w:iCs/>
          <w:lang w:val="en-GB" w:eastAsia="en-AU"/>
        </w:rPr>
        <w:t>Climate Change Authority Act</w:t>
      </w:r>
      <w:r>
        <w:rPr>
          <w:iCs/>
          <w:lang w:val="en-GB" w:eastAsia="en-AU"/>
        </w:rPr>
        <w:t xml:space="preserve"> </w:t>
      </w:r>
      <w:r w:rsidR="000A0C64" w:rsidRPr="0091598D">
        <w:rPr>
          <w:iCs/>
          <w:lang w:val="en-GB" w:eastAsia="en-AU"/>
        </w:rPr>
        <w:t>2011</w:t>
      </w:r>
      <w:r w:rsidRPr="0056200C">
        <w:rPr>
          <w:i/>
          <w:iCs/>
          <w:lang w:val="en-GB" w:eastAsia="en-AU"/>
        </w:rPr>
        <w:t>.</w:t>
      </w:r>
      <w:r>
        <w:rPr>
          <w:iCs/>
          <w:lang w:val="en-GB" w:eastAsia="en-AU"/>
        </w:rPr>
        <w:t xml:space="preserve"> </w:t>
      </w:r>
    </w:p>
    <w:p w:rsidR="00E93022" w:rsidRDefault="00E93022" w:rsidP="00E93022">
      <w:pPr>
        <w:pStyle w:val="Heading3"/>
      </w:pPr>
      <w:bookmarkStart w:id="20" w:name="_Toc430464407"/>
      <w:r>
        <w:t>Conduct of the review</w:t>
      </w:r>
      <w:bookmarkEnd w:id="20"/>
    </w:p>
    <w:p w:rsidR="000A0C64" w:rsidRDefault="000A0C64" w:rsidP="000A0C64">
      <w:pPr>
        <w:pStyle w:val="BodyText"/>
      </w:pPr>
      <w:r>
        <w:t>The Authority has completed the first stage and first report of the Special Review. On 17 February 2015</w:t>
      </w:r>
      <w:r w:rsidR="00781765">
        <w:t>,</w:t>
      </w:r>
      <w:r>
        <w:t xml:space="preserve"> the Authority made a public call for comments on Australia’s emissions reduction targets. It published a draft report with preliminary recommendations on 22 April and a final report on 2 July. The Authority also released a complementary publication, </w:t>
      </w:r>
      <w:r>
        <w:rPr>
          <w:i/>
          <w:iCs/>
        </w:rPr>
        <w:t>Comparing countries’ emissions targets: a practical guide</w:t>
      </w:r>
      <w:r w:rsidR="00781765">
        <w:rPr>
          <w:iCs/>
        </w:rPr>
        <w:t>,</w:t>
      </w:r>
      <w:r>
        <w:t xml:space="preserve"> on 27 March 2015.</w:t>
      </w:r>
    </w:p>
    <w:p w:rsidR="000A0C64" w:rsidRDefault="000A0C64" w:rsidP="000A0C64">
      <w:pPr>
        <w:pStyle w:val="BodyText"/>
      </w:pPr>
      <w:r>
        <w:t>The Authority consulted with a wide range of stakeholders in developing its recommendations on targets. It received 28 submissions, including from electricity retailers, industry associations, academics and non-government organisations. After publishing its draft report, the Authority tested its preliminary recommendations with key experts and stakeholder</w:t>
      </w:r>
      <w:r w:rsidR="005D1510">
        <w:t>s</w:t>
      </w:r>
      <w:r>
        <w:t xml:space="preserve"> at three roundtable meetings in Canberra, Sydney and Melbourne. These submissions and discussions informed the Authority’s final recommendations.</w:t>
      </w:r>
    </w:p>
    <w:p w:rsidR="000A0C64" w:rsidRDefault="000A0C64" w:rsidP="000A0C64">
      <w:pPr>
        <w:pStyle w:val="BodyText"/>
        <w:rPr>
          <w:lang w:val="en-GB" w:eastAsia="en-AU"/>
        </w:rPr>
      </w:pPr>
      <w:r>
        <w:rPr>
          <w:lang w:val="en-GB" w:eastAsia="en-AU"/>
        </w:rPr>
        <w:t xml:space="preserve">The draft and final reports received widespread coverage in the print and online media. The Authority’s then-Chair Bernie Fraser held press briefings on the release of the draft and final reports. </w:t>
      </w:r>
      <w:r w:rsidR="00781765">
        <w:rPr>
          <w:lang w:val="en-GB" w:eastAsia="en-AU"/>
        </w:rPr>
        <w:t>A</w:t>
      </w:r>
      <w:r>
        <w:rPr>
          <w:lang w:val="en-GB" w:eastAsia="en-AU"/>
        </w:rPr>
        <w:t>cting CEO Shayleen Thompson presented the Authority</w:t>
      </w:r>
      <w:r w:rsidR="00781765">
        <w:rPr>
          <w:lang w:val="en-GB" w:eastAsia="en-AU"/>
        </w:rPr>
        <w:t>’</w:t>
      </w:r>
      <w:r>
        <w:rPr>
          <w:lang w:val="en-GB" w:eastAsia="en-AU"/>
        </w:rPr>
        <w:t>s findings on Australia</w:t>
      </w:r>
      <w:r w:rsidR="00781765">
        <w:rPr>
          <w:lang w:val="en-GB" w:eastAsia="en-AU"/>
        </w:rPr>
        <w:t>’</w:t>
      </w:r>
      <w:r>
        <w:rPr>
          <w:lang w:val="en-GB" w:eastAsia="en-AU"/>
        </w:rPr>
        <w:t>s emissions reduction targets at a Grattan Institute event on 29 April 2015.</w:t>
      </w:r>
    </w:p>
    <w:p w:rsidR="00E93022" w:rsidRDefault="00E93022" w:rsidP="00E93022">
      <w:pPr>
        <w:pStyle w:val="Heading3"/>
      </w:pPr>
      <w:bookmarkStart w:id="21" w:name="_Toc430464408"/>
      <w:r>
        <w:t>Key findings</w:t>
      </w:r>
      <w:bookmarkEnd w:id="21"/>
      <w:r>
        <w:t xml:space="preserve"> </w:t>
      </w:r>
    </w:p>
    <w:p w:rsidR="000A0C64" w:rsidRDefault="000A0C64" w:rsidP="000A0C64">
      <w:pPr>
        <w:pStyle w:val="BodyText"/>
        <w:rPr>
          <w:lang w:val="en-GB" w:eastAsia="en-AU"/>
        </w:rPr>
      </w:pPr>
      <w:r>
        <w:rPr>
          <w:lang w:val="en-GB" w:eastAsia="en-AU"/>
        </w:rPr>
        <w:t>The Authority provided its final report on Australia’s future emissions reduction targets to the Minister for the Environment on 2 July 2015. It recommended that at the upcoming Paris climate conference Australia commit</w:t>
      </w:r>
      <w:r w:rsidR="00781765">
        <w:rPr>
          <w:lang w:val="en-GB" w:eastAsia="en-AU"/>
        </w:rPr>
        <w:t>s</w:t>
      </w:r>
      <w:r>
        <w:rPr>
          <w:lang w:val="en-GB" w:eastAsia="en-AU"/>
        </w:rPr>
        <w:t xml:space="preserve"> to:</w:t>
      </w:r>
    </w:p>
    <w:p w:rsidR="000A0C64" w:rsidRDefault="000A0C64" w:rsidP="0091598D">
      <w:pPr>
        <w:pStyle w:val="ListBullet"/>
        <w:rPr>
          <w:lang w:val="en-GB"/>
        </w:rPr>
      </w:pPr>
      <w:r>
        <w:rPr>
          <w:lang w:val="en-GB"/>
        </w:rPr>
        <w:t>a 2025 target of 30 per cent below 2000 levels</w:t>
      </w:r>
    </w:p>
    <w:p w:rsidR="000A0C64" w:rsidRPr="002A2933" w:rsidRDefault="000A0C64" w:rsidP="0091598D">
      <w:pPr>
        <w:pStyle w:val="ListBullet"/>
        <w:rPr>
          <w:lang w:val="en-GB"/>
        </w:rPr>
      </w:pPr>
      <w:r w:rsidRPr="002A2933">
        <w:rPr>
          <w:lang w:val="en-GB"/>
        </w:rPr>
        <w:t>further reductions by 2030 of between 40 and 60 per cent below 2000 levels.</w:t>
      </w:r>
    </w:p>
    <w:p w:rsidR="000A0C64" w:rsidRDefault="000A0C64" w:rsidP="000A0C64">
      <w:pPr>
        <w:pStyle w:val="BodyText"/>
        <w:rPr>
          <w:lang w:val="en-GB" w:eastAsia="en-AU"/>
        </w:rPr>
      </w:pPr>
      <w:r>
        <w:rPr>
          <w:lang w:val="en-GB" w:eastAsia="en-AU"/>
        </w:rPr>
        <w:t>The Authority confirmed its view that the determination of targets should give most weight to climate science, what comparable countries are doing, and what is in the best interests of current and future generations of Australians.</w:t>
      </w:r>
    </w:p>
    <w:p w:rsidR="00E93022" w:rsidRDefault="00E93022" w:rsidP="00E93022">
      <w:pPr>
        <w:pStyle w:val="Heading3"/>
      </w:pPr>
      <w:bookmarkStart w:id="22" w:name="_Toc430464409"/>
      <w:r>
        <w:t>Performance against key performance indicators</w:t>
      </w:r>
      <w:bookmarkEnd w:id="22"/>
    </w:p>
    <w:p w:rsidR="000A0C64" w:rsidRPr="002A2933" w:rsidRDefault="000A0C64" w:rsidP="000A0C64">
      <w:pPr>
        <w:pStyle w:val="BodyText"/>
        <w:rPr>
          <w:lang w:val="en-GB" w:eastAsia="en-AU"/>
        </w:rPr>
      </w:pPr>
      <w:r w:rsidRPr="002A2933">
        <w:rPr>
          <w:lang w:val="en-GB" w:eastAsia="en-AU"/>
        </w:rPr>
        <w:t>Following is an assessment of the Authority’s performance in conducting the Special Review:</w:t>
      </w:r>
    </w:p>
    <w:p w:rsidR="000A0C64" w:rsidRPr="002A2933" w:rsidRDefault="000A0C64" w:rsidP="000A0C64">
      <w:pPr>
        <w:pStyle w:val="ListBullet"/>
        <w:rPr>
          <w:i/>
        </w:rPr>
      </w:pPr>
      <w:r w:rsidRPr="002A2933">
        <w:rPr>
          <w:i/>
        </w:rPr>
        <w:t>The quality of reviews, including their reception by stakeholders and use in public policy forums and discussions.</w:t>
      </w:r>
    </w:p>
    <w:p w:rsidR="000A0C64" w:rsidRDefault="000A0C64" w:rsidP="000A0C64">
      <w:pPr>
        <w:pStyle w:val="ListBullet2"/>
      </w:pPr>
      <w:r>
        <w:t>The Authority undertook rigorous research and analysis to ensure it developed well-informed and evidence-based recommendations on Australia’s future emissions reduction targets.</w:t>
      </w:r>
    </w:p>
    <w:p w:rsidR="00601F3B" w:rsidRDefault="00601F3B" w:rsidP="000A0C64">
      <w:pPr>
        <w:pStyle w:val="ListBullet2"/>
      </w:pPr>
      <w:r>
        <w:t xml:space="preserve">The practical guide to comparing countries’ emissions targets set out </w:t>
      </w:r>
      <w:r w:rsidR="00693F95">
        <w:t xml:space="preserve">the wide </w:t>
      </w:r>
      <w:r>
        <w:t xml:space="preserve">range of considerations and metrics used in public and policy discussions in a clear and accessible way. Stakeholders and media commentators used the guide to help explain and examine national targets as they were announced. </w:t>
      </w:r>
    </w:p>
    <w:p w:rsidR="000A0C64" w:rsidRDefault="000A0C64" w:rsidP="000A0C64">
      <w:pPr>
        <w:pStyle w:val="ListBullet2"/>
      </w:pPr>
      <w:r>
        <w:t>The Authority’s recommendations have been widely acknowledged and understood by stakeholders. The recommendations have received extensive media coverage, and are routinely quoted in media articles and discussions about Australia’s targets.</w:t>
      </w:r>
    </w:p>
    <w:p w:rsidR="000A0C64" w:rsidRPr="002A2933" w:rsidRDefault="000A0C64" w:rsidP="000A0C64">
      <w:pPr>
        <w:pStyle w:val="ListBullet"/>
        <w:rPr>
          <w:i/>
          <w:iCs/>
        </w:rPr>
      </w:pPr>
      <w:r w:rsidRPr="002A2933">
        <w:rPr>
          <w:i/>
          <w:iCs/>
        </w:rPr>
        <w:lastRenderedPageBreak/>
        <w:t>The delivery of reviews within legislated time frames.</w:t>
      </w:r>
    </w:p>
    <w:p w:rsidR="000A0C64" w:rsidRDefault="000A0C64" w:rsidP="000A0C64">
      <w:pPr>
        <w:pStyle w:val="ListBullet2"/>
      </w:pPr>
      <w:r>
        <w:t xml:space="preserve">The draft report on targets was released for public consultation on 22 April 2015, ahead of the </w:t>
      </w:r>
      <w:r w:rsidR="00E3461E">
        <w:t xml:space="preserve">30 June </w:t>
      </w:r>
      <w:r>
        <w:t xml:space="preserve">deadline set out in the terms of reference. The Authority released a final report on targets on 2 July 2015. </w:t>
      </w:r>
    </w:p>
    <w:p w:rsidR="000A0C64" w:rsidRPr="002A2933" w:rsidRDefault="000A0C64" w:rsidP="000A0C64">
      <w:pPr>
        <w:pStyle w:val="ListBullet"/>
        <w:rPr>
          <w:i/>
        </w:rPr>
      </w:pPr>
      <w:r w:rsidRPr="002A2933">
        <w:rPr>
          <w:i/>
        </w:rPr>
        <w:t xml:space="preserve">The transparency and accessibility of the public consultation processes for reviews, including that they are highly regarded by stakeholders. </w:t>
      </w:r>
    </w:p>
    <w:p w:rsidR="000A0C64" w:rsidRDefault="000A0C64" w:rsidP="000A0C64">
      <w:pPr>
        <w:pStyle w:val="ListBullet2"/>
      </w:pPr>
      <w:r>
        <w:t xml:space="preserve">The Authority issued a public call for comments on Australia’s future emissions reduction targets in March 2015. </w:t>
      </w:r>
    </w:p>
    <w:p w:rsidR="000A0C64" w:rsidRDefault="000A0C64" w:rsidP="000A0C64">
      <w:pPr>
        <w:pStyle w:val="ListBullet2"/>
      </w:pPr>
      <w:r>
        <w:t xml:space="preserve">Following release of the draft report, the Authority held meetings with a wide range of experts and key stakeholders to test its views. </w:t>
      </w:r>
    </w:p>
    <w:p w:rsidR="000A0C64" w:rsidRDefault="000A0C64" w:rsidP="000A0C64">
      <w:pPr>
        <w:pStyle w:val="ListBullet2"/>
      </w:pPr>
      <w:r>
        <w:t>The Authority received positive feedback on its consultation processes, which included targeted stakeholder meetings, roundtable discussions and public presentations.</w:t>
      </w:r>
    </w:p>
    <w:p w:rsidR="000A0C64" w:rsidRPr="002A2933" w:rsidRDefault="000A0C64" w:rsidP="000A0C64">
      <w:pPr>
        <w:pStyle w:val="ListBullet"/>
        <w:rPr>
          <w:i/>
          <w:iCs/>
        </w:rPr>
      </w:pPr>
      <w:r w:rsidRPr="002A2933">
        <w:rPr>
          <w:i/>
          <w:iCs/>
        </w:rPr>
        <w:t>The independence of the Authority‘s decision-making in conducting and completing reviews, including the perception of independence by stakeholders.</w:t>
      </w:r>
    </w:p>
    <w:p w:rsidR="000A0C64" w:rsidRDefault="000A0C64" w:rsidP="000A0C64">
      <w:pPr>
        <w:pStyle w:val="ListBullet2"/>
      </w:pPr>
      <w:r>
        <w:t xml:space="preserve">In conducting the Special Review, the Authority has acted independently. Its final recommendations were supported by extensive and rigorous research and analysis. </w:t>
      </w:r>
    </w:p>
    <w:p w:rsidR="00673182" w:rsidRDefault="000A0C64" w:rsidP="0091598D">
      <w:pPr>
        <w:pStyle w:val="ListBullet2"/>
      </w:pPr>
      <w:r>
        <w:t>Regular public consultation and stakeholder engagement enhanced the transparency of the review.</w:t>
      </w:r>
    </w:p>
    <w:p w:rsidR="009D77B4" w:rsidRDefault="009D77B4">
      <w:pPr>
        <w:spacing w:after="200" w:line="276" w:lineRule="auto"/>
      </w:pPr>
    </w:p>
    <w:p w:rsidR="009D77B4" w:rsidRDefault="009D77B4" w:rsidP="009D77B4">
      <w:pPr>
        <w:pStyle w:val="Heading1"/>
      </w:pPr>
      <w:bookmarkStart w:id="23" w:name="_Toc430464410"/>
      <w:r>
        <w:lastRenderedPageBreak/>
        <w:t>MANAGEMENT AND ACCOUNTABILITY</w:t>
      </w:r>
      <w:bookmarkEnd w:id="23"/>
    </w:p>
    <w:p w:rsidR="00D71507" w:rsidRDefault="009D77B4" w:rsidP="0041337C">
      <w:pPr>
        <w:pStyle w:val="Heading2"/>
      </w:pPr>
      <w:bookmarkStart w:id="24" w:name="_Toc430464411"/>
      <w:r>
        <w:t>CORPORATE GOVERNANCE</w:t>
      </w:r>
      <w:bookmarkEnd w:id="24"/>
    </w:p>
    <w:p w:rsidR="00D71507" w:rsidRDefault="00D71507" w:rsidP="00D71507">
      <w:pPr>
        <w:pStyle w:val="BodyText"/>
      </w:pPr>
      <w:r>
        <w:t xml:space="preserve">The </w:t>
      </w:r>
      <w:r w:rsidR="00F1094B">
        <w:t xml:space="preserve">Climate Change </w:t>
      </w:r>
      <w:r>
        <w:t>Authority</w:t>
      </w:r>
      <w:r w:rsidR="005D471F">
        <w:t xml:space="preserve"> </w:t>
      </w:r>
      <w:r>
        <w:t xml:space="preserve">is an independent statutory authority comprising a </w:t>
      </w:r>
      <w:r w:rsidR="00D740C7">
        <w:t>C</w:t>
      </w:r>
      <w:r>
        <w:t>hair and eight board members</w:t>
      </w:r>
      <w:r w:rsidR="00D740C7">
        <w:t xml:space="preserve"> (</w:t>
      </w:r>
      <w:r w:rsidR="006F4AD6">
        <w:t>four</w:t>
      </w:r>
      <w:r w:rsidR="00D740C7">
        <w:t xml:space="preserve"> positions</w:t>
      </w:r>
      <w:r w:rsidR="00A33C33">
        <w:t xml:space="preserve"> were</w:t>
      </w:r>
      <w:r w:rsidR="006F4AD6">
        <w:t xml:space="preserve"> </w:t>
      </w:r>
      <w:r w:rsidR="00D740C7">
        <w:t>vacant at 30 June)</w:t>
      </w:r>
      <w:r w:rsidR="00E63A30">
        <w:t>. It</w:t>
      </w:r>
      <w:r>
        <w:t xml:space="preserve"> </w:t>
      </w:r>
      <w:r w:rsidR="005D1510">
        <w:t>was</w:t>
      </w:r>
      <w:r>
        <w:t xml:space="preserve"> supported by a </w:t>
      </w:r>
      <w:r w:rsidR="00A33C33">
        <w:t>s</w:t>
      </w:r>
      <w:r>
        <w:t>ecretariat</w:t>
      </w:r>
      <w:r w:rsidR="00A33C33">
        <w:t xml:space="preserve"> of 17 staff at 30 June</w:t>
      </w:r>
      <w:r>
        <w:t>.</w:t>
      </w:r>
    </w:p>
    <w:p w:rsidR="00D71507" w:rsidRDefault="00D71507" w:rsidP="00D71507">
      <w:pPr>
        <w:pStyle w:val="BodyText"/>
      </w:pPr>
      <w:r>
        <w:t xml:space="preserve">The Authority </w:t>
      </w:r>
      <w:r w:rsidR="00D648EF">
        <w:t>was</w:t>
      </w:r>
      <w:r>
        <w:t xml:space="preserve"> </w:t>
      </w:r>
      <w:r w:rsidR="00D648EF">
        <w:t xml:space="preserve">established </w:t>
      </w:r>
      <w:r>
        <w:t xml:space="preserve">as a body corporate to </w:t>
      </w:r>
      <w:r w:rsidR="00A33C33">
        <w:t xml:space="preserve">facilitate </w:t>
      </w:r>
      <w:r>
        <w:t>the</w:t>
      </w:r>
      <w:r w:rsidR="00A33C33">
        <w:t xml:space="preserve"> independence of its activities</w:t>
      </w:r>
      <w:r w:rsidR="000149A7">
        <w:t xml:space="preserve">. As with other Commonwealth bodies where a significant degree of independence is required, the Authority is subject to </w:t>
      </w:r>
      <w:r w:rsidR="00E63A30">
        <w:t>m</w:t>
      </w:r>
      <w:r w:rsidR="000149A7">
        <w:t>inisterial direction on general matters only, not on the conduct or content of its reviews.</w:t>
      </w:r>
    </w:p>
    <w:p w:rsidR="000149A7" w:rsidRDefault="000149A7" w:rsidP="00D71507">
      <w:pPr>
        <w:pStyle w:val="BodyText"/>
      </w:pPr>
      <w:r>
        <w:t>The Authority</w:t>
      </w:r>
      <w:r w:rsidR="00E63A30">
        <w:t>’</w:t>
      </w:r>
      <w:r>
        <w:t xml:space="preserve">s </w:t>
      </w:r>
      <w:r w:rsidR="009B5925">
        <w:t>CEO</w:t>
      </w:r>
      <w:r>
        <w:t xml:space="preserve"> is responsible for </w:t>
      </w:r>
      <w:r w:rsidR="00E63A30">
        <w:t xml:space="preserve">its </w:t>
      </w:r>
      <w:r>
        <w:t xml:space="preserve">day-to-day administration. </w:t>
      </w:r>
      <w:r w:rsidR="00C176D5">
        <w:t xml:space="preserve">The </w:t>
      </w:r>
      <w:r w:rsidR="009B6311">
        <w:t xml:space="preserve">current </w:t>
      </w:r>
      <w:r w:rsidR="00A33C33">
        <w:t xml:space="preserve">acting </w:t>
      </w:r>
      <w:r w:rsidR="009B5925">
        <w:t>CEO</w:t>
      </w:r>
      <w:r w:rsidR="00C176D5">
        <w:t xml:space="preserve"> is supported by </w:t>
      </w:r>
      <w:r w:rsidR="006F4AD6">
        <w:t>one General Manager and a Corporate Services</w:t>
      </w:r>
      <w:r w:rsidR="00C54C5C">
        <w:t xml:space="preserve"> Director</w:t>
      </w:r>
      <w:r w:rsidR="006F4AD6">
        <w:t xml:space="preserve"> who also </w:t>
      </w:r>
      <w:r w:rsidR="00A33C33">
        <w:t xml:space="preserve">serves </w:t>
      </w:r>
      <w:r w:rsidR="006F4AD6">
        <w:t>as the Authority’s Chief Financial Officer. T</w:t>
      </w:r>
      <w:r w:rsidR="00C176D5">
        <w:t>his group comp</w:t>
      </w:r>
      <w:r w:rsidR="00FB67E5">
        <w:t xml:space="preserve">rises the </w:t>
      </w:r>
      <w:r w:rsidR="00E63A30">
        <w:t xml:space="preserve">Authority’s </w:t>
      </w:r>
      <w:r w:rsidR="009B5925">
        <w:t>e</w:t>
      </w:r>
      <w:r w:rsidR="00FB67E5">
        <w:t xml:space="preserve">xecutive </w:t>
      </w:r>
      <w:r w:rsidR="009B5925">
        <w:t>m</w:t>
      </w:r>
      <w:r w:rsidR="00FB67E5">
        <w:t xml:space="preserve">anagement </w:t>
      </w:r>
      <w:r w:rsidR="009B5925">
        <w:t>t</w:t>
      </w:r>
      <w:r w:rsidR="00C176D5">
        <w:t>eam.</w:t>
      </w:r>
    </w:p>
    <w:p w:rsidR="000149A7" w:rsidRDefault="000149A7" w:rsidP="00D71507">
      <w:pPr>
        <w:pStyle w:val="BodyText"/>
      </w:pPr>
      <w:r>
        <w:t>The Auth</w:t>
      </w:r>
      <w:r w:rsidR="008121D0">
        <w:t xml:space="preserve">ority is bound by the </w:t>
      </w:r>
      <w:r w:rsidR="006F4AD6">
        <w:rPr>
          <w:rStyle w:val="Textitalic"/>
        </w:rPr>
        <w:t>Public Governance, Performance and Accountability Act 2013</w:t>
      </w:r>
      <w:r>
        <w:t xml:space="preserve"> and the </w:t>
      </w:r>
      <w:r w:rsidRPr="000149A7">
        <w:rPr>
          <w:rStyle w:val="Textitalic"/>
        </w:rPr>
        <w:t>Public Service Act 1999</w:t>
      </w:r>
      <w:r>
        <w:t>.</w:t>
      </w:r>
    </w:p>
    <w:p w:rsidR="00A00122" w:rsidRDefault="00A00122" w:rsidP="00A00122">
      <w:pPr>
        <w:pStyle w:val="BodyText"/>
      </w:pPr>
      <w:r>
        <w:t>The Authority was required to present its first corporate plan within 12 months of its commencement; this was published in June 2013 for the period 2013</w:t>
      </w:r>
      <w:r w:rsidR="00E63A30">
        <w:t>–</w:t>
      </w:r>
      <w:r>
        <w:t>15.</w:t>
      </w:r>
      <w:r w:rsidR="006F4AD6">
        <w:t xml:space="preserve"> The Authority’s second corporate plan covers the periods 2015</w:t>
      </w:r>
      <w:r w:rsidR="00E3461E">
        <w:t>–</w:t>
      </w:r>
      <w:r w:rsidR="006F4AD6">
        <w:t>16 to 2018</w:t>
      </w:r>
      <w:r w:rsidR="00E3461E">
        <w:t>–</w:t>
      </w:r>
      <w:r w:rsidR="006F4AD6">
        <w:t xml:space="preserve">19 and has been prepared in accordance with the requirements of the </w:t>
      </w:r>
      <w:r w:rsidR="006F4AD6" w:rsidRPr="0091598D">
        <w:rPr>
          <w:iCs/>
        </w:rPr>
        <w:t>Public Governance, Performance and Accountability Act 2013</w:t>
      </w:r>
      <w:r w:rsidR="006F4AD6">
        <w:rPr>
          <w:iCs/>
        </w:rPr>
        <w:t xml:space="preserve">. </w:t>
      </w:r>
      <w:r w:rsidR="002423AB">
        <w:t>Th</w:t>
      </w:r>
      <w:r w:rsidR="00171F5D">
        <w:t>is</w:t>
      </w:r>
      <w:r w:rsidR="002423AB">
        <w:t xml:space="preserve"> </w:t>
      </w:r>
      <w:r w:rsidR="00A33C33">
        <w:t>plan</w:t>
      </w:r>
      <w:r w:rsidR="00E63A30">
        <w:t>,</w:t>
      </w:r>
      <w:r>
        <w:t xml:space="preserve"> along with the governance, direction and compliance requirements of </w:t>
      </w:r>
      <w:r w:rsidRPr="00C06150">
        <w:t xml:space="preserve">the </w:t>
      </w:r>
      <w:r w:rsidR="006F4AD6" w:rsidRPr="0091598D">
        <w:rPr>
          <w:iCs/>
        </w:rPr>
        <w:t>Public Governance, Performance and Accountability Act 2013</w:t>
      </w:r>
      <w:r w:rsidR="006F4AD6" w:rsidRPr="00C06150">
        <w:rPr>
          <w:iCs/>
        </w:rPr>
        <w:t xml:space="preserve"> </w:t>
      </w:r>
      <w:r>
        <w:t xml:space="preserve">and </w:t>
      </w:r>
      <w:r w:rsidR="008C0799">
        <w:t xml:space="preserve">the </w:t>
      </w:r>
      <w:r w:rsidRPr="00C06150">
        <w:rPr>
          <w:rStyle w:val="Textitalic"/>
          <w:i w:val="0"/>
        </w:rPr>
        <w:t>Public Service Act</w:t>
      </w:r>
      <w:r w:rsidRPr="00B44E1E">
        <w:rPr>
          <w:rStyle w:val="Textitalic"/>
          <w:i w:val="0"/>
        </w:rPr>
        <w:t xml:space="preserve"> </w:t>
      </w:r>
      <w:r w:rsidR="008C0799" w:rsidRPr="00B44E1E">
        <w:rPr>
          <w:rStyle w:val="Textitalic"/>
          <w:i w:val="0"/>
        </w:rPr>
        <w:t>1999</w:t>
      </w:r>
      <w:r w:rsidR="000F2B63">
        <w:rPr>
          <w:rStyle w:val="Textitalic"/>
          <w:i w:val="0"/>
        </w:rPr>
        <w:t>,</w:t>
      </w:r>
      <w:r w:rsidR="008C0799">
        <w:rPr>
          <w:rStyle w:val="Textitalic"/>
        </w:rPr>
        <w:t xml:space="preserve"> </w:t>
      </w:r>
      <w:r>
        <w:t>provide</w:t>
      </w:r>
      <w:r w:rsidR="00171F5D">
        <w:t>s</w:t>
      </w:r>
      <w:r>
        <w:t xml:space="preserve"> the Authority with a strong corporate governance environment</w:t>
      </w:r>
      <w:r w:rsidR="009A01B1">
        <w:t>.</w:t>
      </w:r>
    </w:p>
    <w:p w:rsidR="007D1875" w:rsidRDefault="007D1875" w:rsidP="009D77B4">
      <w:pPr>
        <w:pStyle w:val="Heading3"/>
      </w:pPr>
      <w:bookmarkStart w:id="25" w:name="_Toc430464412"/>
      <w:r>
        <w:t>RISK MANAGEMENT</w:t>
      </w:r>
      <w:bookmarkEnd w:id="25"/>
    </w:p>
    <w:p w:rsidR="00B07A85" w:rsidRPr="003B13FA" w:rsidRDefault="00171F5D" w:rsidP="007D1875">
      <w:pPr>
        <w:pStyle w:val="BodyText"/>
      </w:pPr>
      <w:r w:rsidRPr="00171F5D">
        <w:t xml:space="preserve">The Authority </w:t>
      </w:r>
      <w:r w:rsidR="00FF41A7">
        <w:t>recognises that effective risk management is</w:t>
      </w:r>
      <w:r w:rsidR="009B6311">
        <w:t xml:space="preserve"> a </w:t>
      </w:r>
      <w:r w:rsidR="00FF41A7">
        <w:t>key element in effective governance</w:t>
      </w:r>
      <w:r w:rsidRPr="00171F5D">
        <w:t>.</w:t>
      </w:r>
      <w:r w:rsidR="006F4AD6">
        <w:t xml:space="preserve"> In 2014</w:t>
      </w:r>
      <w:r w:rsidR="00E63A30">
        <w:t>–</w:t>
      </w:r>
      <w:r w:rsidR="006F4AD6">
        <w:t>15</w:t>
      </w:r>
      <w:r w:rsidR="00E63A30">
        <w:t>,</w:t>
      </w:r>
      <w:r>
        <w:t xml:space="preserve"> the Authority consolidated the foundation work</w:t>
      </w:r>
      <w:r w:rsidR="00C54C5C">
        <w:t xml:space="preserve"> on risk management</w:t>
      </w:r>
      <w:r>
        <w:t xml:space="preserve"> that was undertaken in</w:t>
      </w:r>
      <w:r w:rsidR="006F4AD6">
        <w:t xml:space="preserve"> its first two years of operation. </w:t>
      </w:r>
      <w:r w:rsidR="00B07A85">
        <w:t>A m</w:t>
      </w:r>
      <w:r w:rsidR="00B07A85" w:rsidRPr="003B13FA">
        <w:t>ajor focus for 201</w:t>
      </w:r>
      <w:r w:rsidR="003B13FA">
        <w:t>4</w:t>
      </w:r>
      <w:r w:rsidR="00E63A30" w:rsidRPr="003B13FA">
        <w:t>–</w:t>
      </w:r>
      <w:r w:rsidR="003B13FA">
        <w:t>15</w:t>
      </w:r>
      <w:r w:rsidR="00B07A85" w:rsidRPr="003B13FA">
        <w:t xml:space="preserve"> was to ensure that risk</w:t>
      </w:r>
      <w:r w:rsidR="008121D0" w:rsidRPr="003B13FA">
        <w:t xml:space="preserve"> management was maintained as </w:t>
      </w:r>
      <w:r w:rsidR="00B07A85" w:rsidRPr="003B13FA">
        <w:t>an organisation</w:t>
      </w:r>
      <w:r w:rsidR="00C408B8" w:rsidRPr="003B13FA">
        <w:t>-</w:t>
      </w:r>
      <w:r w:rsidR="00B07A85" w:rsidRPr="003B13FA">
        <w:t>wide priority</w:t>
      </w:r>
      <w:r w:rsidR="003B13FA">
        <w:t xml:space="preserve"> and </w:t>
      </w:r>
      <w:r w:rsidR="009B6311">
        <w:t xml:space="preserve">to </w:t>
      </w:r>
      <w:r w:rsidR="0040399C">
        <w:t xml:space="preserve">further </w:t>
      </w:r>
      <w:r w:rsidR="003B13FA">
        <w:t>embed</w:t>
      </w:r>
      <w:r w:rsidR="00705BC8">
        <w:t xml:space="preserve"> Authority</w:t>
      </w:r>
      <w:r w:rsidR="003B13FA">
        <w:t xml:space="preserve"> risk management practices</w:t>
      </w:r>
      <w:r w:rsidR="00FF41A7">
        <w:t xml:space="preserve">. </w:t>
      </w:r>
      <w:r w:rsidRPr="003B13FA">
        <w:t xml:space="preserve"> </w:t>
      </w:r>
    </w:p>
    <w:p w:rsidR="003841FA" w:rsidRPr="00275F65" w:rsidRDefault="00CD2404" w:rsidP="008C0799">
      <w:pPr>
        <w:pStyle w:val="BodyText"/>
      </w:pPr>
      <w:r>
        <w:rPr>
          <w:sz w:val="22"/>
        </w:rPr>
        <w:t>I</w:t>
      </w:r>
      <w:r w:rsidRPr="00275F65">
        <w:t>n 2014</w:t>
      </w:r>
      <w:r w:rsidR="00E3461E">
        <w:t>–</w:t>
      </w:r>
      <w:r w:rsidRPr="00275F65">
        <w:t>15</w:t>
      </w:r>
      <w:r w:rsidR="005D1510">
        <w:t>,</w:t>
      </w:r>
      <w:r w:rsidRPr="00275F65">
        <w:t xml:space="preserve"> a new</w:t>
      </w:r>
      <w:r w:rsidR="0040399C" w:rsidRPr="00275F65">
        <w:t xml:space="preserve"> strategic risk management profile</w:t>
      </w:r>
      <w:r w:rsidR="00FF41A7" w:rsidRPr="00275F65">
        <w:t>, policy and framework</w:t>
      </w:r>
      <w:r w:rsidR="0040399C" w:rsidRPr="00275F65">
        <w:t xml:space="preserve"> was reviewed by senior management and </w:t>
      </w:r>
      <w:r w:rsidRPr="00275F65">
        <w:t>endorsed by the</w:t>
      </w:r>
      <w:r w:rsidR="0040399C" w:rsidRPr="00275F65">
        <w:t xml:space="preserve"> Authority’s audit committee.</w:t>
      </w:r>
      <w:r w:rsidR="00171F5D" w:rsidRPr="00275F65">
        <w:t xml:space="preserve"> </w:t>
      </w:r>
      <w:r w:rsidR="00FB67E5" w:rsidRPr="00275F65">
        <w:t>The C</w:t>
      </w:r>
      <w:r w:rsidR="00C408B8" w:rsidRPr="00275F65">
        <w:t xml:space="preserve">hief </w:t>
      </w:r>
      <w:r w:rsidR="00FB67E5" w:rsidRPr="00275F65">
        <w:t>F</w:t>
      </w:r>
      <w:r w:rsidR="00696787" w:rsidRPr="00275F65">
        <w:t xml:space="preserve">inancial </w:t>
      </w:r>
      <w:r w:rsidR="00FB67E5" w:rsidRPr="00275F65">
        <w:t>O</w:t>
      </w:r>
      <w:r w:rsidR="00696787" w:rsidRPr="00275F65">
        <w:t>fficer</w:t>
      </w:r>
      <w:r w:rsidR="00FB67E5" w:rsidRPr="00275F65">
        <w:t xml:space="preserve"> </w:t>
      </w:r>
      <w:r w:rsidR="00E63A30" w:rsidRPr="00275F65">
        <w:t xml:space="preserve">is </w:t>
      </w:r>
      <w:r w:rsidR="00FB67E5" w:rsidRPr="00275F65">
        <w:t>responsibl</w:t>
      </w:r>
      <w:r w:rsidR="00E63A30" w:rsidRPr="00275F65">
        <w:t>e</w:t>
      </w:r>
      <w:r w:rsidR="00FB67E5" w:rsidRPr="00275F65">
        <w:t xml:space="preserve"> for maintaining the </w:t>
      </w:r>
      <w:r w:rsidR="00FF6F98" w:rsidRPr="00275F65">
        <w:t>S</w:t>
      </w:r>
      <w:r w:rsidR="00FB67E5" w:rsidRPr="00275F65">
        <w:t xml:space="preserve">trategic </w:t>
      </w:r>
      <w:r w:rsidR="00FF6F98" w:rsidRPr="00275F65">
        <w:t>R</w:t>
      </w:r>
      <w:r w:rsidR="00FB67E5" w:rsidRPr="00275F65">
        <w:t xml:space="preserve">isk </w:t>
      </w:r>
      <w:r w:rsidR="00FF6F98" w:rsidRPr="00275F65">
        <w:t>P</w:t>
      </w:r>
      <w:r w:rsidR="00FB67E5" w:rsidRPr="00275F65">
        <w:t>rofile. I</w:t>
      </w:r>
      <w:r w:rsidR="003841FA" w:rsidRPr="00275F65">
        <w:t xml:space="preserve">ndividual risk action plans </w:t>
      </w:r>
      <w:r w:rsidR="00B07A85" w:rsidRPr="00275F65">
        <w:t>are maintained</w:t>
      </w:r>
      <w:r w:rsidR="00FB67E5" w:rsidRPr="00275F65">
        <w:t xml:space="preserve"> </w:t>
      </w:r>
      <w:r w:rsidR="00E63A30" w:rsidRPr="00275F65">
        <w:t xml:space="preserve">that </w:t>
      </w:r>
      <w:r w:rsidR="003841FA" w:rsidRPr="00275F65">
        <w:t>identif</w:t>
      </w:r>
      <w:r w:rsidR="00B07A85" w:rsidRPr="00275F65">
        <w:t>y</w:t>
      </w:r>
      <w:r w:rsidR="00FB67E5" w:rsidRPr="00275F65">
        <w:t xml:space="preserve"> the</w:t>
      </w:r>
      <w:r w:rsidR="003841FA" w:rsidRPr="00275F65">
        <w:t xml:space="preserve"> current risk profile, current controls and agreed management actions. The</w:t>
      </w:r>
      <w:r w:rsidR="00FF6F98" w:rsidRPr="00275F65">
        <w:t xml:space="preserve"> Strategic Risk Profile and risk action </w:t>
      </w:r>
      <w:r w:rsidR="00FB67E5" w:rsidRPr="00275F65">
        <w:t>plans</w:t>
      </w:r>
      <w:r w:rsidR="003841FA" w:rsidRPr="00275F65">
        <w:t xml:space="preserve"> </w:t>
      </w:r>
      <w:r w:rsidR="00B07A85" w:rsidRPr="00275F65">
        <w:t>are</w:t>
      </w:r>
      <w:r w:rsidR="003841FA" w:rsidRPr="00275F65">
        <w:t xml:space="preserve"> updated</w:t>
      </w:r>
      <w:r w:rsidR="009B6311">
        <w:t xml:space="preserve"> and reported to the executive management t</w:t>
      </w:r>
      <w:r w:rsidR="003841FA" w:rsidRPr="00275F65">
        <w:t>eam and Audit Committee</w:t>
      </w:r>
      <w:r w:rsidR="00FB67E5" w:rsidRPr="00275F65">
        <w:t xml:space="preserve"> on a regular basis</w:t>
      </w:r>
      <w:r w:rsidR="00DE5F39" w:rsidRPr="00275F65">
        <w:t>.</w:t>
      </w:r>
      <w:r w:rsidR="00FF41A7" w:rsidRPr="00275F65">
        <w:t xml:space="preserve"> </w:t>
      </w:r>
    </w:p>
    <w:p w:rsidR="00FF41A7" w:rsidRPr="00275F65" w:rsidRDefault="00FF41A7" w:rsidP="008C0799">
      <w:pPr>
        <w:pStyle w:val="BodyText"/>
      </w:pPr>
      <w:r w:rsidRPr="00275F65">
        <w:t xml:space="preserve">The Authority’s risk management framework complies with the requirements of the Commonwealth Risk Management Policy and </w:t>
      </w:r>
      <w:r w:rsidRPr="00C06150">
        <w:t xml:space="preserve">the </w:t>
      </w:r>
      <w:r w:rsidRPr="00465BA7">
        <w:t>Public Governance, Performance and Accountability Act 2013</w:t>
      </w:r>
      <w:r w:rsidRPr="00275F65">
        <w:t xml:space="preserve">. </w:t>
      </w:r>
    </w:p>
    <w:p w:rsidR="007D1875" w:rsidRDefault="007D1875" w:rsidP="009D77B4">
      <w:pPr>
        <w:pStyle w:val="Heading3"/>
      </w:pPr>
      <w:bookmarkStart w:id="26" w:name="_Toc430464413"/>
      <w:r>
        <w:t>FRAUD CONTROL</w:t>
      </w:r>
      <w:bookmarkEnd w:id="26"/>
    </w:p>
    <w:p w:rsidR="00143062" w:rsidRDefault="00FF41A7" w:rsidP="003841FA">
      <w:pPr>
        <w:pStyle w:val="BodyText"/>
      </w:pPr>
      <w:r>
        <w:t>In 2014</w:t>
      </w:r>
      <w:r w:rsidR="00E63A30">
        <w:t>–</w:t>
      </w:r>
      <w:r>
        <w:t>15</w:t>
      </w:r>
      <w:r w:rsidR="00E63A30">
        <w:t>,</w:t>
      </w:r>
      <w:r w:rsidR="00143062">
        <w:t xml:space="preserve"> the Authority approved </w:t>
      </w:r>
      <w:r w:rsidR="00673182">
        <w:t>a</w:t>
      </w:r>
      <w:r w:rsidR="00143062">
        <w:t xml:space="preserve"> new Fraud Control Plan</w:t>
      </w:r>
      <w:r w:rsidR="00C64DE2">
        <w:t xml:space="preserve"> to cover the years 2015</w:t>
      </w:r>
      <w:r w:rsidR="00E3461E">
        <w:t>–</w:t>
      </w:r>
      <w:r w:rsidR="00C64DE2">
        <w:t>17</w:t>
      </w:r>
      <w:r w:rsidR="00143062">
        <w:t xml:space="preserve">. </w:t>
      </w:r>
      <w:r w:rsidR="00214382">
        <w:t xml:space="preserve">The plan was developed to specifically comply with the requirements of </w:t>
      </w:r>
      <w:r w:rsidR="00214382" w:rsidRPr="00214382">
        <w:t xml:space="preserve">the </w:t>
      </w:r>
      <w:r w:rsidR="00C64DE2" w:rsidRPr="00C64DE2">
        <w:rPr>
          <w:rStyle w:val="Textitalic"/>
          <w:i w:val="0"/>
        </w:rPr>
        <w:t>C</w:t>
      </w:r>
      <w:r w:rsidR="00C64DE2">
        <w:rPr>
          <w:rStyle w:val="Textitalic"/>
          <w:i w:val="0"/>
        </w:rPr>
        <w:t>ommonwealth F</w:t>
      </w:r>
      <w:r w:rsidR="00C64DE2" w:rsidRPr="00C64DE2">
        <w:rPr>
          <w:rStyle w:val="Textitalic"/>
          <w:i w:val="0"/>
        </w:rPr>
        <w:t>r</w:t>
      </w:r>
      <w:r w:rsidR="00C64DE2">
        <w:rPr>
          <w:rStyle w:val="Textitalic"/>
          <w:i w:val="0"/>
        </w:rPr>
        <w:t>a</w:t>
      </w:r>
      <w:r w:rsidR="00C64DE2" w:rsidRPr="00C64DE2">
        <w:rPr>
          <w:rStyle w:val="Textitalic"/>
          <w:i w:val="0"/>
        </w:rPr>
        <w:t xml:space="preserve">ud Control Policy </w:t>
      </w:r>
      <w:r w:rsidR="00C64DE2" w:rsidRPr="00C64DE2">
        <w:rPr>
          <w:rStyle w:val="Textitalic"/>
          <w:i w:val="0"/>
        </w:rPr>
        <w:lastRenderedPageBreak/>
        <w:t>and</w:t>
      </w:r>
      <w:r w:rsidR="00C64DE2">
        <w:rPr>
          <w:rStyle w:val="Textitalic"/>
          <w:i w:val="0"/>
        </w:rPr>
        <w:t xml:space="preserve"> the </w:t>
      </w:r>
      <w:r w:rsidR="00C64DE2" w:rsidRPr="00C06150">
        <w:rPr>
          <w:rStyle w:val="Textitalic"/>
          <w:i w:val="0"/>
        </w:rPr>
        <w:t>Public Governance, Performance and Accountability Act</w:t>
      </w:r>
      <w:r w:rsidR="00C64DE2" w:rsidRPr="00B44E1E">
        <w:rPr>
          <w:rStyle w:val="Textitalic"/>
          <w:i w:val="0"/>
        </w:rPr>
        <w:t xml:space="preserve"> 2013.</w:t>
      </w:r>
      <w:r w:rsidR="00C64DE2">
        <w:rPr>
          <w:rStyle w:val="Textitalic"/>
          <w:i w:val="0"/>
        </w:rPr>
        <w:t xml:space="preserve"> </w:t>
      </w:r>
      <w:r w:rsidR="00214382" w:rsidRPr="00214382">
        <w:t xml:space="preserve">The Fraud Control Plan sets the standard and process for the management, control and reporting of actual fraud, suspected fraud and the risk of fraud. All </w:t>
      </w:r>
      <w:r w:rsidR="00C64DE2">
        <w:t xml:space="preserve">suspected fraud </w:t>
      </w:r>
      <w:r w:rsidR="00214382" w:rsidRPr="00214382">
        <w:t xml:space="preserve">matters </w:t>
      </w:r>
      <w:r w:rsidR="00C64DE2">
        <w:t>are</w:t>
      </w:r>
      <w:r w:rsidR="00214382" w:rsidRPr="00214382">
        <w:t xml:space="preserve"> required to be reported to the CEO and Audit Committee.</w:t>
      </w:r>
    </w:p>
    <w:p w:rsidR="00214382" w:rsidRDefault="00143062" w:rsidP="003841FA">
      <w:pPr>
        <w:pStyle w:val="BodyText"/>
      </w:pPr>
      <w:r>
        <w:t xml:space="preserve">As part of its ongoing fraud </w:t>
      </w:r>
      <w:r w:rsidR="00214382">
        <w:t xml:space="preserve">risk </w:t>
      </w:r>
      <w:r>
        <w:t>assessment</w:t>
      </w:r>
      <w:r w:rsidR="00214382">
        <w:t xml:space="preserve"> activities,</w:t>
      </w:r>
      <w:r>
        <w:t xml:space="preserve"> the Authority </w:t>
      </w:r>
      <w:r w:rsidR="00214382">
        <w:t>conducted</w:t>
      </w:r>
      <w:r>
        <w:t xml:space="preserve"> a review of its </w:t>
      </w:r>
      <w:r w:rsidR="004D08A0">
        <w:t>fraud risks and a formal risk assessment</w:t>
      </w:r>
      <w:r>
        <w:t xml:space="preserve">. </w:t>
      </w:r>
      <w:r w:rsidR="004D08A0">
        <w:t xml:space="preserve">This included </w:t>
      </w:r>
      <w:r w:rsidR="00E3461E">
        <w:t>identifying</w:t>
      </w:r>
      <w:r w:rsidR="004D08A0">
        <w:t xml:space="preserve"> control measures and proposed treatments. </w:t>
      </w:r>
      <w:r w:rsidR="0026251D">
        <w:t xml:space="preserve">The plan requires all </w:t>
      </w:r>
      <w:r w:rsidR="004D08A0">
        <w:t xml:space="preserve">new Authority staff </w:t>
      </w:r>
      <w:r w:rsidR="0026251D">
        <w:t xml:space="preserve">to </w:t>
      </w:r>
      <w:r w:rsidR="00A867E6">
        <w:t xml:space="preserve">participate in </w:t>
      </w:r>
      <w:r w:rsidR="004D08A0">
        <w:t>fraud awareness training</w:t>
      </w:r>
      <w:r w:rsidR="00705BC8">
        <w:t xml:space="preserve"> as part of induction processes</w:t>
      </w:r>
      <w:r w:rsidR="004D08A0">
        <w:t xml:space="preserve">. </w:t>
      </w:r>
    </w:p>
    <w:p w:rsidR="007D1875" w:rsidRPr="007D1875" w:rsidRDefault="003841FA" w:rsidP="003841FA">
      <w:pPr>
        <w:pStyle w:val="BodyText"/>
        <w:rPr>
          <w:lang w:val="en-GB" w:eastAsia="en-AU"/>
        </w:rPr>
      </w:pPr>
      <w:r w:rsidRPr="003841FA">
        <w:rPr>
          <w:lang w:val="en-GB" w:eastAsia="en-AU"/>
        </w:rPr>
        <w:t>There were no incidents of suspected or actual fraud in 201</w:t>
      </w:r>
      <w:r w:rsidR="00C64DE2">
        <w:rPr>
          <w:lang w:val="en-GB" w:eastAsia="en-AU"/>
        </w:rPr>
        <w:t>4</w:t>
      </w:r>
      <w:r w:rsidR="00E63A30">
        <w:t>–</w:t>
      </w:r>
      <w:r w:rsidR="00EA7B64">
        <w:rPr>
          <w:lang w:val="en-GB" w:eastAsia="en-AU"/>
        </w:rPr>
        <w:t>1</w:t>
      </w:r>
      <w:r w:rsidR="00C64DE2">
        <w:t>5</w:t>
      </w:r>
      <w:r w:rsidRPr="003841FA">
        <w:rPr>
          <w:lang w:val="en-GB" w:eastAsia="en-AU"/>
        </w:rPr>
        <w:t>.</w:t>
      </w:r>
    </w:p>
    <w:p w:rsidR="00EE3556" w:rsidRDefault="00EE3556" w:rsidP="009D77B4">
      <w:pPr>
        <w:pStyle w:val="Heading3"/>
      </w:pPr>
      <w:bookmarkStart w:id="27" w:name="_Toc430464414"/>
      <w:r>
        <w:t>ASSETS</w:t>
      </w:r>
      <w:r w:rsidR="00B81F48">
        <w:t xml:space="preserve"> </w:t>
      </w:r>
      <w:r w:rsidR="00F0427A">
        <w:t>AND</w:t>
      </w:r>
      <w:r w:rsidR="00B81F48">
        <w:t xml:space="preserve"> ASSET MANAGEMENT</w:t>
      </w:r>
      <w:bookmarkEnd w:id="27"/>
    </w:p>
    <w:p w:rsidR="00214382" w:rsidRDefault="0026251D" w:rsidP="00EE3556">
      <w:pPr>
        <w:pStyle w:val="BodyText"/>
      </w:pPr>
      <w:r>
        <w:t>In 2014–15</w:t>
      </w:r>
      <w:r w:rsidR="00F0427A">
        <w:t>, t</w:t>
      </w:r>
      <w:r w:rsidR="00B81F48">
        <w:t>he Authority manage</w:t>
      </w:r>
      <w:r w:rsidR="009B5925">
        <w:t>d</w:t>
      </w:r>
      <w:r w:rsidR="00B81F48">
        <w:t xml:space="preserve"> its assets in accordance with the </w:t>
      </w:r>
      <w:r>
        <w:t xml:space="preserve">Accountable Authority </w:t>
      </w:r>
      <w:r w:rsidR="00B81F48">
        <w:t>Instructions and relevant accounting standards. All of the Authority</w:t>
      </w:r>
      <w:r w:rsidR="00F0427A">
        <w:t>’s</w:t>
      </w:r>
      <w:r w:rsidR="00B81F48">
        <w:t xml:space="preserve"> </w:t>
      </w:r>
      <w:r w:rsidR="00F0427A">
        <w:t>‘</w:t>
      </w:r>
      <w:r w:rsidR="00B81F48">
        <w:t>start-up</w:t>
      </w:r>
      <w:r w:rsidR="00F0427A">
        <w:t>’</w:t>
      </w:r>
      <w:r w:rsidR="00B81F48">
        <w:t xml:space="preserve"> assets were procured by the </w:t>
      </w:r>
      <w:r w:rsidR="00DE5F39">
        <w:t xml:space="preserve">then </w:t>
      </w:r>
      <w:r w:rsidR="00B81F48">
        <w:t>Department of Climate Change and Energy Efficiency</w:t>
      </w:r>
      <w:r w:rsidR="009B5925">
        <w:t xml:space="preserve"> (DCCEE)</w:t>
      </w:r>
      <w:r w:rsidR="00B81F48">
        <w:t xml:space="preserve">. On </w:t>
      </w:r>
      <w:r w:rsidR="00A33C33">
        <w:t xml:space="preserve">its </w:t>
      </w:r>
      <w:r w:rsidR="00B81F48">
        <w:t>est</w:t>
      </w:r>
      <w:r w:rsidR="00A33C33">
        <w:t>ablishment</w:t>
      </w:r>
      <w:r w:rsidR="00DE5F39">
        <w:t>,</w:t>
      </w:r>
      <w:r w:rsidR="00B81F48">
        <w:t xml:space="preserve"> these assets were transferred to the Authority and represented as an equity injection in the</w:t>
      </w:r>
      <w:r w:rsidR="00FF6F98">
        <w:t xml:space="preserve"> 2012</w:t>
      </w:r>
      <w:r w:rsidR="00F0427A">
        <w:t>–</w:t>
      </w:r>
      <w:r w:rsidR="00FF6F98">
        <w:t>13</w:t>
      </w:r>
      <w:r w:rsidR="00B81F48">
        <w:t xml:space="preserve"> annual financial statements. The </w:t>
      </w:r>
      <w:r w:rsidR="00715918">
        <w:t xml:space="preserve">assets transferred included computer </w:t>
      </w:r>
      <w:r w:rsidR="00B054D8">
        <w:t xml:space="preserve">desktops, </w:t>
      </w:r>
      <w:r w:rsidR="00832A13">
        <w:t xml:space="preserve">office </w:t>
      </w:r>
      <w:r w:rsidR="00B054D8">
        <w:t>equipment, furniture and fittings</w:t>
      </w:r>
      <w:r w:rsidR="00FF6F98">
        <w:t>.</w:t>
      </w:r>
      <w:r>
        <w:t xml:space="preserve"> </w:t>
      </w:r>
      <w:r w:rsidR="00214382">
        <w:t xml:space="preserve">The Authority made </w:t>
      </w:r>
      <w:r>
        <w:t>a minor asset purchase of some software and minor disposals of IT equipment in 2014</w:t>
      </w:r>
      <w:r w:rsidR="00E3461E">
        <w:t>–</w:t>
      </w:r>
      <w:r>
        <w:t xml:space="preserve">15. </w:t>
      </w:r>
    </w:p>
    <w:p w:rsidR="00B81F48" w:rsidRDefault="00B81F48" w:rsidP="00EE3556">
      <w:pPr>
        <w:pStyle w:val="BodyText"/>
      </w:pPr>
      <w:r>
        <w:t xml:space="preserve">The Authority undertook a full stocktake of its assets </w:t>
      </w:r>
      <w:r w:rsidR="0026251D">
        <w:t>in June 2015</w:t>
      </w:r>
      <w:r w:rsidR="00E3461E">
        <w:t>—see</w:t>
      </w:r>
      <w:r w:rsidR="00E3461E" w:rsidRPr="00E3461E">
        <w:t xml:space="preserve"> </w:t>
      </w:r>
      <w:r w:rsidR="00E3461E">
        <w:t xml:space="preserve">the Authority’s 2014–15 annual financial statements at </w:t>
      </w:r>
      <w:r w:rsidR="00E3461E">
        <w:rPr>
          <w:rStyle w:val="Textbold"/>
        </w:rPr>
        <w:t xml:space="preserve">Appendix A </w:t>
      </w:r>
      <w:r w:rsidR="00E3461E" w:rsidRPr="00C06150">
        <w:rPr>
          <w:rStyle w:val="Textbold"/>
          <w:b w:val="0"/>
        </w:rPr>
        <w:t>for these</w:t>
      </w:r>
      <w:r>
        <w:t xml:space="preserve"> results.</w:t>
      </w:r>
    </w:p>
    <w:p w:rsidR="00642A53" w:rsidRDefault="00642A53" w:rsidP="009D77B4">
      <w:pPr>
        <w:pStyle w:val="Heading3"/>
      </w:pPr>
      <w:bookmarkStart w:id="28" w:name="_Toc430464415"/>
      <w:r>
        <w:t>SHARED SERVICES</w:t>
      </w:r>
      <w:bookmarkEnd w:id="28"/>
    </w:p>
    <w:p w:rsidR="00642A53" w:rsidRDefault="003539A9" w:rsidP="00642A53">
      <w:pPr>
        <w:pStyle w:val="BodyText"/>
      </w:pPr>
      <w:r>
        <w:t>As a small agency, t</w:t>
      </w:r>
      <w:r w:rsidR="00642A53">
        <w:t>he Authority</w:t>
      </w:r>
      <w:r w:rsidR="00214382">
        <w:t xml:space="preserve"> maintai</w:t>
      </w:r>
      <w:r w:rsidR="00937C35">
        <w:t>ns agreements for the provision</w:t>
      </w:r>
      <w:r w:rsidR="00214382">
        <w:t xml:space="preserve"> of</w:t>
      </w:r>
      <w:r w:rsidR="00642A53">
        <w:t xml:space="preserve"> corporate shared services</w:t>
      </w:r>
      <w:r w:rsidR="00214382">
        <w:t>.</w:t>
      </w:r>
    </w:p>
    <w:p w:rsidR="00214382" w:rsidRDefault="00214382" w:rsidP="00642A53">
      <w:pPr>
        <w:pStyle w:val="BodyText"/>
      </w:pPr>
      <w:r>
        <w:t>As a result of machinery</w:t>
      </w:r>
      <w:r w:rsidR="00F0427A">
        <w:t>-</w:t>
      </w:r>
      <w:r>
        <w:t>of</w:t>
      </w:r>
      <w:r w:rsidR="00F0427A">
        <w:t>-</w:t>
      </w:r>
      <w:r>
        <w:t>government changes in 2013</w:t>
      </w:r>
      <w:r w:rsidR="00F0427A">
        <w:t>–</w:t>
      </w:r>
      <w:r>
        <w:t>14</w:t>
      </w:r>
      <w:r w:rsidR="00F0427A">
        <w:t>,</w:t>
      </w:r>
      <w:r>
        <w:t xml:space="preserve"> the Authority updated its </w:t>
      </w:r>
      <w:r w:rsidR="00571965">
        <w:t>arrangements</w:t>
      </w:r>
      <w:r>
        <w:t xml:space="preserve"> for the provision of these services and currently maintains three separate </w:t>
      </w:r>
      <w:r w:rsidR="00571965">
        <w:t>Memoranda of Understanding (M</w:t>
      </w:r>
      <w:r w:rsidR="00F0427A">
        <w:t>o</w:t>
      </w:r>
      <w:r w:rsidR="00571965">
        <w:t>Us).</w:t>
      </w:r>
      <w:r w:rsidR="00C54C5C">
        <w:t xml:space="preserve"> </w:t>
      </w:r>
      <w:r w:rsidR="00597994">
        <w:t>In 2014</w:t>
      </w:r>
      <w:r w:rsidR="00E3461E">
        <w:t>–</w:t>
      </w:r>
      <w:r w:rsidR="00597994">
        <w:t>15, it was decided that because the Authority was slated for abolition and still ha</w:t>
      </w:r>
      <w:r w:rsidR="00715918">
        <w:t>d</w:t>
      </w:r>
      <w:r w:rsidR="00597994">
        <w:t xml:space="preserve"> an uncertain future it was a more efficient use of Commonwealth resources to maintain current systems than incur </w:t>
      </w:r>
      <w:r w:rsidR="00705BC8">
        <w:t xml:space="preserve">potentially </w:t>
      </w:r>
      <w:r w:rsidR="00597994">
        <w:t xml:space="preserve">significant costs to </w:t>
      </w:r>
      <w:r w:rsidR="00715918">
        <w:t xml:space="preserve">acquire </w:t>
      </w:r>
      <w:r w:rsidR="00597994">
        <w:t>more streamlined share</w:t>
      </w:r>
      <w:r w:rsidR="00715918">
        <w:t>d</w:t>
      </w:r>
      <w:r w:rsidR="00597994">
        <w:t xml:space="preserve"> services arrangements. This decision will be revisited in 2015</w:t>
      </w:r>
      <w:r w:rsidR="00E3461E">
        <w:t>–</w:t>
      </w:r>
      <w:r w:rsidR="00597994">
        <w:t>16</w:t>
      </w:r>
      <w:r w:rsidR="00E3461E">
        <w:t>,</w:t>
      </w:r>
      <w:r w:rsidR="00597994">
        <w:t xml:space="preserve"> given that the Authority </w:t>
      </w:r>
      <w:r w:rsidR="00705BC8">
        <w:t xml:space="preserve">has </w:t>
      </w:r>
      <w:r w:rsidR="00597994">
        <w:t xml:space="preserve">received </w:t>
      </w:r>
      <w:r w:rsidR="00705BC8">
        <w:t>funding</w:t>
      </w:r>
      <w:r w:rsidR="00597994">
        <w:t xml:space="preserve"> until December 2016</w:t>
      </w:r>
      <w:r w:rsidR="00715918">
        <w:t xml:space="preserve"> and nothing that, in line with </w:t>
      </w:r>
      <w:r w:rsidR="00E3461E">
        <w:t>g</w:t>
      </w:r>
      <w:r w:rsidR="00715918">
        <w:t xml:space="preserve">overnment policy, Commonwealth agencies are currently rationalising their arrangements with a view to finding increased efficiencies. </w:t>
      </w:r>
      <w:r w:rsidR="00597994">
        <w:t xml:space="preserve"> </w:t>
      </w:r>
    </w:p>
    <w:p w:rsidR="00571965" w:rsidRDefault="00610D38" w:rsidP="00642A53">
      <w:pPr>
        <w:pStyle w:val="BodyText"/>
      </w:pPr>
      <w:r>
        <w:t>The Authority has a</w:t>
      </w:r>
      <w:r w:rsidR="00571965">
        <w:t xml:space="preserve"> M</w:t>
      </w:r>
      <w:r w:rsidR="00F0427A">
        <w:t>o</w:t>
      </w:r>
      <w:r w:rsidR="00571965">
        <w:t>U with the Department of Industry</w:t>
      </w:r>
      <w:r w:rsidR="001A7B8B">
        <w:t xml:space="preserve"> and Science</w:t>
      </w:r>
      <w:r w:rsidR="00571965">
        <w:t xml:space="preserve"> for the provision of finance, payroll and human resources systems and support. This </w:t>
      </w:r>
      <w:r w:rsidR="00715918">
        <w:t xml:space="preserve">arrangement was put in place when </w:t>
      </w:r>
      <w:r w:rsidR="00571965">
        <w:t>the Authority was part of the Industry portfolio and has</w:t>
      </w:r>
      <w:r w:rsidR="00715918">
        <w:t xml:space="preserve"> since been maintained, giv</w:t>
      </w:r>
      <w:r w:rsidR="00E3461E">
        <w:t>ing</w:t>
      </w:r>
      <w:r w:rsidR="00715918">
        <w:t xml:space="preserve"> </w:t>
      </w:r>
      <w:r w:rsidR="00D740C7">
        <w:t xml:space="preserve">the Authority continuity </w:t>
      </w:r>
      <w:r w:rsidR="00715918">
        <w:t>for</w:t>
      </w:r>
      <w:r w:rsidR="00571965">
        <w:t xml:space="preserve"> its core finance and payroll systems.</w:t>
      </w:r>
      <w:r w:rsidR="0026251D">
        <w:t xml:space="preserve"> </w:t>
      </w:r>
      <w:r w:rsidR="00571965">
        <w:t>The Authority has a second M</w:t>
      </w:r>
      <w:r w:rsidR="00F0427A">
        <w:t>o</w:t>
      </w:r>
      <w:r w:rsidR="00571965">
        <w:t>U with the Department of the Environment for corporate services support</w:t>
      </w:r>
      <w:r w:rsidR="00F0427A">
        <w:t>,</w:t>
      </w:r>
      <w:r w:rsidR="00571965">
        <w:t xml:space="preserve"> including legal, freedom of information, media and travel services.</w:t>
      </w:r>
      <w:r w:rsidR="00BD6311">
        <w:t xml:space="preserve"> </w:t>
      </w:r>
      <w:r w:rsidR="00571965">
        <w:t>The Authority has a third corporate service M</w:t>
      </w:r>
      <w:r w:rsidR="00F0427A">
        <w:t>o</w:t>
      </w:r>
      <w:r w:rsidR="00571965">
        <w:t>U with the Department of Prime Minister and Cabinet for its information technology systems and support.</w:t>
      </w:r>
      <w:r w:rsidR="00BD6311">
        <w:t xml:space="preserve"> </w:t>
      </w:r>
      <w:r w:rsidR="00571965">
        <w:t>Each of the M</w:t>
      </w:r>
      <w:r w:rsidR="00F0427A">
        <w:t>o</w:t>
      </w:r>
      <w:r w:rsidR="00571965">
        <w:t xml:space="preserve">Us </w:t>
      </w:r>
      <w:r w:rsidR="001933D1">
        <w:t>is</w:t>
      </w:r>
      <w:r w:rsidR="00571965">
        <w:t xml:space="preserve"> performed on a fee</w:t>
      </w:r>
      <w:r w:rsidR="00F0427A">
        <w:t>-</w:t>
      </w:r>
      <w:r w:rsidR="00571965">
        <w:t>for</w:t>
      </w:r>
      <w:r w:rsidR="00F0427A">
        <w:t>-</w:t>
      </w:r>
      <w:r w:rsidR="00571965">
        <w:t>service basis</w:t>
      </w:r>
      <w:r w:rsidR="00D740C7">
        <w:t>.</w:t>
      </w:r>
    </w:p>
    <w:p w:rsidR="009D77B4" w:rsidRDefault="009D77B4" w:rsidP="009D77B4">
      <w:pPr>
        <w:pStyle w:val="Heading3"/>
      </w:pPr>
      <w:bookmarkStart w:id="29" w:name="_Toc430464416"/>
      <w:r>
        <w:t xml:space="preserve">INTERNAL </w:t>
      </w:r>
      <w:r w:rsidR="007D1875">
        <w:t>AUDIT</w:t>
      </w:r>
      <w:bookmarkEnd w:id="29"/>
    </w:p>
    <w:p w:rsidR="00A00122" w:rsidRDefault="00A00122" w:rsidP="00A00122">
      <w:pPr>
        <w:pStyle w:val="BodyText"/>
      </w:pPr>
      <w:r>
        <w:t>The Authority</w:t>
      </w:r>
      <w:r w:rsidR="00F0427A">
        <w:t>’</w:t>
      </w:r>
      <w:r>
        <w:t>s Audit Committee</w:t>
      </w:r>
      <w:r w:rsidR="003539A9">
        <w:t xml:space="preserve"> </w:t>
      </w:r>
      <w:r>
        <w:t>provide</w:t>
      </w:r>
      <w:r w:rsidR="00F0427A">
        <w:t>s</w:t>
      </w:r>
      <w:r>
        <w:t xml:space="preserve"> independent advice to the </w:t>
      </w:r>
      <w:r w:rsidR="00A5523B">
        <w:t>CEO</w:t>
      </w:r>
      <w:r>
        <w:t xml:space="preserve"> on risk </w:t>
      </w:r>
      <w:r w:rsidR="00BD6311">
        <w:t xml:space="preserve">and fraud </w:t>
      </w:r>
      <w:r>
        <w:t>management</w:t>
      </w:r>
      <w:r w:rsidR="00FF6F98">
        <w:t xml:space="preserve"> and ensure</w:t>
      </w:r>
      <w:r w:rsidR="00F0427A">
        <w:t>s</w:t>
      </w:r>
      <w:r w:rsidR="00D725D5">
        <w:t xml:space="preserve"> the Authority ha</w:t>
      </w:r>
      <w:r w:rsidR="00F0427A">
        <w:t>s</w:t>
      </w:r>
      <w:r w:rsidR="00D725D5">
        <w:t xml:space="preserve"> </w:t>
      </w:r>
      <w:r>
        <w:t>a strong compliance framework.</w:t>
      </w:r>
    </w:p>
    <w:p w:rsidR="006853A8" w:rsidRDefault="006853A8" w:rsidP="00A00122">
      <w:pPr>
        <w:pStyle w:val="BodyText"/>
      </w:pPr>
      <w:r>
        <w:lastRenderedPageBreak/>
        <w:t>The Audit Committee met on three occasions during the year</w:t>
      </w:r>
      <w:r w:rsidR="00F0427A">
        <w:t>—</w:t>
      </w:r>
      <w:r w:rsidR="00BD6311">
        <w:t>7</w:t>
      </w:r>
      <w:r>
        <w:t xml:space="preserve"> </w:t>
      </w:r>
      <w:r w:rsidR="00BD6311">
        <w:t>August 2014, 12</w:t>
      </w:r>
      <w:r>
        <w:t xml:space="preserve"> February</w:t>
      </w:r>
      <w:r w:rsidR="00BD6311">
        <w:t xml:space="preserve"> 2015 and 1</w:t>
      </w:r>
      <w:r w:rsidR="00C2628D">
        <w:t> </w:t>
      </w:r>
      <w:r>
        <w:t>June</w:t>
      </w:r>
      <w:r w:rsidR="00BD6311">
        <w:t xml:space="preserve"> 2015</w:t>
      </w:r>
      <w:r>
        <w:t>.</w:t>
      </w:r>
    </w:p>
    <w:p w:rsidR="006A79A3" w:rsidRDefault="006A79A3" w:rsidP="006A79A3">
      <w:pPr>
        <w:pStyle w:val="Caption"/>
      </w:pPr>
      <w:r>
        <w:t>Table 5.1: Audit Committee Membership</w:t>
      </w:r>
    </w:p>
    <w:tbl>
      <w:tblPr>
        <w:tblStyle w:val="CCATable"/>
        <w:tblW w:w="0" w:type="auto"/>
        <w:tblLook w:val="04A0" w:firstRow="1" w:lastRow="0" w:firstColumn="1" w:lastColumn="0" w:noHBand="0" w:noVBand="1"/>
      </w:tblPr>
      <w:tblGrid>
        <w:gridCol w:w="3031"/>
        <w:gridCol w:w="3030"/>
        <w:gridCol w:w="3031"/>
      </w:tblGrid>
      <w:tr w:rsidR="006A79A3" w:rsidTr="008B2014">
        <w:trPr>
          <w:cnfStyle w:val="100000000000" w:firstRow="1" w:lastRow="0" w:firstColumn="0" w:lastColumn="0" w:oddVBand="0" w:evenVBand="0" w:oddHBand="0" w:evenHBand="0" w:firstRowFirstColumn="0" w:firstRowLastColumn="0" w:lastRowFirstColumn="0" w:lastRowLastColumn="0"/>
          <w:trHeight w:val="342"/>
        </w:trPr>
        <w:tc>
          <w:tcPr>
            <w:tcW w:w="9092" w:type="dxa"/>
            <w:gridSpan w:val="3"/>
          </w:tcPr>
          <w:p w:rsidR="006A79A3" w:rsidRDefault="006A79A3" w:rsidP="008B2014">
            <w:pPr>
              <w:pStyle w:val="TableHeading"/>
            </w:pPr>
            <w:r>
              <w:t>Audit Committee Meetings 2014-15</w:t>
            </w:r>
          </w:p>
        </w:tc>
      </w:tr>
      <w:tr w:rsidR="006A79A3" w:rsidTr="008B2014">
        <w:trPr>
          <w:cnfStyle w:val="000000100000" w:firstRow="0" w:lastRow="0" w:firstColumn="0" w:lastColumn="0" w:oddVBand="0" w:evenVBand="0" w:oddHBand="1" w:evenHBand="0" w:firstRowFirstColumn="0" w:firstRowLastColumn="0" w:lastRowFirstColumn="0" w:lastRowLastColumn="0"/>
          <w:trHeight w:val="354"/>
        </w:trPr>
        <w:tc>
          <w:tcPr>
            <w:tcW w:w="3031" w:type="dxa"/>
          </w:tcPr>
          <w:p w:rsidR="006A79A3" w:rsidRPr="00B22AF2" w:rsidRDefault="006A79A3" w:rsidP="008B2014">
            <w:pPr>
              <w:pStyle w:val="TableText"/>
              <w:rPr>
                <w:b/>
                <w:sz w:val="19"/>
                <w:szCs w:val="19"/>
              </w:rPr>
            </w:pPr>
            <w:r w:rsidRPr="00B22AF2">
              <w:rPr>
                <w:b/>
                <w:sz w:val="19"/>
                <w:szCs w:val="19"/>
              </w:rPr>
              <w:t>7 August 2014</w:t>
            </w:r>
          </w:p>
        </w:tc>
        <w:tc>
          <w:tcPr>
            <w:tcW w:w="3030" w:type="dxa"/>
          </w:tcPr>
          <w:p w:rsidR="006A79A3" w:rsidRPr="00B22AF2" w:rsidRDefault="006A79A3" w:rsidP="008B2014">
            <w:pPr>
              <w:pStyle w:val="TableText"/>
              <w:rPr>
                <w:b/>
                <w:sz w:val="19"/>
                <w:szCs w:val="19"/>
              </w:rPr>
            </w:pPr>
            <w:r w:rsidRPr="00B22AF2">
              <w:rPr>
                <w:b/>
                <w:sz w:val="19"/>
                <w:szCs w:val="19"/>
              </w:rPr>
              <w:t>12 February 2015</w:t>
            </w:r>
          </w:p>
        </w:tc>
        <w:tc>
          <w:tcPr>
            <w:tcW w:w="3031" w:type="dxa"/>
          </w:tcPr>
          <w:p w:rsidR="006A79A3" w:rsidRPr="00B22AF2" w:rsidRDefault="006A79A3" w:rsidP="008B2014">
            <w:pPr>
              <w:pStyle w:val="TableText"/>
              <w:rPr>
                <w:b/>
                <w:sz w:val="19"/>
                <w:szCs w:val="19"/>
              </w:rPr>
            </w:pPr>
            <w:r w:rsidRPr="00B22AF2">
              <w:rPr>
                <w:b/>
                <w:sz w:val="19"/>
                <w:szCs w:val="19"/>
              </w:rPr>
              <w:t>1 June 2015</w:t>
            </w:r>
          </w:p>
        </w:tc>
      </w:tr>
      <w:tr w:rsidR="006A79A3" w:rsidTr="00881C63">
        <w:trPr>
          <w:trHeight w:val="374"/>
        </w:trPr>
        <w:tc>
          <w:tcPr>
            <w:tcW w:w="3031" w:type="dxa"/>
          </w:tcPr>
          <w:p w:rsidR="006A79A3" w:rsidRDefault="006A79A3" w:rsidP="00881C63">
            <w:pPr>
              <w:pStyle w:val="TableText"/>
              <w:spacing w:after="0"/>
            </w:pPr>
            <w:r>
              <w:t>Dr Helen Mignot (Chair)</w:t>
            </w:r>
          </w:p>
        </w:tc>
        <w:tc>
          <w:tcPr>
            <w:tcW w:w="3030" w:type="dxa"/>
          </w:tcPr>
          <w:p w:rsidR="006A79A3" w:rsidRDefault="006A79A3" w:rsidP="00881C63">
            <w:pPr>
              <w:pStyle w:val="TableText"/>
              <w:spacing w:after="0"/>
            </w:pPr>
            <w:r>
              <w:t>Mr Chris Pattas (A/g Chair)</w:t>
            </w:r>
          </w:p>
        </w:tc>
        <w:tc>
          <w:tcPr>
            <w:tcW w:w="3031" w:type="dxa"/>
          </w:tcPr>
          <w:p w:rsidR="006A79A3" w:rsidRDefault="006A79A3" w:rsidP="00881C63">
            <w:pPr>
              <w:pStyle w:val="TableText"/>
              <w:spacing w:after="0"/>
            </w:pPr>
            <w:r>
              <w:t>Mr Scott Hooper (Chair)</w:t>
            </w:r>
          </w:p>
        </w:tc>
      </w:tr>
      <w:tr w:rsidR="006A79A3" w:rsidTr="008B2014">
        <w:trPr>
          <w:cnfStyle w:val="000000100000" w:firstRow="0" w:lastRow="0" w:firstColumn="0" w:lastColumn="0" w:oddVBand="0" w:evenVBand="0" w:oddHBand="1" w:evenHBand="0" w:firstRowFirstColumn="0" w:firstRowLastColumn="0" w:lastRowFirstColumn="0" w:lastRowLastColumn="0"/>
          <w:trHeight w:val="331"/>
        </w:trPr>
        <w:tc>
          <w:tcPr>
            <w:tcW w:w="3031" w:type="dxa"/>
          </w:tcPr>
          <w:p w:rsidR="006A79A3" w:rsidRDefault="006A79A3" w:rsidP="008B2014">
            <w:pPr>
              <w:pStyle w:val="TableText"/>
            </w:pPr>
            <w:r>
              <w:t>Mr John Blanch</w:t>
            </w:r>
          </w:p>
        </w:tc>
        <w:tc>
          <w:tcPr>
            <w:tcW w:w="3030" w:type="dxa"/>
          </w:tcPr>
          <w:p w:rsidR="006A79A3" w:rsidRDefault="006A79A3" w:rsidP="008B2014">
            <w:pPr>
              <w:pStyle w:val="TableText"/>
            </w:pPr>
            <w:r>
              <w:t>Ms Lily Viertmann</w:t>
            </w:r>
          </w:p>
        </w:tc>
        <w:tc>
          <w:tcPr>
            <w:tcW w:w="3031" w:type="dxa"/>
          </w:tcPr>
          <w:p w:rsidR="006A79A3" w:rsidRDefault="006A79A3" w:rsidP="008B2014">
            <w:pPr>
              <w:pStyle w:val="TableText"/>
            </w:pPr>
            <w:r>
              <w:t>Ms Vicki Middleton</w:t>
            </w:r>
          </w:p>
        </w:tc>
      </w:tr>
      <w:tr w:rsidR="006A79A3" w:rsidTr="008B2014">
        <w:trPr>
          <w:trHeight w:val="331"/>
        </w:trPr>
        <w:tc>
          <w:tcPr>
            <w:tcW w:w="3031" w:type="dxa"/>
          </w:tcPr>
          <w:p w:rsidR="006A79A3" w:rsidRDefault="006A79A3" w:rsidP="008B2014">
            <w:pPr>
              <w:pStyle w:val="TableText"/>
            </w:pPr>
            <w:r>
              <w:t>Mr Chris Pattas</w:t>
            </w:r>
          </w:p>
        </w:tc>
        <w:tc>
          <w:tcPr>
            <w:tcW w:w="3030" w:type="dxa"/>
          </w:tcPr>
          <w:p w:rsidR="006A79A3" w:rsidRDefault="006A79A3" w:rsidP="008B2014">
            <w:pPr>
              <w:pStyle w:val="TableText"/>
            </w:pPr>
            <w:r>
              <w:t>Ms Vicki Middleton</w:t>
            </w:r>
          </w:p>
        </w:tc>
        <w:tc>
          <w:tcPr>
            <w:tcW w:w="3031" w:type="dxa"/>
          </w:tcPr>
          <w:p w:rsidR="006A79A3" w:rsidRDefault="006A79A3" w:rsidP="008B2014">
            <w:pPr>
              <w:pStyle w:val="TableText"/>
            </w:pPr>
            <w:r>
              <w:t>Mr Chris Pattas</w:t>
            </w:r>
          </w:p>
        </w:tc>
      </w:tr>
      <w:tr w:rsidR="006A79A3" w:rsidTr="008B2014">
        <w:trPr>
          <w:cnfStyle w:val="000000100000" w:firstRow="0" w:lastRow="0" w:firstColumn="0" w:lastColumn="0" w:oddVBand="0" w:evenVBand="0" w:oddHBand="1" w:evenHBand="0" w:firstRowFirstColumn="0" w:firstRowLastColumn="0" w:lastRowFirstColumn="0" w:lastRowLastColumn="0"/>
          <w:trHeight w:val="331"/>
        </w:trPr>
        <w:tc>
          <w:tcPr>
            <w:tcW w:w="3031" w:type="dxa"/>
          </w:tcPr>
          <w:p w:rsidR="006A79A3" w:rsidRDefault="006A79A3" w:rsidP="008B2014">
            <w:pPr>
              <w:pStyle w:val="TableText"/>
            </w:pPr>
            <w:r>
              <w:t>Ms Vicki Middleton</w:t>
            </w:r>
          </w:p>
        </w:tc>
        <w:tc>
          <w:tcPr>
            <w:tcW w:w="3030" w:type="dxa"/>
          </w:tcPr>
          <w:p w:rsidR="006A79A3" w:rsidRDefault="006A79A3" w:rsidP="008B2014">
            <w:pPr>
              <w:pStyle w:val="TableText"/>
            </w:pPr>
          </w:p>
        </w:tc>
        <w:tc>
          <w:tcPr>
            <w:tcW w:w="3031" w:type="dxa"/>
          </w:tcPr>
          <w:p w:rsidR="006A79A3" w:rsidRDefault="006A79A3" w:rsidP="008B2014">
            <w:pPr>
              <w:pStyle w:val="TableText"/>
            </w:pPr>
            <w:r>
              <w:t>Ms Lily Viertmann</w:t>
            </w:r>
          </w:p>
        </w:tc>
      </w:tr>
    </w:tbl>
    <w:p w:rsidR="006853A8" w:rsidRDefault="006A79A3" w:rsidP="00A00122">
      <w:pPr>
        <w:pStyle w:val="BodyText"/>
      </w:pPr>
      <w:r>
        <w:br/>
      </w:r>
      <w:r w:rsidR="008E195F">
        <w:t>In 201</w:t>
      </w:r>
      <w:r w:rsidR="00794274">
        <w:t>4</w:t>
      </w:r>
      <w:r w:rsidR="00F0427A">
        <w:t>–</w:t>
      </w:r>
      <w:r w:rsidR="008E195F">
        <w:t>1</w:t>
      </w:r>
      <w:r w:rsidR="00794274">
        <w:t>5</w:t>
      </w:r>
      <w:r w:rsidR="00DE5F39">
        <w:t>,</w:t>
      </w:r>
      <w:r w:rsidR="006853A8">
        <w:t xml:space="preserve"> the major business of the </w:t>
      </w:r>
      <w:r w:rsidR="00F0427A">
        <w:t>c</w:t>
      </w:r>
      <w:r w:rsidR="006853A8">
        <w:t>ommittee included review</w:t>
      </w:r>
      <w:r w:rsidR="00F0427A">
        <w:t>ing</w:t>
      </w:r>
      <w:r w:rsidR="00610163">
        <w:t xml:space="preserve"> and</w:t>
      </w:r>
      <w:r w:rsidR="00F0427A">
        <w:t>/</w:t>
      </w:r>
      <w:r w:rsidR="00610163">
        <w:t>or approv</w:t>
      </w:r>
      <w:r w:rsidR="00F0427A">
        <w:t>ing the</w:t>
      </w:r>
      <w:r w:rsidR="00715918">
        <w:t xml:space="preserve"> Authority’s governance arrangements including</w:t>
      </w:r>
      <w:r w:rsidR="006853A8">
        <w:t>:</w:t>
      </w:r>
    </w:p>
    <w:p w:rsidR="006853A8" w:rsidRPr="00C06150" w:rsidRDefault="00CE4571" w:rsidP="00610163">
      <w:pPr>
        <w:pStyle w:val="ListBullet"/>
      </w:pPr>
      <w:r>
        <w:t xml:space="preserve">the </w:t>
      </w:r>
      <w:r w:rsidR="00794274">
        <w:t>Authority’s changing status between a corporate and non-corporate body</w:t>
      </w:r>
      <w:r w:rsidR="0063658E">
        <w:t xml:space="preserve"> due to amendments of the </w:t>
      </w:r>
      <w:r w:rsidR="0063658E" w:rsidRPr="00465BA7">
        <w:t>Public Governance, Performance and Accountability Act 2013</w:t>
      </w:r>
    </w:p>
    <w:p w:rsidR="006853A8" w:rsidRDefault="00CE4571" w:rsidP="00610163">
      <w:pPr>
        <w:pStyle w:val="ListBullet"/>
      </w:pPr>
      <w:r>
        <w:t xml:space="preserve">the </w:t>
      </w:r>
      <w:r w:rsidR="006853A8">
        <w:t>Fraud Control Plan</w:t>
      </w:r>
    </w:p>
    <w:p w:rsidR="00610163" w:rsidRDefault="00CE4571" w:rsidP="00610163">
      <w:pPr>
        <w:pStyle w:val="ListBullet"/>
      </w:pPr>
      <w:r>
        <w:t xml:space="preserve">the </w:t>
      </w:r>
      <w:r w:rsidR="00610163">
        <w:t>Strategic Risk Profile</w:t>
      </w:r>
      <w:r w:rsidR="0063658E">
        <w:t xml:space="preserve"> and assessment</w:t>
      </w:r>
    </w:p>
    <w:p w:rsidR="00794274" w:rsidRDefault="00CE4571" w:rsidP="00610163">
      <w:pPr>
        <w:pStyle w:val="ListBullet"/>
      </w:pPr>
      <w:r>
        <w:t>b</w:t>
      </w:r>
      <w:r w:rsidR="00794274">
        <w:t>udget process</w:t>
      </w:r>
      <w:r w:rsidR="006E12BC">
        <w:t>es</w:t>
      </w:r>
    </w:p>
    <w:p w:rsidR="00794274" w:rsidRDefault="00CE4571" w:rsidP="00610163">
      <w:pPr>
        <w:pStyle w:val="ListBullet"/>
      </w:pPr>
      <w:r>
        <w:t>the a</w:t>
      </w:r>
      <w:r w:rsidR="00794274">
        <w:t>udit plan</w:t>
      </w:r>
    </w:p>
    <w:p w:rsidR="00794274" w:rsidRDefault="00794274" w:rsidP="00610163">
      <w:pPr>
        <w:pStyle w:val="ListBullet"/>
      </w:pPr>
      <w:r>
        <w:t>Accountable Authority Instructions</w:t>
      </w:r>
    </w:p>
    <w:p w:rsidR="00610163" w:rsidRDefault="00CE4571" w:rsidP="00610163">
      <w:pPr>
        <w:pStyle w:val="ListBullet"/>
      </w:pPr>
      <w:r>
        <w:t xml:space="preserve">the </w:t>
      </w:r>
      <w:r w:rsidR="00610163">
        <w:t>Governance Compliance Checklist</w:t>
      </w:r>
    </w:p>
    <w:p w:rsidR="00610163" w:rsidRDefault="00CE4571" w:rsidP="00610163">
      <w:pPr>
        <w:pStyle w:val="ListBullet"/>
      </w:pPr>
      <w:r>
        <w:t xml:space="preserve">the </w:t>
      </w:r>
      <w:r w:rsidR="00610163">
        <w:t>Certificate of Compliance</w:t>
      </w:r>
    </w:p>
    <w:p w:rsidR="00610163" w:rsidRDefault="00CE4571" w:rsidP="00610163">
      <w:pPr>
        <w:pStyle w:val="ListBullet"/>
      </w:pPr>
      <w:r>
        <w:t xml:space="preserve">the </w:t>
      </w:r>
      <w:r w:rsidR="00F0427A">
        <w:t>A</w:t>
      </w:r>
      <w:r w:rsidR="00610163">
        <w:t>bolition Transition Plan</w:t>
      </w:r>
      <w:r>
        <w:t>.</w:t>
      </w:r>
    </w:p>
    <w:p w:rsidR="004138B8" w:rsidRDefault="004138B8" w:rsidP="004138B8">
      <w:pPr>
        <w:pStyle w:val="Heading3"/>
      </w:pPr>
      <w:bookmarkStart w:id="30" w:name="_Toc430464417"/>
      <w:r>
        <w:t>EXTERNAL SCRUTINY</w:t>
      </w:r>
      <w:bookmarkEnd w:id="30"/>
    </w:p>
    <w:p w:rsidR="00F0427A" w:rsidRDefault="00D566D8" w:rsidP="00934298">
      <w:pPr>
        <w:pStyle w:val="BodyText"/>
      </w:pPr>
      <w:r>
        <w:t>During 2014–15</w:t>
      </w:r>
      <w:r w:rsidR="00F0427A">
        <w:t>:</w:t>
      </w:r>
    </w:p>
    <w:p w:rsidR="004138B8" w:rsidRDefault="005D1510" w:rsidP="00610D38">
      <w:pPr>
        <w:pStyle w:val="ListBullet"/>
      </w:pPr>
      <w:r>
        <w:t>n</w:t>
      </w:r>
      <w:r w:rsidR="004138B8" w:rsidRPr="00896A6A">
        <w:t xml:space="preserve">o judicial or administrative tribunal decisions relating to </w:t>
      </w:r>
      <w:r w:rsidR="004138B8">
        <w:t>the Authority were handed down</w:t>
      </w:r>
      <w:r w:rsidR="004138B8" w:rsidRPr="00896A6A">
        <w:t xml:space="preserve"> </w:t>
      </w:r>
    </w:p>
    <w:p w:rsidR="004138B8" w:rsidRDefault="005D1510" w:rsidP="00610D38">
      <w:pPr>
        <w:pStyle w:val="ListBullet"/>
      </w:pPr>
      <w:r>
        <w:t>t</w:t>
      </w:r>
      <w:r w:rsidR="004138B8" w:rsidRPr="00896A6A">
        <w:t xml:space="preserve">here were no reports by the Auditor-General on the operations of the </w:t>
      </w:r>
      <w:r w:rsidR="00903CA2">
        <w:t>Authority</w:t>
      </w:r>
      <w:r w:rsidR="004138B8" w:rsidRPr="00896A6A">
        <w:t xml:space="preserve">, other than the report on the </w:t>
      </w:r>
      <w:r w:rsidR="00903CA2">
        <w:t xml:space="preserve">annual </w:t>
      </w:r>
      <w:r w:rsidR="004138B8" w:rsidRPr="00896A6A">
        <w:t xml:space="preserve">financial statements </w:t>
      </w:r>
      <w:r w:rsidR="004138B8">
        <w:t xml:space="preserve">contained </w:t>
      </w:r>
      <w:r w:rsidR="00A5523B">
        <w:t>at</w:t>
      </w:r>
      <w:r w:rsidR="00A5523B" w:rsidRPr="00896A6A">
        <w:t xml:space="preserve"> </w:t>
      </w:r>
      <w:r w:rsidR="002B2DB0" w:rsidRPr="00D566D8">
        <w:rPr>
          <w:b/>
        </w:rPr>
        <w:t>Appendix A</w:t>
      </w:r>
    </w:p>
    <w:p w:rsidR="00D725D5" w:rsidRDefault="005D1510" w:rsidP="00610D38">
      <w:pPr>
        <w:pStyle w:val="ListBullet"/>
      </w:pPr>
      <w:r>
        <w:t>t</w:t>
      </w:r>
      <w:r w:rsidR="004138B8" w:rsidRPr="00896A6A">
        <w:t xml:space="preserve">here were no reports on the operations of </w:t>
      </w:r>
      <w:r w:rsidR="004138B8">
        <w:t>the Authority</w:t>
      </w:r>
      <w:r w:rsidR="004138B8" w:rsidRPr="00896A6A">
        <w:t xml:space="preserve"> conducted by a Parliamentary Committe</w:t>
      </w:r>
      <w:r>
        <w:t>e or the Commonwealth Ombudsman</w:t>
      </w:r>
    </w:p>
    <w:p w:rsidR="00C857D0" w:rsidRDefault="005D1510" w:rsidP="00610D38">
      <w:pPr>
        <w:pStyle w:val="ListBullet"/>
      </w:pPr>
      <w:r>
        <w:t>t</w:t>
      </w:r>
      <w:r w:rsidR="004138B8">
        <w:t>he Authority appeared before the</w:t>
      </w:r>
      <w:r w:rsidR="00D725D5">
        <w:t xml:space="preserve"> Senate Standing Committee on Environment and Communications</w:t>
      </w:r>
      <w:r w:rsidR="004138B8">
        <w:t xml:space="preserve"> for </w:t>
      </w:r>
      <w:r w:rsidR="00D725D5">
        <w:t xml:space="preserve">Senate Budget </w:t>
      </w:r>
      <w:r w:rsidR="0063658E">
        <w:t xml:space="preserve">and Additional </w:t>
      </w:r>
      <w:r w:rsidR="00D725D5">
        <w:t>E</w:t>
      </w:r>
      <w:r w:rsidR="004138B8">
        <w:t>stimates.</w:t>
      </w:r>
    </w:p>
    <w:p w:rsidR="009D77B4" w:rsidRDefault="009D77B4" w:rsidP="00610D38">
      <w:pPr>
        <w:pStyle w:val="Heading4"/>
      </w:pPr>
      <w:r>
        <w:t>ETHICAL STANDARDS</w:t>
      </w:r>
    </w:p>
    <w:p w:rsidR="00A00122" w:rsidRDefault="00F0427A" w:rsidP="00A00122">
      <w:pPr>
        <w:pStyle w:val="BodyText"/>
      </w:pPr>
      <w:r>
        <w:t>In managing and developing its people, t</w:t>
      </w:r>
      <w:r w:rsidR="00A00122">
        <w:t xml:space="preserve">he Authority is bound by </w:t>
      </w:r>
      <w:r w:rsidR="00A00122" w:rsidRPr="00FE3BBB">
        <w:rPr>
          <w:rStyle w:val="Textitalic"/>
          <w:i w:val="0"/>
        </w:rPr>
        <w:t xml:space="preserve">the </w:t>
      </w:r>
      <w:r w:rsidR="00A00122" w:rsidRPr="00C06150">
        <w:rPr>
          <w:rStyle w:val="Textitalic"/>
          <w:i w:val="0"/>
        </w:rPr>
        <w:t xml:space="preserve">Public Service Act </w:t>
      </w:r>
      <w:r w:rsidR="00A00122" w:rsidRPr="00B44E1E">
        <w:rPr>
          <w:rStyle w:val="Textitalic"/>
          <w:i w:val="0"/>
        </w:rPr>
        <w:t>1999</w:t>
      </w:r>
      <w:r w:rsidR="00A00122">
        <w:t xml:space="preserve"> and the guidelines of the Australian Public Services Commission</w:t>
      </w:r>
      <w:r>
        <w:t>.</w:t>
      </w:r>
    </w:p>
    <w:p w:rsidR="00903CA2" w:rsidRDefault="008E195F" w:rsidP="00F10254">
      <w:pPr>
        <w:pStyle w:val="BodyText"/>
      </w:pPr>
      <w:r>
        <w:t xml:space="preserve">Values and behaviours </w:t>
      </w:r>
      <w:r w:rsidR="00F0427A">
        <w:t>a</w:t>
      </w:r>
      <w:r>
        <w:t xml:space="preserve">re a key element </w:t>
      </w:r>
      <w:r w:rsidR="00F0427A">
        <w:t xml:space="preserve">of </w:t>
      </w:r>
      <w:r>
        <w:t>the Authority</w:t>
      </w:r>
      <w:r w:rsidR="00F0427A">
        <w:t>’</w:t>
      </w:r>
      <w:r>
        <w:t xml:space="preserve">s </w:t>
      </w:r>
      <w:r w:rsidR="00D566D8">
        <w:t>second</w:t>
      </w:r>
      <w:r>
        <w:t xml:space="preserve"> corporate plan</w:t>
      </w:r>
      <w:r w:rsidR="00CE4571">
        <w:t>,</w:t>
      </w:r>
      <w:r>
        <w:t xml:space="preserve"> and </w:t>
      </w:r>
      <w:r w:rsidR="00903CA2">
        <w:t>the Authority</w:t>
      </w:r>
      <w:r w:rsidR="00F0427A">
        <w:t>’</w:t>
      </w:r>
      <w:r w:rsidR="00903CA2">
        <w:t xml:space="preserve">s values and behaviours </w:t>
      </w:r>
      <w:r>
        <w:t xml:space="preserve">align to the Australian Public Service </w:t>
      </w:r>
      <w:r w:rsidR="00903CA2">
        <w:t xml:space="preserve">(APS) Values and </w:t>
      </w:r>
      <w:r>
        <w:t xml:space="preserve">Code of Conduct. </w:t>
      </w:r>
    </w:p>
    <w:p w:rsidR="00F10254" w:rsidRPr="00F10254" w:rsidRDefault="00F0427A" w:rsidP="00903CA2">
      <w:pPr>
        <w:pStyle w:val="BodyText"/>
        <w:rPr>
          <w:lang w:eastAsia="en-AU"/>
        </w:rPr>
      </w:pPr>
      <w:r>
        <w:rPr>
          <w:lang w:eastAsia="en-AU"/>
        </w:rPr>
        <w:lastRenderedPageBreak/>
        <w:t>During</w:t>
      </w:r>
      <w:r w:rsidR="00425F52">
        <w:rPr>
          <w:lang w:eastAsia="en-AU"/>
        </w:rPr>
        <w:t xml:space="preserve"> </w:t>
      </w:r>
      <w:r w:rsidR="00D566D8">
        <w:t>2014</w:t>
      </w:r>
      <w:r>
        <w:t>–1</w:t>
      </w:r>
      <w:r w:rsidR="00D566D8">
        <w:t>5</w:t>
      </w:r>
      <w:r>
        <w:t xml:space="preserve">, </w:t>
      </w:r>
      <w:r>
        <w:rPr>
          <w:lang w:eastAsia="en-AU"/>
        </w:rPr>
        <w:t>t</w:t>
      </w:r>
      <w:r w:rsidR="00F10254" w:rsidRPr="00F10254">
        <w:rPr>
          <w:lang w:eastAsia="en-AU"/>
        </w:rPr>
        <w:t xml:space="preserve">he </w:t>
      </w:r>
      <w:r w:rsidR="00F10254">
        <w:t xml:space="preserve">Authority </w:t>
      </w:r>
      <w:r w:rsidR="00F10254" w:rsidRPr="00F10254">
        <w:rPr>
          <w:lang w:eastAsia="en-AU"/>
        </w:rPr>
        <w:t>adopted a range of measures to promote ethical standards</w:t>
      </w:r>
      <w:r w:rsidR="00903CA2">
        <w:t xml:space="preserve"> and a</w:t>
      </w:r>
      <w:r w:rsidR="00F10254" w:rsidRPr="00F10254">
        <w:rPr>
          <w:lang w:eastAsia="en-AU"/>
        </w:rPr>
        <w:t xml:space="preserve">ll employees </w:t>
      </w:r>
      <w:r w:rsidR="00A5523B">
        <w:t>were</w:t>
      </w:r>
      <w:r w:rsidR="00F10254" w:rsidRPr="00F10254">
        <w:rPr>
          <w:lang w:eastAsia="en-AU"/>
        </w:rPr>
        <w:t xml:space="preserve"> provided with a copy of the </w:t>
      </w:r>
      <w:r w:rsidR="00903CA2">
        <w:t xml:space="preserve">APS </w:t>
      </w:r>
      <w:r w:rsidR="00F10254" w:rsidRPr="00F10254">
        <w:rPr>
          <w:lang w:eastAsia="en-AU"/>
        </w:rPr>
        <w:t>Values and Code</w:t>
      </w:r>
      <w:r w:rsidR="00903CA2">
        <w:t xml:space="preserve"> of Conduct.</w:t>
      </w:r>
    </w:p>
    <w:p w:rsidR="00D42FE0" w:rsidRDefault="00D42FE0" w:rsidP="00D42FE0">
      <w:pPr>
        <w:pStyle w:val="Heading3"/>
      </w:pPr>
      <w:bookmarkStart w:id="31" w:name="_Toc430464418"/>
      <w:r>
        <w:t>FREEDOM OF INFORMATION</w:t>
      </w:r>
      <w:bookmarkEnd w:id="31"/>
    </w:p>
    <w:p w:rsidR="00D42FE0" w:rsidRPr="00A75CCA" w:rsidRDefault="00D42FE0" w:rsidP="00A75CCA">
      <w:pPr>
        <w:pStyle w:val="BodyText"/>
      </w:pPr>
      <w:r w:rsidRPr="00A75CCA">
        <w:t xml:space="preserve">Agencies subject to the </w:t>
      </w:r>
      <w:r w:rsidRPr="00913A69">
        <w:rPr>
          <w:rStyle w:val="Textitalic"/>
        </w:rPr>
        <w:t>Freedom of Information Act 1982</w:t>
      </w:r>
      <w:r w:rsidRPr="00A75CCA">
        <w:t xml:space="preserve"> (FOI Act) are required to publish information as part of the Information Publication Scheme (IPS). This requirement is in Part II of the FOI Act and has replaced the former requirement to publish a section 8 statement in an annual report. </w:t>
      </w:r>
    </w:p>
    <w:p w:rsidR="00C17F1C" w:rsidRPr="00A75CCA" w:rsidRDefault="00C17F1C" w:rsidP="00A75CCA">
      <w:pPr>
        <w:pStyle w:val="BodyText"/>
      </w:pPr>
      <w:r w:rsidRPr="00A75CCA">
        <w:t xml:space="preserve">In accordance with the IPS requirements, the Authority publishes on its website all mandatory information </w:t>
      </w:r>
      <w:r w:rsidR="00F0427A">
        <w:t>on</w:t>
      </w:r>
      <w:r w:rsidR="00F0427A" w:rsidRPr="00A75CCA">
        <w:t xml:space="preserve"> </w:t>
      </w:r>
      <w:r w:rsidR="00A5523B" w:rsidRPr="00A75CCA">
        <w:t>activities under the FOI Act.</w:t>
      </w:r>
    </w:p>
    <w:p w:rsidR="00C415E9" w:rsidRPr="00C415E9" w:rsidRDefault="00C415E9" w:rsidP="00C415E9">
      <w:pPr>
        <w:pStyle w:val="Heading3"/>
      </w:pPr>
      <w:bookmarkStart w:id="32" w:name="_Toc430464419"/>
      <w:r w:rsidRPr="00C415E9">
        <w:t>ECOLOGICALLY SUSTAINABLE DEVELOPMENT AND ENVIRONMENTAL PERFORMANCE</w:t>
      </w:r>
      <w:bookmarkEnd w:id="32"/>
    </w:p>
    <w:p w:rsidR="00C415E9" w:rsidRPr="00C415E9" w:rsidRDefault="00C415E9" w:rsidP="00C415E9">
      <w:pPr>
        <w:pStyle w:val="BodyText"/>
      </w:pPr>
      <w:r w:rsidRPr="00C415E9">
        <w:t xml:space="preserve">Section 516A of the </w:t>
      </w:r>
      <w:r w:rsidRPr="00C415E9">
        <w:rPr>
          <w:rStyle w:val="Textitalic"/>
        </w:rPr>
        <w:t xml:space="preserve">Environment Protection and Biodiversity Conservation Act 1991 </w:t>
      </w:r>
      <w:r w:rsidRPr="00C415E9">
        <w:t xml:space="preserve">requires </w:t>
      </w:r>
      <w:r w:rsidR="00CE4571">
        <w:t>Commonwealth</w:t>
      </w:r>
      <w:r w:rsidR="00CE4571" w:rsidRPr="00C415E9">
        <w:t xml:space="preserve"> </w:t>
      </w:r>
      <w:r w:rsidRPr="00C415E9">
        <w:t>Government organisations to detail their environmental performance and contribution to ecologically sustainable development in their annual reports.</w:t>
      </w:r>
    </w:p>
    <w:p w:rsidR="00C415E9" w:rsidRPr="00C415E9" w:rsidRDefault="00C415E9" w:rsidP="00610D38">
      <w:pPr>
        <w:pStyle w:val="BodyText"/>
      </w:pPr>
      <w:r w:rsidRPr="00C415E9">
        <w:t>In 201</w:t>
      </w:r>
      <w:r w:rsidR="00D566D8">
        <w:t>4</w:t>
      </w:r>
      <w:r w:rsidR="00F0427A">
        <w:t>–</w:t>
      </w:r>
      <w:r w:rsidRPr="00C415E9">
        <w:t>1</w:t>
      </w:r>
      <w:r w:rsidR="00D566D8">
        <w:t>5</w:t>
      </w:r>
      <w:r w:rsidR="00F0427A">
        <w:t>,</w:t>
      </w:r>
      <w:r w:rsidRPr="00C415E9">
        <w:t xml:space="preserve"> the Authority implemented a range of measures contribut</w:t>
      </w:r>
      <w:r w:rsidR="00F0427A">
        <w:t>ing</w:t>
      </w:r>
      <w:r w:rsidRPr="00C415E9">
        <w:t xml:space="preserve"> to ecologically sustainable measures including:</w:t>
      </w:r>
    </w:p>
    <w:p w:rsidR="00C415E9" w:rsidRPr="00C415E9" w:rsidRDefault="00C415E9" w:rsidP="00610D38">
      <w:pPr>
        <w:pStyle w:val="ListBullet"/>
      </w:pPr>
      <w:r w:rsidRPr="00C415E9">
        <w:t>purchas</w:t>
      </w:r>
      <w:r w:rsidR="00F0427A">
        <w:t>ing</w:t>
      </w:r>
      <w:r w:rsidRPr="00C415E9">
        <w:t xml:space="preserve"> 100</w:t>
      </w:r>
      <w:r w:rsidR="00F0427A">
        <w:t> </w:t>
      </w:r>
      <w:r w:rsidR="005D1510">
        <w:t>per cent green p</w:t>
      </w:r>
      <w:r w:rsidRPr="00C415E9">
        <w:t>ower</w:t>
      </w:r>
    </w:p>
    <w:p w:rsidR="00C415E9" w:rsidRPr="00C415E9" w:rsidRDefault="00C415E9" w:rsidP="00610D38">
      <w:pPr>
        <w:pStyle w:val="ListBullet"/>
      </w:pPr>
      <w:r w:rsidRPr="00C415E9">
        <w:t>provid</w:t>
      </w:r>
      <w:r w:rsidR="00F0427A">
        <w:t>ing downloadable</w:t>
      </w:r>
      <w:r w:rsidRPr="00C415E9">
        <w:t xml:space="preserve"> publications </w:t>
      </w:r>
      <w:r w:rsidR="00F0427A">
        <w:t>on</w:t>
      </w:r>
      <w:r w:rsidRPr="00C415E9">
        <w:t xml:space="preserve"> the Authority</w:t>
      </w:r>
      <w:r w:rsidR="00F0427A">
        <w:t>’</w:t>
      </w:r>
      <w:r w:rsidRPr="00C415E9">
        <w:t>s website to reduce the need to print and distribute hard</w:t>
      </w:r>
      <w:r w:rsidR="00F0427A">
        <w:t>-</w:t>
      </w:r>
      <w:r w:rsidRPr="00C415E9">
        <w:t>copy material</w:t>
      </w:r>
    </w:p>
    <w:p w:rsidR="00C415E9" w:rsidRPr="00C415E9" w:rsidRDefault="00C415E9" w:rsidP="00610D38">
      <w:pPr>
        <w:pStyle w:val="ListBullet"/>
      </w:pPr>
      <w:r w:rsidRPr="00C415E9">
        <w:t>purchas</w:t>
      </w:r>
      <w:r w:rsidR="00F0427A">
        <w:t>ing</w:t>
      </w:r>
      <w:r w:rsidRPr="00C415E9">
        <w:t xml:space="preserve"> paper with a minimum</w:t>
      </w:r>
      <w:r w:rsidR="00177193">
        <w:t xml:space="preserve"> 50</w:t>
      </w:r>
      <w:r w:rsidR="00F0427A">
        <w:t> </w:t>
      </w:r>
      <w:r w:rsidR="00177193">
        <w:t>per cent</w:t>
      </w:r>
      <w:r w:rsidRPr="00C415E9">
        <w:t xml:space="preserve"> recycled content</w:t>
      </w:r>
    </w:p>
    <w:p w:rsidR="00F0427A" w:rsidRDefault="00C415E9">
      <w:pPr>
        <w:pStyle w:val="ListBullet"/>
      </w:pPr>
      <w:r w:rsidRPr="00C415E9">
        <w:t>appl</w:t>
      </w:r>
      <w:r w:rsidR="00F0427A">
        <w:t>ying</w:t>
      </w:r>
      <w:r w:rsidRPr="00C415E9">
        <w:t xml:space="preserve"> sustainable practices in the office aimed at reducing energy and resource consumption including</w:t>
      </w:r>
      <w:r w:rsidR="00F0427A">
        <w:t>:</w:t>
      </w:r>
    </w:p>
    <w:p w:rsidR="00747437" w:rsidRDefault="00747437" w:rsidP="00610D38">
      <w:pPr>
        <w:pStyle w:val="ListBullet2"/>
      </w:pPr>
      <w:r>
        <w:t xml:space="preserve">mandating </w:t>
      </w:r>
      <w:r w:rsidR="00C415E9" w:rsidRPr="00C415E9">
        <w:t>default two</w:t>
      </w:r>
      <w:r>
        <w:t>-</w:t>
      </w:r>
      <w:r w:rsidR="00C415E9" w:rsidRPr="00C415E9">
        <w:t>sided printing</w:t>
      </w:r>
    </w:p>
    <w:p w:rsidR="00747437" w:rsidRDefault="00C415E9" w:rsidP="00610D38">
      <w:pPr>
        <w:pStyle w:val="ListBullet2"/>
      </w:pPr>
      <w:r w:rsidRPr="00C415E9">
        <w:t>ensuring equipment such as desktop computers, photocopiers, dishwashers and printers incorporate energy efficiency features</w:t>
      </w:r>
    </w:p>
    <w:p w:rsidR="00C415E9" w:rsidRPr="00C415E9" w:rsidRDefault="00C415E9" w:rsidP="00610D38">
      <w:pPr>
        <w:pStyle w:val="ListBullet2"/>
      </w:pPr>
      <w:r w:rsidRPr="00C415E9">
        <w:t>recycling paper, cardboard</w:t>
      </w:r>
      <w:r w:rsidR="00E86B97">
        <w:t xml:space="preserve"> and</w:t>
      </w:r>
      <w:r w:rsidRPr="00C415E9">
        <w:t xml:space="preserve"> printer cartridges.</w:t>
      </w:r>
    </w:p>
    <w:p w:rsidR="002471C1" w:rsidRPr="002471C1" w:rsidRDefault="009D77B4" w:rsidP="00C06150">
      <w:pPr>
        <w:pStyle w:val="Heading2"/>
      </w:pPr>
      <w:bookmarkStart w:id="33" w:name="_Toc430464420"/>
      <w:r>
        <w:lastRenderedPageBreak/>
        <w:t>FINANCIAL OVERVIEW</w:t>
      </w:r>
      <w:bookmarkEnd w:id="33"/>
    </w:p>
    <w:p w:rsidR="00E906DB" w:rsidRDefault="00FD72F8" w:rsidP="00B44E1E">
      <w:pPr>
        <w:pStyle w:val="Heading3"/>
      </w:pPr>
      <w:bookmarkStart w:id="34" w:name="_Toc430464421"/>
      <w:r>
        <w:t>FINANCIAL PERFORMANCE</w:t>
      </w:r>
      <w:bookmarkEnd w:id="34"/>
    </w:p>
    <w:p w:rsidR="00624109" w:rsidRPr="00624109" w:rsidRDefault="00624109" w:rsidP="00881C63">
      <w:pPr>
        <w:pStyle w:val="BodyText"/>
        <w:keepNext/>
      </w:pPr>
      <w:r w:rsidRPr="00624109">
        <w:t>The Authority met all of its financial obligations in 201</w:t>
      </w:r>
      <w:r w:rsidR="004619B2">
        <w:t>4</w:t>
      </w:r>
      <w:r w:rsidR="00747437">
        <w:t>–</w:t>
      </w:r>
      <w:r w:rsidRPr="00624109">
        <w:t>1</w:t>
      </w:r>
      <w:r w:rsidR="004619B2">
        <w:t>5</w:t>
      </w:r>
      <w:r w:rsidRPr="00624109">
        <w:t xml:space="preserve">. </w:t>
      </w:r>
    </w:p>
    <w:p w:rsidR="00CA126E" w:rsidRDefault="00CA126E" w:rsidP="00CA126E">
      <w:pPr>
        <w:pStyle w:val="Heading3"/>
        <w:numPr>
          <w:ilvl w:val="2"/>
          <w:numId w:val="8"/>
        </w:numPr>
      </w:pPr>
      <w:bookmarkStart w:id="35" w:name="_Toc430464422"/>
      <w:r w:rsidRPr="00CA126E">
        <w:t>RESOURCE STATEMENT</w:t>
      </w:r>
      <w:r w:rsidR="00610163">
        <w:t xml:space="preserve"> </w:t>
      </w:r>
      <w:r w:rsidR="004619B2">
        <w:t>2014–15</w:t>
      </w:r>
      <w:bookmarkEnd w:id="35"/>
      <w:r w:rsidR="00696787">
        <w:t xml:space="preserve"> </w:t>
      </w:r>
    </w:p>
    <w:p w:rsidR="001925A4" w:rsidRPr="00881C63" w:rsidRDefault="001925A4" w:rsidP="00465BA7">
      <w:pPr>
        <w:pStyle w:val="Caption"/>
      </w:pPr>
      <w:r>
        <w:rPr>
          <w:lang w:val="en-GB" w:eastAsia="en-AU"/>
        </w:rPr>
        <w:t>Table 5.2: Resource Statement 2014–15</w:t>
      </w:r>
    </w:p>
    <w:tbl>
      <w:tblPr>
        <w:tblStyle w:val="CCATable"/>
        <w:tblW w:w="0" w:type="auto"/>
        <w:tblLook w:val="04A0" w:firstRow="1" w:lastRow="0" w:firstColumn="1" w:lastColumn="0" w:noHBand="0" w:noVBand="1"/>
      </w:tblPr>
      <w:tblGrid>
        <w:gridCol w:w="4322"/>
        <w:gridCol w:w="1777"/>
        <w:gridCol w:w="1597"/>
        <w:gridCol w:w="1546"/>
      </w:tblGrid>
      <w:tr w:rsidR="0021550B" w:rsidTr="008B2014">
        <w:trPr>
          <w:cnfStyle w:val="100000000000" w:firstRow="1" w:lastRow="0" w:firstColumn="0" w:lastColumn="0" w:oddVBand="0" w:evenVBand="0" w:oddHBand="0" w:evenHBand="0" w:firstRowFirstColumn="0" w:firstRowLastColumn="0" w:lastRowFirstColumn="0" w:lastRowLastColumn="0"/>
        </w:trPr>
        <w:tc>
          <w:tcPr>
            <w:tcW w:w="4322" w:type="dxa"/>
          </w:tcPr>
          <w:p w:rsidR="0021550B" w:rsidRPr="00CA126E" w:rsidRDefault="0021550B" w:rsidP="008B2014">
            <w:pPr>
              <w:pStyle w:val="TableHeading"/>
            </w:pPr>
            <w:r w:rsidRPr="00CA126E">
              <w:t>Agency Resource Statement 201</w:t>
            </w:r>
            <w:r>
              <w:t>4–15</w:t>
            </w:r>
          </w:p>
        </w:tc>
        <w:tc>
          <w:tcPr>
            <w:tcW w:w="1777" w:type="dxa"/>
          </w:tcPr>
          <w:p w:rsidR="0021550B" w:rsidRPr="00CA126E" w:rsidRDefault="0021550B" w:rsidP="008B2014">
            <w:pPr>
              <w:pStyle w:val="ListBullet"/>
              <w:numPr>
                <w:ilvl w:val="0"/>
                <w:numId w:val="0"/>
              </w:numPr>
              <w:ind w:left="360"/>
            </w:pPr>
          </w:p>
        </w:tc>
        <w:tc>
          <w:tcPr>
            <w:tcW w:w="1597" w:type="dxa"/>
          </w:tcPr>
          <w:p w:rsidR="0021550B" w:rsidRPr="00CA126E" w:rsidRDefault="0021550B" w:rsidP="008B2014">
            <w:pPr>
              <w:pStyle w:val="ListBullet"/>
              <w:numPr>
                <w:ilvl w:val="0"/>
                <w:numId w:val="0"/>
              </w:numPr>
              <w:ind w:left="360"/>
            </w:pPr>
          </w:p>
        </w:tc>
        <w:tc>
          <w:tcPr>
            <w:tcW w:w="1546" w:type="dxa"/>
          </w:tcPr>
          <w:p w:rsidR="0021550B" w:rsidRPr="00CA126E" w:rsidRDefault="0021550B" w:rsidP="008B2014">
            <w:pPr>
              <w:pStyle w:val="ListBullet"/>
              <w:numPr>
                <w:ilvl w:val="0"/>
                <w:numId w:val="0"/>
              </w:numPr>
            </w:pPr>
          </w:p>
        </w:tc>
      </w:tr>
      <w:tr w:rsidR="0021550B" w:rsidRPr="00837DBB" w:rsidTr="008B2014">
        <w:trPr>
          <w:cnfStyle w:val="000000100000" w:firstRow="0" w:lastRow="0" w:firstColumn="0" w:lastColumn="0" w:oddVBand="0" w:evenVBand="0" w:oddHBand="1" w:evenHBand="0" w:firstRowFirstColumn="0" w:firstRowLastColumn="0" w:lastRowFirstColumn="0" w:lastRowLastColumn="0"/>
          <w:trHeight w:val="930"/>
        </w:trPr>
        <w:tc>
          <w:tcPr>
            <w:tcW w:w="4322" w:type="dxa"/>
            <w:hideMark/>
          </w:tcPr>
          <w:p w:rsidR="0021550B" w:rsidRPr="00CA126E" w:rsidRDefault="0021550B" w:rsidP="008B2014">
            <w:pPr>
              <w:pStyle w:val="TableText"/>
            </w:pPr>
            <w:r w:rsidRPr="00CA126E">
              <w:t> </w:t>
            </w:r>
          </w:p>
        </w:tc>
        <w:tc>
          <w:tcPr>
            <w:tcW w:w="1777" w:type="dxa"/>
            <w:hideMark/>
          </w:tcPr>
          <w:p w:rsidR="0021550B" w:rsidRPr="00CA126E" w:rsidRDefault="0021550B" w:rsidP="00C06150">
            <w:pPr>
              <w:pStyle w:val="TableTextrightalignment"/>
              <w:rPr>
                <w:rStyle w:val="Textitalic"/>
                <w:rFonts w:eastAsiaTheme="minorHAnsi" w:cstheme="minorBidi"/>
                <w:bCs w:val="0"/>
                <w:sz w:val="21"/>
                <w:szCs w:val="22"/>
                <w:lang w:eastAsia="en-US"/>
              </w:rPr>
            </w:pPr>
            <w:r w:rsidRPr="00CA126E">
              <w:rPr>
                <w:rStyle w:val="Textitalic"/>
              </w:rPr>
              <w:t xml:space="preserve">Actual </w:t>
            </w:r>
            <w:r>
              <w:rPr>
                <w:rStyle w:val="Textitalic"/>
              </w:rPr>
              <w:t>a</w:t>
            </w:r>
            <w:r w:rsidRPr="00CA126E">
              <w:rPr>
                <w:rStyle w:val="Textitalic"/>
              </w:rPr>
              <w:t xml:space="preserve">vailable </w:t>
            </w:r>
            <w:r>
              <w:rPr>
                <w:rStyle w:val="Textitalic"/>
              </w:rPr>
              <w:t>a</w:t>
            </w:r>
            <w:r w:rsidRPr="00CA126E">
              <w:rPr>
                <w:rStyle w:val="Textitalic"/>
              </w:rPr>
              <w:t>ppropriation</w:t>
            </w:r>
            <w:r>
              <w:rPr>
                <w:rStyle w:val="Textitalic"/>
              </w:rPr>
              <w:br/>
            </w:r>
            <w:r w:rsidRPr="00CA126E">
              <w:rPr>
                <w:rStyle w:val="Textitalic"/>
              </w:rPr>
              <w:t>201</w:t>
            </w:r>
            <w:r>
              <w:rPr>
                <w:rStyle w:val="Textitalic"/>
              </w:rPr>
              <w:t>4</w:t>
            </w:r>
            <w:r>
              <w:t>–</w:t>
            </w:r>
            <w:r w:rsidRPr="00CA126E">
              <w:rPr>
                <w:rStyle w:val="Textitalic"/>
              </w:rPr>
              <w:t>1</w:t>
            </w:r>
            <w:r>
              <w:rPr>
                <w:rStyle w:val="Textitalic"/>
              </w:rPr>
              <w:t>5</w:t>
            </w:r>
            <w:r>
              <w:rPr>
                <w:rStyle w:val="FootnoteReference"/>
                <w:i/>
              </w:rPr>
              <w:t>3</w:t>
            </w:r>
          </w:p>
        </w:tc>
        <w:tc>
          <w:tcPr>
            <w:tcW w:w="1597" w:type="dxa"/>
            <w:hideMark/>
          </w:tcPr>
          <w:p w:rsidR="0021550B" w:rsidRPr="00CA126E" w:rsidRDefault="0021550B" w:rsidP="008B2014">
            <w:pPr>
              <w:pStyle w:val="TableTextrightalignment"/>
              <w:rPr>
                <w:rStyle w:val="Textitalic"/>
                <w:rFonts w:eastAsiaTheme="minorHAnsi" w:cstheme="minorBidi"/>
                <w:bCs w:val="0"/>
                <w:sz w:val="21"/>
                <w:szCs w:val="22"/>
                <w:lang w:eastAsia="en-US"/>
              </w:rPr>
            </w:pPr>
            <w:r>
              <w:rPr>
                <w:rStyle w:val="Textitalic"/>
              </w:rPr>
              <w:t>Payments made</w:t>
            </w:r>
            <w:r>
              <w:rPr>
                <w:rStyle w:val="Textitalic"/>
              </w:rPr>
              <w:br/>
            </w:r>
            <w:r w:rsidRPr="00CA126E">
              <w:rPr>
                <w:rStyle w:val="Textitalic"/>
              </w:rPr>
              <w:t>201</w:t>
            </w:r>
            <w:r>
              <w:rPr>
                <w:rStyle w:val="Textitalic"/>
              </w:rPr>
              <w:t>4</w:t>
            </w:r>
            <w:r>
              <w:t>–</w:t>
            </w:r>
            <w:r w:rsidRPr="00CA126E">
              <w:rPr>
                <w:rStyle w:val="Textitalic"/>
              </w:rPr>
              <w:t>1</w:t>
            </w:r>
            <w:r>
              <w:rPr>
                <w:rStyle w:val="Textitalic"/>
              </w:rPr>
              <w:t>5</w:t>
            </w:r>
          </w:p>
        </w:tc>
        <w:tc>
          <w:tcPr>
            <w:tcW w:w="1546" w:type="dxa"/>
            <w:hideMark/>
          </w:tcPr>
          <w:p w:rsidR="0021550B" w:rsidRPr="00CA126E" w:rsidRDefault="0021550B" w:rsidP="008B2014">
            <w:pPr>
              <w:pStyle w:val="TableTextrightalignment"/>
              <w:rPr>
                <w:rStyle w:val="Textitalic"/>
              </w:rPr>
            </w:pPr>
            <w:r w:rsidRPr="00CA126E">
              <w:rPr>
                <w:rStyle w:val="Textitalic"/>
              </w:rPr>
              <w:t xml:space="preserve">Balance </w:t>
            </w:r>
            <w:r>
              <w:rPr>
                <w:rStyle w:val="Textitalic"/>
              </w:rPr>
              <w:t>r</w:t>
            </w:r>
            <w:r w:rsidRPr="00CA126E">
              <w:rPr>
                <w:rStyle w:val="Textitalic"/>
              </w:rPr>
              <w:t>emaining</w:t>
            </w:r>
          </w:p>
        </w:tc>
      </w:tr>
      <w:tr w:rsidR="0021550B" w:rsidRPr="00837DBB" w:rsidTr="008B2014">
        <w:trPr>
          <w:trHeight w:val="300"/>
        </w:trPr>
        <w:tc>
          <w:tcPr>
            <w:tcW w:w="4322" w:type="dxa"/>
            <w:noWrap/>
            <w:hideMark/>
          </w:tcPr>
          <w:p w:rsidR="0021550B" w:rsidRPr="00CA126E" w:rsidRDefault="0021550B" w:rsidP="008B2014">
            <w:pPr>
              <w:pStyle w:val="TableText"/>
            </w:pPr>
          </w:p>
        </w:tc>
        <w:tc>
          <w:tcPr>
            <w:tcW w:w="1777" w:type="dxa"/>
            <w:noWrap/>
            <w:hideMark/>
          </w:tcPr>
          <w:p w:rsidR="0021550B" w:rsidRPr="00CA126E" w:rsidRDefault="0021550B" w:rsidP="008B2014">
            <w:pPr>
              <w:pStyle w:val="TableTextrightalignment"/>
            </w:pPr>
            <w:r w:rsidRPr="00CA126E">
              <w:t>$</w:t>
            </w:r>
            <w:r>
              <w:t>’</w:t>
            </w:r>
            <w:r w:rsidRPr="00CA126E">
              <w:t>000</w:t>
            </w:r>
          </w:p>
        </w:tc>
        <w:tc>
          <w:tcPr>
            <w:tcW w:w="1597" w:type="dxa"/>
            <w:noWrap/>
            <w:hideMark/>
          </w:tcPr>
          <w:p w:rsidR="0021550B" w:rsidRPr="00CA126E" w:rsidRDefault="0021550B" w:rsidP="008B2014">
            <w:pPr>
              <w:pStyle w:val="TableTextrightalignment"/>
            </w:pPr>
            <w:r w:rsidRPr="00CA126E">
              <w:t>$</w:t>
            </w:r>
            <w:r>
              <w:t>’</w:t>
            </w:r>
            <w:r w:rsidRPr="00CA126E">
              <w:t>000</w:t>
            </w:r>
          </w:p>
        </w:tc>
        <w:tc>
          <w:tcPr>
            <w:tcW w:w="1546" w:type="dxa"/>
            <w:noWrap/>
            <w:hideMark/>
          </w:tcPr>
          <w:p w:rsidR="0021550B" w:rsidRPr="00CA126E" w:rsidRDefault="0021550B" w:rsidP="008B2014">
            <w:pPr>
              <w:pStyle w:val="TableTextrightalignment"/>
            </w:pPr>
            <w:r w:rsidRPr="00CA126E">
              <w:t>$</w:t>
            </w:r>
            <w:r>
              <w:t>’</w:t>
            </w:r>
            <w:r w:rsidRPr="00CA126E">
              <w:t>000</w:t>
            </w:r>
          </w:p>
        </w:tc>
      </w:tr>
      <w:tr w:rsidR="0021550B" w:rsidRPr="00837DBB" w:rsidTr="008B2014">
        <w:trPr>
          <w:cnfStyle w:val="000000100000" w:firstRow="0" w:lastRow="0" w:firstColumn="0" w:lastColumn="0" w:oddVBand="0" w:evenVBand="0" w:oddHBand="1" w:evenHBand="0" w:firstRowFirstColumn="0" w:firstRowLastColumn="0" w:lastRowFirstColumn="0" w:lastRowLastColumn="0"/>
          <w:trHeight w:val="300"/>
        </w:trPr>
        <w:tc>
          <w:tcPr>
            <w:tcW w:w="4322" w:type="dxa"/>
            <w:noWrap/>
            <w:hideMark/>
          </w:tcPr>
          <w:p w:rsidR="0021550B" w:rsidRPr="00CA126E" w:rsidRDefault="0021550B" w:rsidP="008B2014">
            <w:pPr>
              <w:pStyle w:val="TableText"/>
              <w:rPr>
                <w:rStyle w:val="Textbold"/>
              </w:rPr>
            </w:pPr>
            <w:r w:rsidRPr="00CA126E">
              <w:rPr>
                <w:rStyle w:val="Textbold"/>
              </w:rPr>
              <w:t xml:space="preserve">Ordinary </w:t>
            </w:r>
            <w:r>
              <w:rPr>
                <w:rStyle w:val="Textbold"/>
              </w:rPr>
              <w:t>a</w:t>
            </w:r>
            <w:r w:rsidRPr="00CA126E">
              <w:rPr>
                <w:rStyle w:val="Textbold"/>
              </w:rPr>
              <w:t xml:space="preserve">nnual </w:t>
            </w:r>
            <w:r>
              <w:rPr>
                <w:rStyle w:val="Textbold"/>
              </w:rPr>
              <w:t>s</w:t>
            </w:r>
            <w:r w:rsidRPr="00CA126E">
              <w:rPr>
                <w:rStyle w:val="Textbold"/>
              </w:rPr>
              <w:t>ervices</w:t>
            </w:r>
          </w:p>
        </w:tc>
        <w:tc>
          <w:tcPr>
            <w:tcW w:w="1777" w:type="dxa"/>
            <w:noWrap/>
            <w:hideMark/>
          </w:tcPr>
          <w:p w:rsidR="0021550B" w:rsidRPr="00CA126E" w:rsidRDefault="0021550B" w:rsidP="008B2014">
            <w:pPr>
              <w:pStyle w:val="TableTextrightalignment"/>
            </w:pPr>
          </w:p>
        </w:tc>
        <w:tc>
          <w:tcPr>
            <w:tcW w:w="1597" w:type="dxa"/>
            <w:noWrap/>
            <w:hideMark/>
          </w:tcPr>
          <w:p w:rsidR="0021550B" w:rsidRPr="00CA126E" w:rsidRDefault="0021550B" w:rsidP="008B2014">
            <w:pPr>
              <w:pStyle w:val="TableTextrightalignment"/>
            </w:pPr>
          </w:p>
        </w:tc>
        <w:tc>
          <w:tcPr>
            <w:tcW w:w="1546" w:type="dxa"/>
            <w:noWrap/>
            <w:hideMark/>
          </w:tcPr>
          <w:p w:rsidR="0021550B" w:rsidRPr="00CA126E" w:rsidRDefault="0021550B" w:rsidP="008B2014">
            <w:pPr>
              <w:pStyle w:val="TableTextrightalignment"/>
            </w:pPr>
          </w:p>
        </w:tc>
      </w:tr>
      <w:tr w:rsidR="0021550B" w:rsidRPr="00CA126E" w:rsidTr="008B2014">
        <w:trPr>
          <w:trHeight w:val="345"/>
        </w:trPr>
        <w:tc>
          <w:tcPr>
            <w:tcW w:w="4322" w:type="dxa"/>
            <w:noWrap/>
          </w:tcPr>
          <w:p w:rsidR="0021550B" w:rsidRPr="00CA126E" w:rsidRDefault="0021550B" w:rsidP="008B2014">
            <w:pPr>
              <w:pStyle w:val="TableText"/>
            </w:pPr>
            <w:r>
              <w:tab/>
            </w:r>
            <w:r w:rsidRPr="00CA126E">
              <w:t>Departmental appropriation 201</w:t>
            </w:r>
            <w:r>
              <w:t>2–</w:t>
            </w:r>
            <w:r w:rsidRPr="00CA126E">
              <w:t>1</w:t>
            </w:r>
            <w:r>
              <w:t>3</w:t>
            </w:r>
            <w:r w:rsidRPr="006A7A36">
              <w:rPr>
                <w:rStyle w:val="Textsuperscript"/>
              </w:rPr>
              <w:t>1</w:t>
            </w:r>
            <w:r>
              <w:rPr>
                <w:rStyle w:val="Textsuperscript"/>
              </w:rPr>
              <w:t xml:space="preserve"> </w:t>
            </w:r>
          </w:p>
        </w:tc>
        <w:tc>
          <w:tcPr>
            <w:tcW w:w="1777" w:type="dxa"/>
            <w:noWrap/>
          </w:tcPr>
          <w:p w:rsidR="0021550B" w:rsidRPr="00CA126E" w:rsidRDefault="0021550B" w:rsidP="008B2014">
            <w:pPr>
              <w:pStyle w:val="TableTextrightalignment"/>
            </w:pPr>
            <w:r>
              <w:t>931</w:t>
            </w:r>
          </w:p>
        </w:tc>
        <w:tc>
          <w:tcPr>
            <w:tcW w:w="1597" w:type="dxa"/>
            <w:noWrap/>
          </w:tcPr>
          <w:p w:rsidR="0021550B" w:rsidRPr="00CA126E" w:rsidRDefault="0021550B" w:rsidP="008B2014">
            <w:pPr>
              <w:pStyle w:val="TableTextrightalignment"/>
            </w:pPr>
          </w:p>
        </w:tc>
        <w:tc>
          <w:tcPr>
            <w:tcW w:w="1546" w:type="dxa"/>
            <w:noWrap/>
          </w:tcPr>
          <w:p w:rsidR="0021550B" w:rsidRPr="00CA126E" w:rsidRDefault="0021550B" w:rsidP="008B2014">
            <w:pPr>
              <w:pStyle w:val="TableTextrightalignment"/>
            </w:pPr>
          </w:p>
        </w:tc>
      </w:tr>
      <w:tr w:rsidR="0021550B" w:rsidRPr="006A7A36" w:rsidTr="008B2014">
        <w:trPr>
          <w:cnfStyle w:val="000000100000" w:firstRow="0" w:lastRow="0" w:firstColumn="0" w:lastColumn="0" w:oddVBand="0" w:evenVBand="0" w:oddHBand="1" w:evenHBand="0" w:firstRowFirstColumn="0" w:firstRowLastColumn="0" w:lastRowFirstColumn="0" w:lastRowLastColumn="0"/>
          <w:trHeight w:val="345"/>
        </w:trPr>
        <w:tc>
          <w:tcPr>
            <w:tcW w:w="4322" w:type="dxa"/>
            <w:noWrap/>
          </w:tcPr>
          <w:p w:rsidR="0021550B" w:rsidRPr="006A7A36" w:rsidRDefault="0021550B" w:rsidP="008B2014">
            <w:pPr>
              <w:pStyle w:val="TableText"/>
              <w:ind w:left="720"/>
              <w:rPr>
                <w:rStyle w:val="Textbold"/>
              </w:rPr>
            </w:pPr>
            <w:r w:rsidRPr="00CA126E">
              <w:t>Departmental appropriation 201</w:t>
            </w:r>
            <w:r>
              <w:t>3–</w:t>
            </w:r>
            <w:r w:rsidRPr="00CA126E">
              <w:t>1</w:t>
            </w:r>
            <w:r>
              <w:t>4</w:t>
            </w:r>
            <w:r w:rsidRPr="006A7A36">
              <w:rPr>
                <w:rStyle w:val="Textsuperscript"/>
              </w:rPr>
              <w:t>1</w:t>
            </w:r>
          </w:p>
        </w:tc>
        <w:tc>
          <w:tcPr>
            <w:tcW w:w="1777" w:type="dxa"/>
            <w:noWrap/>
          </w:tcPr>
          <w:p w:rsidR="0021550B" w:rsidRPr="00CC08ED" w:rsidRDefault="0021550B" w:rsidP="008B2014">
            <w:pPr>
              <w:pStyle w:val="TableTextrightalignment"/>
              <w:rPr>
                <w:rStyle w:val="Textbold"/>
                <w:b w:val="0"/>
              </w:rPr>
            </w:pPr>
            <w:r w:rsidRPr="00CC08ED">
              <w:rPr>
                <w:rStyle w:val="Textbold"/>
              </w:rPr>
              <w:t>2,470</w:t>
            </w:r>
          </w:p>
        </w:tc>
        <w:tc>
          <w:tcPr>
            <w:tcW w:w="1597" w:type="dxa"/>
            <w:noWrap/>
          </w:tcPr>
          <w:p w:rsidR="0021550B" w:rsidRPr="006A7A36" w:rsidRDefault="0021550B" w:rsidP="008B2014">
            <w:pPr>
              <w:pStyle w:val="TableTextrightalignment"/>
              <w:rPr>
                <w:rStyle w:val="Textbold"/>
              </w:rPr>
            </w:pPr>
          </w:p>
        </w:tc>
        <w:tc>
          <w:tcPr>
            <w:tcW w:w="1546" w:type="dxa"/>
            <w:noWrap/>
          </w:tcPr>
          <w:p w:rsidR="0021550B" w:rsidRPr="006A7A36" w:rsidRDefault="0021550B" w:rsidP="008B2014">
            <w:pPr>
              <w:pStyle w:val="TableTextrightalignment"/>
              <w:rPr>
                <w:rStyle w:val="Textbold"/>
              </w:rPr>
            </w:pPr>
          </w:p>
        </w:tc>
      </w:tr>
      <w:tr w:rsidR="0021550B" w:rsidRPr="006A7A36" w:rsidTr="008B2014">
        <w:trPr>
          <w:trHeight w:val="345"/>
        </w:trPr>
        <w:tc>
          <w:tcPr>
            <w:tcW w:w="4322" w:type="dxa"/>
            <w:noWrap/>
          </w:tcPr>
          <w:p w:rsidR="0021550B" w:rsidRPr="006A7A36" w:rsidRDefault="0021550B" w:rsidP="008B2014">
            <w:pPr>
              <w:pStyle w:val="TableText"/>
              <w:rPr>
                <w:rStyle w:val="Textbold"/>
              </w:rPr>
            </w:pPr>
            <w:r w:rsidRPr="006A7A36">
              <w:rPr>
                <w:rStyle w:val="Textbold"/>
              </w:rPr>
              <w:t xml:space="preserve">Carry </w:t>
            </w:r>
            <w:r>
              <w:rPr>
                <w:rStyle w:val="Textbold"/>
              </w:rPr>
              <w:t>f</w:t>
            </w:r>
            <w:r w:rsidRPr="006A7A36">
              <w:rPr>
                <w:rStyle w:val="Textbold"/>
              </w:rPr>
              <w:t>orward 201</w:t>
            </w:r>
            <w:r>
              <w:rPr>
                <w:rStyle w:val="Textbold"/>
              </w:rPr>
              <w:t>3</w:t>
            </w:r>
            <w:r>
              <w:t>–</w:t>
            </w:r>
            <w:r w:rsidRPr="006A7A36">
              <w:rPr>
                <w:rStyle w:val="Textbold"/>
              </w:rPr>
              <w:t>1</w:t>
            </w:r>
            <w:r>
              <w:rPr>
                <w:rStyle w:val="Textbold"/>
              </w:rPr>
              <w:t>4</w:t>
            </w:r>
          </w:p>
        </w:tc>
        <w:tc>
          <w:tcPr>
            <w:tcW w:w="1777" w:type="dxa"/>
            <w:noWrap/>
          </w:tcPr>
          <w:p w:rsidR="0021550B" w:rsidRPr="006A7A36" w:rsidRDefault="0021550B" w:rsidP="008B2014">
            <w:pPr>
              <w:pStyle w:val="TableTextrightalignment"/>
              <w:rPr>
                <w:rStyle w:val="Textbold"/>
              </w:rPr>
            </w:pPr>
            <w:r>
              <w:rPr>
                <w:rStyle w:val="Textbold"/>
              </w:rPr>
              <w:t>3,401</w:t>
            </w:r>
          </w:p>
        </w:tc>
        <w:tc>
          <w:tcPr>
            <w:tcW w:w="1597" w:type="dxa"/>
            <w:noWrap/>
          </w:tcPr>
          <w:p w:rsidR="0021550B" w:rsidRPr="006A7A36" w:rsidRDefault="0021550B" w:rsidP="008B2014">
            <w:pPr>
              <w:pStyle w:val="TableTextrightalignment"/>
              <w:rPr>
                <w:rStyle w:val="Textbold"/>
              </w:rPr>
            </w:pPr>
            <w:r>
              <w:rPr>
                <w:rStyle w:val="Textbold"/>
              </w:rPr>
              <w:t>931</w:t>
            </w:r>
          </w:p>
        </w:tc>
        <w:tc>
          <w:tcPr>
            <w:tcW w:w="1546" w:type="dxa"/>
            <w:noWrap/>
          </w:tcPr>
          <w:p w:rsidR="0021550B" w:rsidRPr="006A7A36" w:rsidRDefault="0021550B" w:rsidP="008B2014">
            <w:pPr>
              <w:pStyle w:val="TableTextrightalignment"/>
              <w:rPr>
                <w:rStyle w:val="Textbold"/>
              </w:rPr>
            </w:pPr>
            <w:r>
              <w:rPr>
                <w:rStyle w:val="Textbold"/>
              </w:rPr>
              <w:t>2,470</w:t>
            </w:r>
          </w:p>
        </w:tc>
      </w:tr>
      <w:tr w:rsidR="0021550B" w:rsidRPr="00837DBB" w:rsidTr="008B2014">
        <w:trPr>
          <w:cnfStyle w:val="000000100000" w:firstRow="0" w:lastRow="0" w:firstColumn="0" w:lastColumn="0" w:oddVBand="0" w:evenVBand="0" w:oddHBand="1" w:evenHBand="0" w:firstRowFirstColumn="0" w:firstRowLastColumn="0" w:lastRowFirstColumn="0" w:lastRowLastColumn="0"/>
          <w:trHeight w:val="345"/>
        </w:trPr>
        <w:tc>
          <w:tcPr>
            <w:tcW w:w="4322" w:type="dxa"/>
            <w:noWrap/>
          </w:tcPr>
          <w:p w:rsidR="0021550B" w:rsidRPr="00CA126E" w:rsidRDefault="0021550B" w:rsidP="008B2014">
            <w:pPr>
              <w:pStyle w:val="TableText"/>
            </w:pPr>
            <w:r>
              <w:tab/>
            </w:r>
            <w:r w:rsidRPr="00CA126E">
              <w:t>Departmental appropriation 201</w:t>
            </w:r>
            <w:r>
              <w:t>4–</w:t>
            </w:r>
            <w:r w:rsidRPr="00CA126E">
              <w:t>1</w:t>
            </w:r>
            <w:r>
              <w:t>5</w:t>
            </w:r>
            <w:r>
              <w:rPr>
                <w:rStyle w:val="Textsuperscript"/>
              </w:rPr>
              <w:t>3</w:t>
            </w:r>
          </w:p>
        </w:tc>
        <w:tc>
          <w:tcPr>
            <w:tcW w:w="1777" w:type="dxa"/>
            <w:noWrap/>
          </w:tcPr>
          <w:p w:rsidR="0021550B" w:rsidRPr="00CA126E" w:rsidRDefault="0021550B" w:rsidP="008B2014">
            <w:pPr>
              <w:pStyle w:val="TableTextrightalignment"/>
            </w:pPr>
            <w:r>
              <w:t>0</w:t>
            </w:r>
          </w:p>
        </w:tc>
        <w:tc>
          <w:tcPr>
            <w:tcW w:w="1597" w:type="dxa"/>
            <w:noWrap/>
          </w:tcPr>
          <w:p w:rsidR="0021550B" w:rsidRPr="00CA126E" w:rsidRDefault="0021550B" w:rsidP="008B2014">
            <w:pPr>
              <w:pStyle w:val="TableTextrightalignment"/>
            </w:pPr>
            <w:r>
              <w:t>0</w:t>
            </w:r>
          </w:p>
        </w:tc>
        <w:tc>
          <w:tcPr>
            <w:tcW w:w="1546" w:type="dxa"/>
            <w:noWrap/>
          </w:tcPr>
          <w:p w:rsidR="0021550B" w:rsidRPr="00CA126E" w:rsidRDefault="0021550B" w:rsidP="008B2014">
            <w:pPr>
              <w:pStyle w:val="TableTextrightalignment"/>
            </w:pPr>
            <w:r>
              <w:t>0</w:t>
            </w:r>
          </w:p>
        </w:tc>
      </w:tr>
      <w:tr w:rsidR="0021550B" w:rsidRPr="00837DBB" w:rsidTr="008B2014">
        <w:trPr>
          <w:trHeight w:val="345"/>
        </w:trPr>
        <w:tc>
          <w:tcPr>
            <w:tcW w:w="4322" w:type="dxa"/>
            <w:noWrap/>
            <w:hideMark/>
          </w:tcPr>
          <w:p w:rsidR="0021550B" w:rsidRPr="00CA126E" w:rsidRDefault="0021550B" w:rsidP="008B2014">
            <w:pPr>
              <w:pStyle w:val="TableText"/>
            </w:pPr>
            <w:r>
              <w:tab/>
              <w:t>S.74</w:t>
            </w:r>
            <w:r w:rsidRPr="00CA126E">
              <w:t xml:space="preserve"> </w:t>
            </w:r>
            <w:r>
              <w:t>r</w:t>
            </w:r>
            <w:r w:rsidRPr="00CA126E">
              <w:t>elevant agency receipts</w:t>
            </w:r>
            <w:r w:rsidRPr="00CA126E">
              <w:rPr>
                <w:rStyle w:val="Textsuperscript"/>
              </w:rPr>
              <w:t>2</w:t>
            </w:r>
          </w:p>
        </w:tc>
        <w:tc>
          <w:tcPr>
            <w:tcW w:w="1777" w:type="dxa"/>
            <w:noWrap/>
            <w:hideMark/>
          </w:tcPr>
          <w:p w:rsidR="0021550B" w:rsidRPr="00CA126E" w:rsidRDefault="0021550B" w:rsidP="008B2014">
            <w:pPr>
              <w:pStyle w:val="TableTextrightalignment"/>
            </w:pPr>
            <w:r>
              <w:t>3,564</w:t>
            </w:r>
          </w:p>
        </w:tc>
        <w:tc>
          <w:tcPr>
            <w:tcW w:w="1597" w:type="dxa"/>
            <w:noWrap/>
            <w:hideMark/>
          </w:tcPr>
          <w:p w:rsidR="0021550B" w:rsidRPr="00CA126E" w:rsidRDefault="0021550B" w:rsidP="008B2014">
            <w:pPr>
              <w:pStyle w:val="TableTextrightalignment"/>
            </w:pPr>
            <w:r>
              <w:t>3,564</w:t>
            </w:r>
          </w:p>
        </w:tc>
        <w:tc>
          <w:tcPr>
            <w:tcW w:w="1546" w:type="dxa"/>
            <w:noWrap/>
            <w:hideMark/>
          </w:tcPr>
          <w:p w:rsidR="0021550B" w:rsidRPr="00CA126E" w:rsidRDefault="0021550B" w:rsidP="008B2014">
            <w:pPr>
              <w:pStyle w:val="TableTextrightalignment"/>
            </w:pPr>
            <w:r>
              <w:t>0</w:t>
            </w:r>
          </w:p>
        </w:tc>
      </w:tr>
      <w:tr w:rsidR="0021550B" w:rsidRPr="00837DBB" w:rsidTr="008B2014">
        <w:trPr>
          <w:cnfStyle w:val="000000100000" w:firstRow="0" w:lastRow="0" w:firstColumn="0" w:lastColumn="0" w:oddVBand="0" w:evenVBand="0" w:oddHBand="1" w:evenHBand="0" w:firstRowFirstColumn="0" w:firstRowLastColumn="0" w:lastRowFirstColumn="0" w:lastRowLastColumn="0"/>
          <w:trHeight w:val="300"/>
        </w:trPr>
        <w:tc>
          <w:tcPr>
            <w:tcW w:w="4322" w:type="dxa"/>
            <w:noWrap/>
            <w:hideMark/>
          </w:tcPr>
          <w:p w:rsidR="0021550B" w:rsidRPr="00CA126E" w:rsidRDefault="0021550B" w:rsidP="008B2014">
            <w:pPr>
              <w:pStyle w:val="TableText"/>
              <w:rPr>
                <w:rStyle w:val="Textbold"/>
              </w:rPr>
            </w:pPr>
            <w:r w:rsidRPr="00CA126E">
              <w:rPr>
                <w:rStyle w:val="Textbold"/>
              </w:rPr>
              <w:t>Total ordinary annual services</w:t>
            </w:r>
          </w:p>
        </w:tc>
        <w:tc>
          <w:tcPr>
            <w:tcW w:w="1777" w:type="dxa"/>
            <w:noWrap/>
            <w:hideMark/>
          </w:tcPr>
          <w:p w:rsidR="0021550B" w:rsidRPr="00CC08ED" w:rsidRDefault="0021550B" w:rsidP="008B2014">
            <w:pPr>
              <w:pStyle w:val="TableTextrightalignment"/>
              <w:rPr>
                <w:b/>
              </w:rPr>
            </w:pPr>
            <w:r w:rsidRPr="00CC08ED">
              <w:rPr>
                <w:b/>
              </w:rPr>
              <w:t>3,564</w:t>
            </w:r>
          </w:p>
        </w:tc>
        <w:tc>
          <w:tcPr>
            <w:tcW w:w="1597" w:type="dxa"/>
            <w:noWrap/>
            <w:hideMark/>
          </w:tcPr>
          <w:p w:rsidR="0021550B" w:rsidRPr="00CC08ED" w:rsidRDefault="0021550B" w:rsidP="008B2014">
            <w:pPr>
              <w:pStyle w:val="TableTextrightalignment"/>
              <w:rPr>
                <w:b/>
              </w:rPr>
            </w:pPr>
            <w:r>
              <w:rPr>
                <w:b/>
              </w:rPr>
              <w:t>3,564</w:t>
            </w:r>
          </w:p>
        </w:tc>
        <w:tc>
          <w:tcPr>
            <w:tcW w:w="1546" w:type="dxa"/>
            <w:noWrap/>
            <w:hideMark/>
          </w:tcPr>
          <w:p w:rsidR="0021550B" w:rsidRPr="00CA126E" w:rsidRDefault="0021550B" w:rsidP="008B2014">
            <w:pPr>
              <w:pStyle w:val="TableTextrightalignment"/>
            </w:pPr>
            <w:r>
              <w:t>0</w:t>
            </w:r>
          </w:p>
        </w:tc>
      </w:tr>
      <w:tr w:rsidR="0021550B" w:rsidRPr="00837DBB" w:rsidTr="008B2014">
        <w:trPr>
          <w:trHeight w:val="315"/>
        </w:trPr>
        <w:tc>
          <w:tcPr>
            <w:tcW w:w="4322" w:type="dxa"/>
            <w:noWrap/>
            <w:hideMark/>
          </w:tcPr>
          <w:p w:rsidR="0021550B" w:rsidRPr="00CA126E" w:rsidRDefault="0021550B" w:rsidP="008B2014">
            <w:pPr>
              <w:pStyle w:val="TableText"/>
              <w:rPr>
                <w:rStyle w:val="Textbold"/>
              </w:rPr>
            </w:pPr>
            <w:r w:rsidRPr="00CA126E">
              <w:rPr>
                <w:rStyle w:val="Textbold"/>
              </w:rPr>
              <w:t>TOTAL RESOURCING AND PAYMENTS</w:t>
            </w:r>
          </w:p>
        </w:tc>
        <w:tc>
          <w:tcPr>
            <w:tcW w:w="1777" w:type="dxa"/>
            <w:noWrap/>
            <w:hideMark/>
          </w:tcPr>
          <w:p w:rsidR="0021550B" w:rsidRPr="00CA126E" w:rsidRDefault="0021550B" w:rsidP="008B2014">
            <w:pPr>
              <w:pStyle w:val="TableTextrightalignment"/>
              <w:rPr>
                <w:rStyle w:val="Textbold"/>
              </w:rPr>
            </w:pPr>
            <w:r>
              <w:rPr>
                <w:rStyle w:val="Textbold"/>
              </w:rPr>
              <w:t>6,965</w:t>
            </w:r>
          </w:p>
        </w:tc>
        <w:tc>
          <w:tcPr>
            <w:tcW w:w="1597" w:type="dxa"/>
            <w:noWrap/>
            <w:hideMark/>
          </w:tcPr>
          <w:p w:rsidR="0021550B" w:rsidRPr="00CA126E" w:rsidRDefault="0021550B" w:rsidP="008B2014">
            <w:pPr>
              <w:pStyle w:val="TableTextrightalignment"/>
              <w:rPr>
                <w:rStyle w:val="Textbold"/>
              </w:rPr>
            </w:pPr>
            <w:r>
              <w:rPr>
                <w:rStyle w:val="Textbold"/>
              </w:rPr>
              <w:t>4,495</w:t>
            </w:r>
          </w:p>
        </w:tc>
        <w:tc>
          <w:tcPr>
            <w:tcW w:w="1546" w:type="dxa"/>
            <w:noWrap/>
            <w:hideMark/>
          </w:tcPr>
          <w:p w:rsidR="0021550B" w:rsidRPr="00CA126E" w:rsidRDefault="0021550B" w:rsidP="008B2014">
            <w:pPr>
              <w:pStyle w:val="TableTextrightalignment"/>
              <w:rPr>
                <w:rStyle w:val="Textbold"/>
              </w:rPr>
            </w:pPr>
            <w:r>
              <w:rPr>
                <w:rStyle w:val="Textbold"/>
              </w:rPr>
              <w:t>2,470</w:t>
            </w:r>
          </w:p>
        </w:tc>
      </w:tr>
    </w:tbl>
    <w:p w:rsidR="0021550B" w:rsidRPr="00CA126E" w:rsidRDefault="0021550B" w:rsidP="0021550B">
      <w:pPr>
        <w:pStyle w:val="TableTextsmall"/>
      </w:pPr>
      <w:r w:rsidRPr="00CA126E">
        <w:rPr>
          <w:rStyle w:val="Textsuperscript"/>
        </w:rPr>
        <w:t>1</w:t>
      </w:r>
      <w:r w:rsidRPr="0021550B">
        <w:rPr>
          <w:i/>
        </w:rPr>
        <w:t xml:space="preserve">Appropriation Act (No. 1) 2012–13 </w:t>
      </w:r>
      <w:r>
        <w:t xml:space="preserve">and </w:t>
      </w:r>
      <w:r w:rsidRPr="0021550B">
        <w:rPr>
          <w:i/>
        </w:rPr>
        <w:t>Appropriation Act (No. 1) 2013–14</w:t>
      </w:r>
      <w:r>
        <w:t>.</w:t>
      </w:r>
    </w:p>
    <w:p w:rsidR="0021550B" w:rsidRDefault="0021550B" w:rsidP="0021550B">
      <w:pPr>
        <w:pStyle w:val="TableTextsmall"/>
      </w:pPr>
      <w:r w:rsidRPr="0021550B">
        <w:rPr>
          <w:rStyle w:val="Textsuperscript"/>
        </w:rPr>
        <w:t>2</w:t>
      </w:r>
      <w:r w:rsidRPr="00CA126E">
        <w:t>Receipts received under s</w:t>
      </w:r>
      <w:r>
        <w:t>. 74</w:t>
      </w:r>
      <w:r w:rsidRPr="00CA126E">
        <w:t xml:space="preserve"> of the </w:t>
      </w:r>
      <w:r w:rsidRPr="00465BA7">
        <w:t>Public Governance</w:t>
      </w:r>
      <w:r w:rsidR="00CE4571" w:rsidRPr="00465BA7">
        <w:t>, Performance</w:t>
      </w:r>
      <w:r w:rsidRPr="00465BA7">
        <w:t xml:space="preserve"> and Accountability Act</w:t>
      </w:r>
      <w:r w:rsidR="00465BA7">
        <w:t xml:space="preserve"> 2013</w:t>
      </w:r>
      <w:r w:rsidRPr="00CA126E">
        <w:t>. Remaining balance will be applied to meeting the future settlement of current period expenses and provisions.</w:t>
      </w:r>
    </w:p>
    <w:p w:rsidR="0021550B" w:rsidRPr="004B4E10" w:rsidRDefault="0021550B" w:rsidP="0021550B">
      <w:pPr>
        <w:pStyle w:val="ListBullet"/>
        <w:numPr>
          <w:ilvl w:val="0"/>
          <w:numId w:val="0"/>
        </w:numPr>
        <w:spacing w:after="0" w:line="240" w:lineRule="auto"/>
        <w:rPr>
          <w:bCs/>
          <w:sz w:val="15"/>
        </w:rPr>
      </w:pPr>
      <w:r w:rsidRPr="00465BA7">
        <w:rPr>
          <w:rStyle w:val="Textsuperscript"/>
          <w:sz w:val="15"/>
          <w:szCs w:val="15"/>
        </w:rPr>
        <w:t>3</w:t>
      </w:r>
      <w:r w:rsidRPr="004B4E10">
        <w:rPr>
          <w:bCs/>
          <w:sz w:val="15"/>
        </w:rPr>
        <w:t>No direct appropriation funding was provided for the Authority in the 2014</w:t>
      </w:r>
      <w:r w:rsidR="00C06150">
        <w:rPr>
          <w:bCs/>
          <w:sz w:val="15"/>
        </w:rPr>
        <w:t>–</w:t>
      </w:r>
      <w:r w:rsidRPr="004B4E10">
        <w:rPr>
          <w:bCs/>
          <w:sz w:val="15"/>
        </w:rPr>
        <w:t xml:space="preserve">15 Portfolio Budget Statements. </w:t>
      </w:r>
      <w:r w:rsidR="00C06150">
        <w:rPr>
          <w:bCs/>
          <w:sz w:val="15"/>
        </w:rPr>
        <w:t>F</w:t>
      </w:r>
      <w:r w:rsidRPr="004B4E10">
        <w:rPr>
          <w:bCs/>
          <w:sz w:val="15"/>
        </w:rPr>
        <w:t xml:space="preserve">unding to support the functions of the Authority during the year ended 30 June 2015 was </w:t>
      </w:r>
      <w:r>
        <w:rPr>
          <w:bCs/>
          <w:sz w:val="15"/>
        </w:rPr>
        <w:t xml:space="preserve">received from </w:t>
      </w:r>
      <w:r w:rsidRPr="004B4E10">
        <w:rPr>
          <w:bCs/>
          <w:sz w:val="15"/>
        </w:rPr>
        <w:t xml:space="preserve">the Department of Environment </w:t>
      </w:r>
      <w:r w:rsidR="0063658E">
        <w:rPr>
          <w:bCs/>
          <w:sz w:val="15"/>
        </w:rPr>
        <w:t xml:space="preserve">and is reported </w:t>
      </w:r>
      <w:r w:rsidRPr="004B4E10">
        <w:rPr>
          <w:bCs/>
          <w:sz w:val="15"/>
        </w:rPr>
        <w:t>as</w:t>
      </w:r>
      <w:r w:rsidR="0063658E">
        <w:rPr>
          <w:bCs/>
          <w:sz w:val="15"/>
        </w:rPr>
        <w:t xml:space="preserve"> </w:t>
      </w:r>
      <w:r w:rsidR="00C06150" w:rsidRPr="00465BA7">
        <w:rPr>
          <w:bCs/>
          <w:i/>
          <w:sz w:val="15"/>
        </w:rPr>
        <w:t>s</w:t>
      </w:r>
      <w:r w:rsidR="0063658E" w:rsidRPr="00465BA7">
        <w:rPr>
          <w:bCs/>
          <w:i/>
          <w:sz w:val="15"/>
        </w:rPr>
        <w:t>.</w:t>
      </w:r>
      <w:r w:rsidRPr="00465BA7">
        <w:rPr>
          <w:bCs/>
          <w:i/>
          <w:sz w:val="15"/>
        </w:rPr>
        <w:t>74 Other Revenue</w:t>
      </w:r>
      <w:r w:rsidRPr="004B4E10">
        <w:rPr>
          <w:bCs/>
          <w:sz w:val="15"/>
        </w:rPr>
        <w:t>.</w:t>
      </w:r>
    </w:p>
    <w:p w:rsidR="00E906DB" w:rsidRPr="00F57A6E" w:rsidRDefault="00E906DB" w:rsidP="00E906DB">
      <w:pPr>
        <w:pStyle w:val="Heading3"/>
        <w:numPr>
          <w:ilvl w:val="2"/>
          <w:numId w:val="8"/>
        </w:numPr>
      </w:pPr>
      <w:bookmarkStart w:id="36" w:name="_Toc430464423"/>
      <w:r w:rsidRPr="00F57A6E">
        <w:t>P</w:t>
      </w:r>
      <w:r>
        <w:t>URCHASING</w:t>
      </w:r>
      <w:bookmarkEnd w:id="36"/>
    </w:p>
    <w:p w:rsidR="00E906DB" w:rsidRDefault="00E906DB" w:rsidP="00E906DB">
      <w:pPr>
        <w:pStyle w:val="BodyText"/>
      </w:pPr>
      <w:r>
        <w:t>In 201</w:t>
      </w:r>
      <w:r w:rsidR="007B483C">
        <w:t>4</w:t>
      </w:r>
      <w:r w:rsidR="00747437">
        <w:t>–</w:t>
      </w:r>
      <w:r>
        <w:t>1</w:t>
      </w:r>
      <w:r w:rsidR="007B483C">
        <w:t>5</w:t>
      </w:r>
      <w:r w:rsidR="00747437">
        <w:t>,</w:t>
      </w:r>
      <w:r>
        <w:t xml:space="preserve"> the Authority sourced all goods and services in accordance with the principles set out in the </w:t>
      </w:r>
      <w:r w:rsidR="00747437" w:rsidRPr="00B44E1E">
        <w:rPr>
          <w:rStyle w:val="Textitalic"/>
          <w:i w:val="0"/>
        </w:rPr>
        <w:t xml:space="preserve">Commonwealth Procurement </w:t>
      </w:r>
      <w:r w:rsidR="00422686" w:rsidRPr="00B44E1E">
        <w:rPr>
          <w:rStyle w:val="Textitalic"/>
          <w:i w:val="0"/>
        </w:rPr>
        <w:t>Rules 2014</w:t>
      </w:r>
      <w:r>
        <w:t>.</w:t>
      </w:r>
    </w:p>
    <w:p w:rsidR="007B483C" w:rsidRDefault="007B483C" w:rsidP="00E906DB">
      <w:pPr>
        <w:pStyle w:val="BodyText"/>
      </w:pPr>
      <w:r>
        <w:t>The Authority supports small</w:t>
      </w:r>
      <w:r w:rsidR="00C06150">
        <w:t>-</w:t>
      </w:r>
      <w:r>
        <w:t xml:space="preserve">business participation in the Commonwealth Government procurement market. Small and </w:t>
      </w:r>
      <w:r w:rsidR="00C06150">
        <w:t>m</w:t>
      </w:r>
      <w:r>
        <w:t xml:space="preserve">edium </w:t>
      </w:r>
      <w:r w:rsidR="00C06150">
        <w:t>e</w:t>
      </w:r>
      <w:r>
        <w:t xml:space="preserve">nterprises and </w:t>
      </w:r>
      <w:r w:rsidR="00C06150">
        <w:t>s</w:t>
      </w:r>
      <w:r>
        <w:t xml:space="preserve">mall </w:t>
      </w:r>
      <w:r w:rsidR="00C06150">
        <w:t>e</w:t>
      </w:r>
      <w:r>
        <w:t xml:space="preserve">nterprise participation statistics are available on the Department of Finance website: </w:t>
      </w:r>
      <w:hyperlink r:id="rId32" w:history="1">
        <w:r w:rsidRPr="001F588F">
          <w:rPr>
            <w:rStyle w:val="Hyperlink"/>
          </w:rPr>
          <w:t>www.finance.gov.au/procurement/statistics-on-commonwealth-purchasing-contracts/</w:t>
        </w:r>
      </w:hyperlink>
      <w:r w:rsidR="00422686">
        <w:t>. The Authority encourages greater participation by small and medium enterprises in its procurement activities by:</w:t>
      </w:r>
    </w:p>
    <w:p w:rsidR="00422686" w:rsidRDefault="00422686" w:rsidP="00422686">
      <w:pPr>
        <w:pStyle w:val="ListBullet"/>
        <w:numPr>
          <w:ilvl w:val="0"/>
          <w:numId w:val="1"/>
        </w:numPr>
      </w:pPr>
      <w:r>
        <w:t>communicating in clear, simple language and presenting information in accessible formats</w:t>
      </w:r>
    </w:p>
    <w:p w:rsidR="00422686" w:rsidRDefault="00422686" w:rsidP="00422686">
      <w:pPr>
        <w:pStyle w:val="ListBullet"/>
        <w:numPr>
          <w:ilvl w:val="0"/>
          <w:numId w:val="1"/>
        </w:numPr>
      </w:pPr>
      <w:r>
        <w:t xml:space="preserve">facilitating on-time payments by the use of electronic finance systems and the use of payment cards where appropriate. </w:t>
      </w:r>
    </w:p>
    <w:p w:rsidR="00E906DB" w:rsidRDefault="00E906DB" w:rsidP="00E906DB">
      <w:pPr>
        <w:pStyle w:val="BodyText"/>
      </w:pPr>
      <w:r>
        <w:t>The Authority</w:t>
      </w:r>
      <w:r w:rsidR="00747437">
        <w:t>’</w:t>
      </w:r>
      <w:r>
        <w:t>s policy outlines the core principle underlining procurement as value for money</w:t>
      </w:r>
      <w:r w:rsidR="00A5523B">
        <w:t>,</w:t>
      </w:r>
      <w:r>
        <w:t xml:space="preserve"> which is enhanced by:</w:t>
      </w:r>
    </w:p>
    <w:p w:rsidR="00E906DB" w:rsidRDefault="00E906DB" w:rsidP="00E906DB">
      <w:pPr>
        <w:pStyle w:val="ListBullet"/>
        <w:numPr>
          <w:ilvl w:val="0"/>
          <w:numId w:val="1"/>
        </w:numPr>
      </w:pPr>
      <w:r>
        <w:t>encouraging competition by ensuring non-discrimination in procurement and competitive procurement process</w:t>
      </w:r>
      <w:r w:rsidR="00747437">
        <w:t>es</w:t>
      </w:r>
    </w:p>
    <w:p w:rsidR="00E906DB" w:rsidRDefault="00E906DB" w:rsidP="00E906DB">
      <w:pPr>
        <w:pStyle w:val="ListBullet"/>
      </w:pPr>
      <w:r>
        <w:t>promoting the use of resources in an efficient, effective, economical and ethical manner</w:t>
      </w:r>
    </w:p>
    <w:p w:rsidR="00E906DB" w:rsidRDefault="00E906DB" w:rsidP="00E906DB">
      <w:pPr>
        <w:pStyle w:val="ListBullet"/>
      </w:pPr>
      <w:r w:rsidRPr="00E906DB">
        <w:t>making decisions in an accountable and transparent manner</w:t>
      </w:r>
      <w:r>
        <w:t>.</w:t>
      </w:r>
    </w:p>
    <w:p w:rsidR="00CA126E" w:rsidRPr="00CA126E" w:rsidRDefault="00CA126E" w:rsidP="00CA126E">
      <w:pPr>
        <w:pStyle w:val="ListBullet"/>
        <w:numPr>
          <w:ilvl w:val="0"/>
          <w:numId w:val="0"/>
        </w:numPr>
      </w:pPr>
      <w:r w:rsidRPr="00CA126E">
        <w:lastRenderedPageBreak/>
        <w:t xml:space="preserve">All </w:t>
      </w:r>
      <w:r w:rsidRPr="00610D38">
        <w:rPr>
          <w:rStyle w:val="BodyTextChar"/>
        </w:rPr>
        <w:t>c</w:t>
      </w:r>
      <w:r w:rsidRPr="00CA126E">
        <w:t xml:space="preserve">ompetitive tenders and contracts </w:t>
      </w:r>
      <w:r w:rsidR="00F3470D">
        <w:t>over $10</w:t>
      </w:r>
      <w:r w:rsidR="00747437">
        <w:t>,</w:t>
      </w:r>
      <w:r w:rsidR="00F3470D">
        <w:t xml:space="preserve">000 </w:t>
      </w:r>
      <w:r w:rsidRPr="00CA126E">
        <w:t>let by the Authority during 201</w:t>
      </w:r>
      <w:r w:rsidR="00422686">
        <w:t>4</w:t>
      </w:r>
      <w:r w:rsidR="00747437">
        <w:t>–</w:t>
      </w:r>
      <w:r w:rsidRPr="00CA126E">
        <w:t>1</w:t>
      </w:r>
      <w:r w:rsidR="00422686">
        <w:t>5</w:t>
      </w:r>
      <w:r w:rsidRPr="00CA126E">
        <w:t xml:space="preserve"> </w:t>
      </w:r>
      <w:r w:rsidR="00747437">
        <w:t>were</w:t>
      </w:r>
      <w:r w:rsidRPr="00CA126E">
        <w:t xml:space="preserve"> listed on AusTender.</w:t>
      </w:r>
    </w:p>
    <w:p w:rsidR="00CA126E" w:rsidRPr="00CA126E" w:rsidRDefault="00CA126E" w:rsidP="00CA126E">
      <w:pPr>
        <w:pStyle w:val="Heading3"/>
        <w:numPr>
          <w:ilvl w:val="2"/>
          <w:numId w:val="8"/>
        </w:numPr>
      </w:pPr>
      <w:bookmarkStart w:id="37" w:name="_Toc430464424"/>
      <w:r w:rsidRPr="00CA126E">
        <w:t>CONSULTANCIES</w:t>
      </w:r>
      <w:bookmarkEnd w:id="37"/>
    </w:p>
    <w:p w:rsidR="00E12C34" w:rsidRPr="00E12C34" w:rsidRDefault="00E12C34" w:rsidP="00E12C34">
      <w:pPr>
        <w:pStyle w:val="BodyText"/>
      </w:pPr>
      <w:r>
        <w:t>The Authority engages c</w:t>
      </w:r>
      <w:r w:rsidRPr="00E12C34">
        <w:t>onsultants only if it consider</w:t>
      </w:r>
      <w:r w:rsidR="00747437">
        <w:t>s</w:t>
      </w:r>
      <w:r w:rsidRPr="00E12C34">
        <w:t xml:space="preserve"> that specific specialist expertise is required and the particular skillset is not available from within existing staffing resources, or if there is a need for independent research, review or assessment.</w:t>
      </w:r>
    </w:p>
    <w:p w:rsidR="00E12C34" w:rsidRPr="00E12C34" w:rsidRDefault="00E12C34" w:rsidP="00E12C34">
      <w:pPr>
        <w:pStyle w:val="BodyText"/>
      </w:pPr>
      <w:r w:rsidRPr="00E12C34">
        <w:t xml:space="preserve">Any decision to engage a consultant is made in accordance with the </w:t>
      </w:r>
      <w:r w:rsidR="001C4F95" w:rsidRPr="00B44E1E">
        <w:rPr>
          <w:rStyle w:val="Textitalic"/>
          <w:i w:val="0"/>
        </w:rPr>
        <w:t>Public Governance, Performance and Accountability Act 2013</w:t>
      </w:r>
      <w:r w:rsidR="00315FD5">
        <w:rPr>
          <w:rStyle w:val="Textitalic"/>
        </w:rPr>
        <w:t xml:space="preserve"> </w:t>
      </w:r>
      <w:r w:rsidRPr="00E12C34">
        <w:t xml:space="preserve">and related regulations, including </w:t>
      </w:r>
      <w:r w:rsidR="00214D09">
        <w:t xml:space="preserve">the </w:t>
      </w:r>
      <w:r w:rsidRPr="00465BA7">
        <w:t xml:space="preserve">Commonwealth Procurement </w:t>
      </w:r>
      <w:r w:rsidR="00214D09" w:rsidRPr="00465BA7">
        <w:t>Rules 2014</w:t>
      </w:r>
      <w:r w:rsidRPr="00E12C34">
        <w:t xml:space="preserve">, and with relevant internal policies. </w:t>
      </w:r>
    </w:p>
    <w:p w:rsidR="00CA126E" w:rsidRPr="00610D38" w:rsidRDefault="00E12C34" w:rsidP="00610D38">
      <w:pPr>
        <w:pStyle w:val="BodyText"/>
      </w:pPr>
      <w:r w:rsidRPr="00FE4414">
        <w:t>During 201</w:t>
      </w:r>
      <w:r w:rsidR="001C4F95">
        <w:t>4</w:t>
      </w:r>
      <w:r w:rsidR="00747437" w:rsidRPr="008B6420">
        <w:t>–</w:t>
      </w:r>
      <w:r w:rsidRPr="00EB1EC0">
        <w:t>1</w:t>
      </w:r>
      <w:r w:rsidR="001C4F95">
        <w:t>5</w:t>
      </w:r>
      <w:r w:rsidR="00747437" w:rsidRPr="00F41829">
        <w:t xml:space="preserve">, </w:t>
      </w:r>
      <w:r w:rsidRPr="005A314E">
        <w:t xml:space="preserve">the Authority </w:t>
      </w:r>
      <w:r w:rsidR="001C4F95">
        <w:t xml:space="preserve">entered into one new </w:t>
      </w:r>
      <w:r w:rsidRPr="001E0BF9">
        <w:t>consultanc</w:t>
      </w:r>
      <w:r w:rsidR="001C4F95">
        <w:t>y contract but there was no actual expenditure incurred in this year</w:t>
      </w:r>
      <w:r w:rsidRPr="001E0BF9">
        <w:t xml:space="preserve">. </w:t>
      </w:r>
      <w:r w:rsidR="00710184" w:rsidRPr="001E0BF9">
        <w:t>Annual reports contain info</w:t>
      </w:r>
      <w:r w:rsidR="00710184" w:rsidRPr="00037F4D">
        <w:t>rmation about actual expenditure on contract</w:t>
      </w:r>
      <w:r w:rsidR="005D1510">
        <w:t>s</w:t>
      </w:r>
      <w:r w:rsidR="00710184" w:rsidRPr="00037F4D">
        <w:t xml:space="preserve"> for consultancies. </w:t>
      </w:r>
      <w:r w:rsidRPr="00744B0A">
        <w:t xml:space="preserve">Information on </w:t>
      </w:r>
      <w:r w:rsidR="00710184" w:rsidRPr="00264F40">
        <w:t>the value of contracts</w:t>
      </w:r>
      <w:r w:rsidRPr="00264F40">
        <w:t xml:space="preserve"> and consultancies is available </w:t>
      </w:r>
      <w:r w:rsidR="00710184" w:rsidRPr="00264F40">
        <w:t xml:space="preserve">on </w:t>
      </w:r>
      <w:r w:rsidRPr="00264F40">
        <w:t>the AusTender website</w:t>
      </w:r>
      <w:r w:rsidR="00172327" w:rsidRPr="007C43E8">
        <w:t>,</w:t>
      </w:r>
      <w:r w:rsidR="00710184" w:rsidRPr="007C43E8">
        <w:t xml:space="preserve"> </w:t>
      </w:r>
      <w:hyperlink r:id="rId33" w:history="1">
        <w:r w:rsidR="00710184" w:rsidRPr="00610D38">
          <w:rPr>
            <w:rFonts w:cs="Arial"/>
          </w:rPr>
          <w:t>www.</w:t>
        </w:r>
        <w:r w:rsidR="00710184" w:rsidRPr="00610D38">
          <w:t>tenders.gov.au</w:t>
        </w:r>
      </w:hyperlink>
      <w:r w:rsidR="00710184" w:rsidRPr="00610D38">
        <w:t xml:space="preserve">. </w:t>
      </w:r>
      <w:hyperlink w:history="1"/>
      <w:r w:rsidRPr="00610D38">
        <w:t xml:space="preserve"> </w:t>
      </w:r>
    </w:p>
    <w:p w:rsidR="00243EE8" w:rsidRDefault="00243EE8" w:rsidP="00F07960">
      <w:pPr>
        <w:pStyle w:val="BodyText"/>
      </w:pPr>
      <w:r w:rsidRPr="00776E25">
        <w:t xml:space="preserve">The </w:t>
      </w:r>
      <w:r>
        <w:t>Authority</w:t>
      </w:r>
      <w:r w:rsidRPr="00776E25">
        <w:t xml:space="preserve"> did not enter into any contracts or standing offers that were exempt from being published on AusTender. </w:t>
      </w:r>
      <w:r w:rsidRPr="00CA126E">
        <w:t>All Authority contracts contain provisions that allow for the Auditor-General to have access to the contractor’s premises if required.</w:t>
      </w:r>
    </w:p>
    <w:p w:rsidR="00FD72F8" w:rsidRDefault="00FD72F8" w:rsidP="00FD72F8">
      <w:pPr>
        <w:pStyle w:val="Heading3"/>
      </w:pPr>
      <w:bookmarkStart w:id="38" w:name="_Toc430464425"/>
      <w:r>
        <w:t>ADVERTISING AND MARKET RESEARCH</w:t>
      </w:r>
      <w:bookmarkEnd w:id="38"/>
    </w:p>
    <w:p w:rsidR="00FD72F8" w:rsidRDefault="00FD72F8" w:rsidP="00FD72F8">
      <w:pPr>
        <w:pStyle w:val="BodyText"/>
      </w:pPr>
      <w:r>
        <w:t xml:space="preserve">Under section 311A of the </w:t>
      </w:r>
      <w:r w:rsidRPr="00863F1A">
        <w:rPr>
          <w:rStyle w:val="Textitalic"/>
        </w:rPr>
        <w:t>Commonwealth Electoral Act 1918</w:t>
      </w:r>
      <w:r>
        <w:t>, the Authority is required to report annually on payments made for the services of:</w:t>
      </w:r>
    </w:p>
    <w:p w:rsidR="00FD72F8" w:rsidRDefault="00930AC0" w:rsidP="00FD72F8">
      <w:pPr>
        <w:pStyle w:val="ListBullet"/>
        <w:numPr>
          <w:ilvl w:val="0"/>
          <w:numId w:val="1"/>
        </w:numPr>
      </w:pPr>
      <w:r>
        <w:t>a</w:t>
      </w:r>
      <w:r w:rsidR="00FD72F8">
        <w:t>dvertising agencies</w:t>
      </w:r>
    </w:p>
    <w:p w:rsidR="00FD72F8" w:rsidRDefault="00930AC0" w:rsidP="00FD72F8">
      <w:pPr>
        <w:pStyle w:val="ListBullet"/>
        <w:numPr>
          <w:ilvl w:val="0"/>
          <w:numId w:val="1"/>
        </w:numPr>
      </w:pPr>
      <w:r>
        <w:t>m</w:t>
      </w:r>
      <w:r w:rsidR="00FD72F8">
        <w:t>arket research organisations</w:t>
      </w:r>
    </w:p>
    <w:p w:rsidR="00FD72F8" w:rsidRDefault="00930AC0" w:rsidP="00FD72F8">
      <w:pPr>
        <w:pStyle w:val="ListBullet"/>
        <w:numPr>
          <w:ilvl w:val="0"/>
          <w:numId w:val="1"/>
        </w:numPr>
      </w:pPr>
      <w:r>
        <w:t>p</w:t>
      </w:r>
      <w:r w:rsidR="00FD72F8">
        <w:t>olling organisations</w:t>
      </w:r>
    </w:p>
    <w:p w:rsidR="00FD72F8" w:rsidRDefault="00930AC0" w:rsidP="00FD72F8">
      <w:pPr>
        <w:pStyle w:val="ListBullet"/>
        <w:numPr>
          <w:ilvl w:val="0"/>
          <w:numId w:val="1"/>
        </w:numPr>
      </w:pPr>
      <w:r>
        <w:t>d</w:t>
      </w:r>
      <w:r w:rsidR="00FD72F8">
        <w:t>irect mail organisations</w:t>
      </w:r>
    </w:p>
    <w:p w:rsidR="00FD72F8" w:rsidRDefault="00930AC0" w:rsidP="00FD72F8">
      <w:pPr>
        <w:pStyle w:val="ListBullet"/>
        <w:numPr>
          <w:ilvl w:val="0"/>
          <w:numId w:val="1"/>
        </w:numPr>
      </w:pPr>
      <w:r>
        <w:t>m</w:t>
      </w:r>
      <w:r w:rsidR="00FD72F8">
        <w:t>edia advertising organisations.</w:t>
      </w:r>
    </w:p>
    <w:p w:rsidR="00FD72F8" w:rsidRDefault="00F9635C" w:rsidP="00FD72F8">
      <w:pPr>
        <w:pStyle w:val="BodyText"/>
      </w:pPr>
      <w:r>
        <w:t>During 201</w:t>
      </w:r>
      <w:r w:rsidR="001D753C">
        <w:t>4–15</w:t>
      </w:r>
      <w:r>
        <w:t>, t</w:t>
      </w:r>
      <w:r w:rsidR="00FD72F8">
        <w:t xml:space="preserve">he Authority made no payments </w:t>
      </w:r>
      <w:r w:rsidR="001D753C">
        <w:t xml:space="preserve">that were over the reportable threshold </w:t>
      </w:r>
      <w:r w:rsidR="00FD72F8">
        <w:t xml:space="preserve">for these services </w:t>
      </w:r>
      <w:r>
        <w:t>and</w:t>
      </w:r>
      <w:r w:rsidR="00FD72F8">
        <w:t xml:space="preserve"> conducted no advertising campaigns. </w:t>
      </w:r>
    </w:p>
    <w:p w:rsidR="00CA360A" w:rsidRDefault="00CA360A" w:rsidP="00CA360A">
      <w:pPr>
        <w:pStyle w:val="Heading3"/>
      </w:pPr>
      <w:bookmarkStart w:id="39" w:name="_Toc430464426"/>
      <w:r>
        <w:t>GRANT PROGRAMS</w:t>
      </w:r>
      <w:bookmarkEnd w:id="39"/>
    </w:p>
    <w:p w:rsidR="00CA360A" w:rsidRDefault="00CA360A" w:rsidP="00CA360A">
      <w:pPr>
        <w:pStyle w:val="BodyText"/>
      </w:pPr>
      <w:r>
        <w:t>The Authority did not administer any grant programs in 201</w:t>
      </w:r>
      <w:r w:rsidR="001C4F95">
        <w:t>4</w:t>
      </w:r>
      <w:r w:rsidR="00F9635C">
        <w:t>–</w:t>
      </w:r>
      <w:r>
        <w:t>1</w:t>
      </w:r>
      <w:r w:rsidR="001C4F95">
        <w:t>5</w:t>
      </w:r>
      <w:r>
        <w:t>.</w:t>
      </w:r>
    </w:p>
    <w:p w:rsidR="009D77B4" w:rsidRDefault="009D77B4" w:rsidP="009D77B4">
      <w:pPr>
        <w:pStyle w:val="Heading2"/>
      </w:pPr>
      <w:bookmarkStart w:id="40" w:name="_Toc430464427"/>
      <w:r>
        <w:t>MANAGEMENT OF HUMAN RESOURCES</w:t>
      </w:r>
      <w:bookmarkEnd w:id="40"/>
    </w:p>
    <w:p w:rsidR="00452014" w:rsidRDefault="00452014" w:rsidP="00452014">
      <w:pPr>
        <w:pStyle w:val="BodyText"/>
      </w:pPr>
      <w:r>
        <w:t>At 30 June 201</w:t>
      </w:r>
      <w:r w:rsidR="001D753C">
        <w:t>5</w:t>
      </w:r>
      <w:r w:rsidR="00467D68">
        <w:t>,</w:t>
      </w:r>
      <w:r>
        <w:t xml:space="preserve"> the Authority had </w:t>
      </w:r>
      <w:r w:rsidR="00142F08">
        <w:t>1</w:t>
      </w:r>
      <w:r w:rsidR="006C0401">
        <w:t>7</w:t>
      </w:r>
      <w:r w:rsidR="00142F08">
        <w:t xml:space="preserve"> </w:t>
      </w:r>
      <w:r w:rsidR="0028663E">
        <w:t xml:space="preserve">employees, of whom </w:t>
      </w:r>
      <w:r w:rsidR="005F19CE">
        <w:t>12</w:t>
      </w:r>
      <w:r w:rsidR="002B3BEE">
        <w:t xml:space="preserve"> </w:t>
      </w:r>
      <w:r>
        <w:t xml:space="preserve">were ongoing and </w:t>
      </w:r>
      <w:r w:rsidR="005F19CE">
        <w:t>five</w:t>
      </w:r>
      <w:r w:rsidR="0074525D">
        <w:t xml:space="preserve"> were</w:t>
      </w:r>
      <w:r w:rsidR="00F50E1A">
        <w:t xml:space="preserve"> non</w:t>
      </w:r>
      <w:r w:rsidR="001925A4">
        <w:noBreakHyphen/>
      </w:r>
      <w:r w:rsidR="00F50E1A">
        <w:t xml:space="preserve">ongoing. All </w:t>
      </w:r>
      <w:r>
        <w:t xml:space="preserve">Authority staff </w:t>
      </w:r>
      <w:r w:rsidR="00523DDC">
        <w:t>we</w:t>
      </w:r>
      <w:r>
        <w:t>re located in Melbourne</w:t>
      </w:r>
      <w:r w:rsidR="00467D68">
        <w:t xml:space="preserve"> and </w:t>
      </w:r>
      <w:r w:rsidR="00875725">
        <w:t>12</w:t>
      </w:r>
      <w:r w:rsidR="00EF49C5">
        <w:t xml:space="preserve"> </w:t>
      </w:r>
      <w:r w:rsidR="00875725">
        <w:t xml:space="preserve">out of 17 </w:t>
      </w:r>
      <w:r w:rsidR="00EF49C5">
        <w:t xml:space="preserve">employees </w:t>
      </w:r>
      <w:r w:rsidR="00A31523">
        <w:t>were</w:t>
      </w:r>
      <w:r w:rsidR="00172327">
        <w:t xml:space="preserve"> </w:t>
      </w:r>
      <w:r w:rsidR="00EF49C5">
        <w:t xml:space="preserve">female. </w:t>
      </w:r>
    </w:p>
    <w:p w:rsidR="00BA0BD5" w:rsidRDefault="00452014" w:rsidP="00452014">
      <w:pPr>
        <w:pStyle w:val="BodyText"/>
      </w:pPr>
      <w:r>
        <w:t xml:space="preserve">The staffing profile reflects the </w:t>
      </w:r>
      <w:r w:rsidR="008C0125">
        <w:t xml:space="preserve">Authority’s </w:t>
      </w:r>
      <w:r>
        <w:t>required skills and capabilities</w:t>
      </w:r>
      <w:r w:rsidR="0074525D">
        <w:t>. During 2014–15</w:t>
      </w:r>
      <w:r w:rsidR="008C0125">
        <w:t>, t</w:t>
      </w:r>
      <w:r w:rsidR="009000B7">
        <w:t xml:space="preserve">he Authority </w:t>
      </w:r>
      <w:r w:rsidR="00863F1A">
        <w:t>utilised</w:t>
      </w:r>
      <w:r w:rsidR="009000B7">
        <w:t xml:space="preserve"> a range of employees </w:t>
      </w:r>
      <w:r w:rsidR="00EF49C5">
        <w:t>temporarily transferred from other agencies</w:t>
      </w:r>
      <w:r w:rsidR="009000B7">
        <w:t>, with specialist knowledge relevant to the review work</w:t>
      </w:r>
      <w:r w:rsidR="00BA0BD5">
        <w:t xml:space="preserve"> program</w:t>
      </w:r>
      <w:r w:rsidR="00F90B91">
        <w:t>s</w:t>
      </w:r>
      <w:r w:rsidR="009000B7">
        <w:t xml:space="preserve">. </w:t>
      </w:r>
      <w:r w:rsidR="00F90B91">
        <w:t xml:space="preserve">This assisted the Authority </w:t>
      </w:r>
      <w:r w:rsidR="00E86B97">
        <w:t xml:space="preserve">to </w:t>
      </w:r>
      <w:r w:rsidR="00F90B91">
        <w:t xml:space="preserve">manage its statutory obligations in an environment of uncertainty. </w:t>
      </w:r>
    </w:p>
    <w:p w:rsidR="004619B2" w:rsidRDefault="00452014" w:rsidP="00452014">
      <w:pPr>
        <w:pStyle w:val="BodyText"/>
      </w:pPr>
      <w:r>
        <w:lastRenderedPageBreak/>
        <w:t>The Authority</w:t>
      </w:r>
      <w:r w:rsidR="008C0125">
        <w:t>’</w:t>
      </w:r>
      <w:r w:rsidR="002B3BEE">
        <w:t xml:space="preserve">s staff numbers fell </w:t>
      </w:r>
      <w:r w:rsidR="00F90B91">
        <w:t xml:space="preserve">up until October 2014, at which time </w:t>
      </w:r>
      <w:r w:rsidR="004619B2">
        <w:t xml:space="preserve">the </w:t>
      </w:r>
      <w:r w:rsidR="001925A4">
        <w:t>g</w:t>
      </w:r>
      <w:r w:rsidR="004619B2">
        <w:t xml:space="preserve">overnment decided to </w:t>
      </w:r>
      <w:r w:rsidR="00E93022">
        <w:t xml:space="preserve">extend the Authority for the life of the current </w:t>
      </w:r>
      <w:r w:rsidR="001925A4">
        <w:t>p</w:t>
      </w:r>
      <w:r w:rsidR="00E93022">
        <w:t>arliament</w:t>
      </w:r>
      <w:r w:rsidR="0074525D">
        <w:t xml:space="preserve">. Staff turnover remained high </w:t>
      </w:r>
      <w:r w:rsidR="00F90B91">
        <w:t>in 2014</w:t>
      </w:r>
      <w:r w:rsidR="001925A4">
        <w:t>–</w:t>
      </w:r>
      <w:r w:rsidR="00F90B91">
        <w:t xml:space="preserve">15 </w:t>
      </w:r>
      <w:r w:rsidR="0074525D">
        <w:t xml:space="preserve">due to the </w:t>
      </w:r>
      <w:r w:rsidR="002B3BEE">
        <w:t xml:space="preserve">continued </w:t>
      </w:r>
      <w:r w:rsidR="004619B2">
        <w:t xml:space="preserve">ongoing </w:t>
      </w:r>
      <w:r w:rsidR="002B3BEE">
        <w:t xml:space="preserve">uncertainty </w:t>
      </w:r>
      <w:r w:rsidR="008C0125">
        <w:t xml:space="preserve">about </w:t>
      </w:r>
      <w:r w:rsidR="0074525D">
        <w:t>the Authority’s future</w:t>
      </w:r>
      <w:r>
        <w:t xml:space="preserve">. </w:t>
      </w:r>
      <w:r w:rsidR="0074525D">
        <w:t xml:space="preserve"> </w:t>
      </w:r>
    </w:p>
    <w:p w:rsidR="00452014" w:rsidRDefault="00C54C5C" w:rsidP="00452014">
      <w:pPr>
        <w:pStyle w:val="BodyText"/>
      </w:pPr>
      <w:r>
        <w:t>The CEO,</w:t>
      </w:r>
      <w:r w:rsidR="0074525D">
        <w:t xml:space="preserve"> Ms Anthea Harris, and the Director Corporate Services and CFO, Mr Michael Everett, both resigned in April 2015. </w:t>
      </w:r>
      <w:r w:rsidR="005F373A">
        <w:t>The CEO position was filled on an interim basis by Ms Shayleen Thompson from 3 April 2015</w:t>
      </w:r>
      <w:r w:rsidR="004619B2">
        <w:t xml:space="preserve"> to 30 June 2015</w:t>
      </w:r>
      <w:r w:rsidR="005F373A">
        <w:t>.</w:t>
      </w:r>
      <w:r w:rsidR="004619B2">
        <w:t xml:space="preserve"> </w:t>
      </w:r>
      <w:r w:rsidR="0021550B">
        <w:t xml:space="preserve">Ms Thompson has </w:t>
      </w:r>
      <w:r w:rsidR="004619B2">
        <w:t xml:space="preserve">subsequently been </w:t>
      </w:r>
      <w:r w:rsidR="0021550B">
        <w:t>appointed as acting CEO</w:t>
      </w:r>
      <w:r w:rsidR="004619B2">
        <w:t xml:space="preserve"> </w:t>
      </w:r>
      <w:r w:rsidR="0063658E">
        <w:t>un</w:t>
      </w:r>
      <w:r w:rsidR="004619B2">
        <w:t>til 30</w:t>
      </w:r>
      <w:r w:rsidR="001925A4">
        <w:t> </w:t>
      </w:r>
      <w:r w:rsidR="004619B2">
        <w:t>June 2016.</w:t>
      </w:r>
      <w:r>
        <w:t xml:space="preserve"> Mr Hamish Millikan acted as CFO from April to June 2015.</w:t>
      </w:r>
      <w:r w:rsidR="004619B2">
        <w:t xml:space="preserve"> </w:t>
      </w:r>
      <w:r w:rsidR="005F373A">
        <w:t xml:space="preserve"> </w:t>
      </w:r>
    </w:p>
    <w:p w:rsidR="00BA6AD2" w:rsidRDefault="00BA6AD2" w:rsidP="00452014">
      <w:pPr>
        <w:pStyle w:val="BodyText"/>
      </w:pPr>
      <w:r>
        <w:t>In 2014</w:t>
      </w:r>
      <w:r w:rsidR="001925A4">
        <w:t>–</w:t>
      </w:r>
      <w:r>
        <w:t>15</w:t>
      </w:r>
      <w:r w:rsidR="005D1510">
        <w:t>,</w:t>
      </w:r>
      <w:r>
        <w:t xml:space="preserve"> the Authority had no non-ongoing or ongoing employees that identified themselves as Indigenous. Th</w:t>
      </w:r>
      <w:r w:rsidR="001D753C">
        <w:t xml:space="preserve">e Authority has not had </w:t>
      </w:r>
      <w:r w:rsidR="005D1510">
        <w:t>any employees that identify as I</w:t>
      </w:r>
      <w:r w:rsidR="001D753C">
        <w:t>ndigenous since its establishment</w:t>
      </w:r>
      <w:r w:rsidR="00F90B91">
        <w:t xml:space="preserve"> in July 2012</w:t>
      </w:r>
      <w:r w:rsidR="001D753C">
        <w:t xml:space="preserve">. </w:t>
      </w:r>
    </w:p>
    <w:p w:rsidR="009D77B4" w:rsidRDefault="009D77B4" w:rsidP="009D77B4">
      <w:pPr>
        <w:pStyle w:val="Heading3"/>
      </w:pPr>
      <w:bookmarkStart w:id="41" w:name="_Toc430464428"/>
      <w:r>
        <w:t>STAFFING STATISTICS</w:t>
      </w:r>
      <w:bookmarkEnd w:id="41"/>
    </w:p>
    <w:p w:rsidR="00452014" w:rsidRDefault="00452014" w:rsidP="00610D38">
      <w:pPr>
        <w:pStyle w:val="BodyText"/>
      </w:pPr>
      <w:r>
        <w:t xml:space="preserve">The distribution of staff by classification and employment status is shown in Table </w:t>
      </w:r>
      <w:r w:rsidR="002F3488">
        <w:t>5.</w:t>
      </w:r>
      <w:r w:rsidR="001925A4">
        <w:t>3</w:t>
      </w:r>
      <w:r>
        <w:t xml:space="preserve">. Authority staff remuneration bands are shown </w:t>
      </w:r>
      <w:r w:rsidR="008C0125">
        <w:t xml:space="preserve">in </w:t>
      </w:r>
      <w:r w:rsidR="002F3488">
        <w:t>Table 5.</w:t>
      </w:r>
      <w:r w:rsidR="001925A4">
        <w:t>4</w:t>
      </w:r>
      <w:r>
        <w:t>.</w:t>
      </w:r>
    </w:p>
    <w:p w:rsidR="008C6DD4" w:rsidRPr="008C6DD4" w:rsidRDefault="008B2014" w:rsidP="001925A4">
      <w:pPr>
        <w:pStyle w:val="Caption"/>
        <w:tabs>
          <w:tab w:val="clear" w:pos="1418"/>
          <w:tab w:val="left" w:pos="1134"/>
        </w:tabs>
        <w:ind w:left="1134" w:hanging="1134"/>
      </w:pPr>
      <w:r>
        <w:t>Table 5.</w:t>
      </w:r>
      <w:r w:rsidR="001925A4">
        <w:t>3</w:t>
      </w:r>
      <w:r w:rsidR="008C6DD4" w:rsidRPr="008C6DD4">
        <w:t xml:space="preserve">: </w:t>
      </w:r>
      <w:r w:rsidR="00875725">
        <w:t xml:space="preserve">Climate Change </w:t>
      </w:r>
      <w:r w:rsidR="008C6DD4" w:rsidRPr="008C6DD4">
        <w:t>Au</w:t>
      </w:r>
      <w:r w:rsidR="0033053E">
        <w:t>thority</w:t>
      </w:r>
      <w:r w:rsidR="008C6DD4" w:rsidRPr="008C6DD4">
        <w:t xml:space="preserve"> staff numbers by classification</w:t>
      </w:r>
      <w:r w:rsidR="0033053E">
        <w:t>, gender</w:t>
      </w:r>
      <w:r w:rsidR="008C6DD4" w:rsidRPr="008C6DD4">
        <w:t xml:space="preserve"> and full-time or </w:t>
      </w:r>
      <w:r w:rsidR="0033053E">
        <w:t>part-time status</w:t>
      </w:r>
      <w:r w:rsidR="001925A4">
        <w:t>,</w:t>
      </w:r>
      <w:r w:rsidR="0033053E">
        <w:t xml:space="preserve"> 30 Jun</w:t>
      </w:r>
      <w:r w:rsidR="0074525D">
        <w:t>e 2015</w:t>
      </w:r>
    </w:p>
    <w:tbl>
      <w:tblPr>
        <w:tblStyle w:val="CCATable"/>
        <w:tblW w:w="0" w:type="auto"/>
        <w:tblLook w:val="04A0" w:firstRow="1" w:lastRow="0" w:firstColumn="1" w:lastColumn="0" w:noHBand="0" w:noVBand="1"/>
      </w:tblPr>
      <w:tblGrid>
        <w:gridCol w:w="1877"/>
        <w:gridCol w:w="1544"/>
        <w:gridCol w:w="1550"/>
        <w:gridCol w:w="1549"/>
        <w:gridCol w:w="1548"/>
        <w:gridCol w:w="1561"/>
      </w:tblGrid>
      <w:tr w:rsidR="005F26B3" w:rsidTr="005F26B3">
        <w:trPr>
          <w:cnfStyle w:val="100000000000" w:firstRow="1" w:lastRow="0" w:firstColumn="0" w:lastColumn="0" w:oddVBand="0" w:evenVBand="0" w:oddHBand="0" w:evenHBand="0" w:firstRowFirstColumn="0" w:firstRowLastColumn="0" w:lastRowFirstColumn="0" w:lastRowLastColumn="0"/>
          <w:trHeight w:val="201"/>
        </w:trPr>
        <w:tc>
          <w:tcPr>
            <w:tcW w:w="1894" w:type="dxa"/>
            <w:vMerge w:val="restart"/>
          </w:tcPr>
          <w:p w:rsidR="005F26B3" w:rsidRDefault="005F26B3" w:rsidP="00875725">
            <w:pPr>
              <w:pStyle w:val="TableHeading"/>
            </w:pPr>
            <w:r w:rsidRPr="005F26B3">
              <w:t>C</w:t>
            </w:r>
            <w:r w:rsidR="00875725">
              <w:t>lassification</w:t>
            </w:r>
          </w:p>
        </w:tc>
        <w:tc>
          <w:tcPr>
            <w:tcW w:w="3178" w:type="dxa"/>
            <w:gridSpan w:val="2"/>
          </w:tcPr>
          <w:p w:rsidR="005F26B3" w:rsidRDefault="005F26B3" w:rsidP="00875725">
            <w:pPr>
              <w:pStyle w:val="TableHeading"/>
              <w:jc w:val="center"/>
              <w:rPr>
                <w:i/>
                <w:iCs/>
              </w:rPr>
            </w:pPr>
            <w:r w:rsidRPr="005F26B3">
              <w:t>F</w:t>
            </w:r>
            <w:r w:rsidR="00875725">
              <w:t>emale</w:t>
            </w:r>
          </w:p>
        </w:tc>
        <w:tc>
          <w:tcPr>
            <w:tcW w:w="3181" w:type="dxa"/>
            <w:gridSpan w:val="2"/>
          </w:tcPr>
          <w:p w:rsidR="005F26B3" w:rsidRDefault="005F26B3" w:rsidP="00875725">
            <w:pPr>
              <w:pStyle w:val="TableHeading"/>
              <w:jc w:val="center"/>
              <w:rPr>
                <w:i/>
                <w:iCs/>
              </w:rPr>
            </w:pPr>
            <w:r w:rsidRPr="005F26B3">
              <w:t>M</w:t>
            </w:r>
            <w:r w:rsidR="00875725">
              <w:t>ale</w:t>
            </w:r>
          </w:p>
        </w:tc>
        <w:tc>
          <w:tcPr>
            <w:tcW w:w="1602" w:type="dxa"/>
            <w:vMerge w:val="restart"/>
          </w:tcPr>
          <w:p w:rsidR="005F26B3" w:rsidRDefault="005F26B3" w:rsidP="00875725">
            <w:pPr>
              <w:pStyle w:val="TableHeading"/>
            </w:pPr>
            <w:r w:rsidRPr="005F26B3">
              <w:t>T</w:t>
            </w:r>
            <w:r w:rsidR="00875725">
              <w:t>otal</w:t>
            </w:r>
          </w:p>
        </w:tc>
      </w:tr>
      <w:tr w:rsidR="005F26B3" w:rsidTr="005F26B3">
        <w:trPr>
          <w:cnfStyle w:val="000000100000" w:firstRow="0" w:lastRow="0" w:firstColumn="0" w:lastColumn="0" w:oddVBand="0" w:evenVBand="0" w:oddHBand="1" w:evenHBand="0" w:firstRowFirstColumn="0" w:firstRowLastColumn="0" w:lastRowFirstColumn="0" w:lastRowLastColumn="0"/>
          <w:trHeight w:val="200"/>
        </w:trPr>
        <w:tc>
          <w:tcPr>
            <w:tcW w:w="1894" w:type="dxa"/>
            <w:vMerge/>
          </w:tcPr>
          <w:p w:rsidR="005F26B3" w:rsidRDefault="005F26B3" w:rsidP="005F26B3">
            <w:pPr>
              <w:pStyle w:val="TableHeading"/>
            </w:pPr>
          </w:p>
        </w:tc>
        <w:tc>
          <w:tcPr>
            <w:tcW w:w="1587" w:type="dxa"/>
          </w:tcPr>
          <w:p w:rsidR="005F26B3" w:rsidRPr="00610D38" w:rsidRDefault="005F26B3" w:rsidP="005F26B3">
            <w:pPr>
              <w:pStyle w:val="TableHeading"/>
              <w:outlineLvl w:val="6"/>
              <w:rPr>
                <w:color w:val="auto"/>
              </w:rPr>
            </w:pPr>
            <w:r w:rsidRPr="00610D38">
              <w:rPr>
                <w:color w:val="auto"/>
              </w:rPr>
              <w:t>Full</w:t>
            </w:r>
            <w:r w:rsidR="008C0125" w:rsidRPr="00610D38">
              <w:rPr>
                <w:color w:val="auto"/>
              </w:rPr>
              <w:t>-</w:t>
            </w:r>
            <w:r w:rsidRPr="00610D38">
              <w:rPr>
                <w:color w:val="auto"/>
              </w:rPr>
              <w:t>time</w:t>
            </w:r>
          </w:p>
        </w:tc>
        <w:tc>
          <w:tcPr>
            <w:tcW w:w="1591" w:type="dxa"/>
          </w:tcPr>
          <w:p w:rsidR="005F26B3" w:rsidRPr="00610D38" w:rsidRDefault="005F26B3" w:rsidP="005F26B3">
            <w:pPr>
              <w:pStyle w:val="TableHeading"/>
              <w:outlineLvl w:val="6"/>
              <w:rPr>
                <w:color w:val="auto"/>
              </w:rPr>
            </w:pPr>
            <w:r w:rsidRPr="00610D38">
              <w:rPr>
                <w:color w:val="auto"/>
              </w:rPr>
              <w:t>Part</w:t>
            </w:r>
            <w:r w:rsidR="008C0125" w:rsidRPr="00610D38">
              <w:rPr>
                <w:color w:val="auto"/>
              </w:rPr>
              <w:t>-t</w:t>
            </w:r>
            <w:r w:rsidRPr="00610D38">
              <w:rPr>
                <w:color w:val="auto"/>
              </w:rPr>
              <w:t>ime</w:t>
            </w:r>
          </w:p>
        </w:tc>
        <w:tc>
          <w:tcPr>
            <w:tcW w:w="1592" w:type="dxa"/>
          </w:tcPr>
          <w:p w:rsidR="005F26B3" w:rsidRPr="00610D38" w:rsidRDefault="005F26B3" w:rsidP="005F26B3">
            <w:pPr>
              <w:pStyle w:val="TableHeading"/>
              <w:outlineLvl w:val="6"/>
              <w:rPr>
                <w:color w:val="auto"/>
              </w:rPr>
            </w:pPr>
            <w:r w:rsidRPr="00610D38">
              <w:rPr>
                <w:color w:val="auto"/>
              </w:rPr>
              <w:t>Full</w:t>
            </w:r>
            <w:r w:rsidR="008C0125" w:rsidRPr="00610D38">
              <w:rPr>
                <w:color w:val="auto"/>
              </w:rPr>
              <w:t>-t</w:t>
            </w:r>
            <w:r w:rsidRPr="00610D38">
              <w:rPr>
                <w:color w:val="auto"/>
              </w:rPr>
              <w:t>ime</w:t>
            </w:r>
          </w:p>
        </w:tc>
        <w:tc>
          <w:tcPr>
            <w:tcW w:w="1589" w:type="dxa"/>
          </w:tcPr>
          <w:p w:rsidR="005F26B3" w:rsidRPr="00610D38" w:rsidRDefault="005F26B3" w:rsidP="005F26B3">
            <w:pPr>
              <w:pStyle w:val="TableHeading"/>
              <w:outlineLvl w:val="6"/>
              <w:rPr>
                <w:color w:val="auto"/>
              </w:rPr>
            </w:pPr>
            <w:r w:rsidRPr="00610D38">
              <w:rPr>
                <w:color w:val="auto"/>
              </w:rPr>
              <w:t>Part</w:t>
            </w:r>
            <w:r w:rsidR="008C0125" w:rsidRPr="00610D38">
              <w:rPr>
                <w:color w:val="auto"/>
              </w:rPr>
              <w:t>-</w:t>
            </w:r>
            <w:r w:rsidRPr="00610D38">
              <w:rPr>
                <w:color w:val="auto"/>
              </w:rPr>
              <w:t>time</w:t>
            </w:r>
          </w:p>
        </w:tc>
        <w:tc>
          <w:tcPr>
            <w:tcW w:w="1602" w:type="dxa"/>
            <w:vMerge/>
          </w:tcPr>
          <w:p w:rsidR="005F26B3" w:rsidRDefault="005F26B3" w:rsidP="00452014">
            <w:pPr>
              <w:pStyle w:val="BodyText"/>
            </w:pPr>
          </w:p>
        </w:tc>
      </w:tr>
      <w:tr w:rsidR="005F26B3" w:rsidTr="005F26B3">
        <w:tc>
          <w:tcPr>
            <w:tcW w:w="1894" w:type="dxa"/>
          </w:tcPr>
          <w:p w:rsidR="005F26B3" w:rsidRPr="005F26B3" w:rsidRDefault="005F26B3" w:rsidP="005F26B3">
            <w:pPr>
              <w:pStyle w:val="TableText"/>
            </w:pPr>
            <w:r w:rsidRPr="005F26B3">
              <w:t>CEO</w:t>
            </w:r>
          </w:p>
        </w:tc>
        <w:tc>
          <w:tcPr>
            <w:tcW w:w="1587" w:type="dxa"/>
          </w:tcPr>
          <w:p w:rsidR="005F26B3" w:rsidRPr="005F26B3" w:rsidRDefault="005F26B3" w:rsidP="005F26B3">
            <w:pPr>
              <w:pStyle w:val="TableText"/>
            </w:pPr>
            <w:r w:rsidRPr="005F26B3">
              <w:t>1</w:t>
            </w:r>
          </w:p>
        </w:tc>
        <w:tc>
          <w:tcPr>
            <w:tcW w:w="1591" w:type="dxa"/>
          </w:tcPr>
          <w:p w:rsidR="005F26B3" w:rsidRPr="005F26B3" w:rsidRDefault="005F26B3" w:rsidP="005F26B3">
            <w:pPr>
              <w:pStyle w:val="TableText"/>
            </w:pPr>
            <w:r w:rsidRPr="005F26B3">
              <w:t>0</w:t>
            </w:r>
          </w:p>
        </w:tc>
        <w:tc>
          <w:tcPr>
            <w:tcW w:w="1592" w:type="dxa"/>
          </w:tcPr>
          <w:p w:rsidR="005F26B3" w:rsidRPr="005F26B3" w:rsidRDefault="005F26B3" w:rsidP="005F26B3">
            <w:pPr>
              <w:pStyle w:val="TableText"/>
            </w:pPr>
            <w:r w:rsidRPr="005F26B3">
              <w:t>0</w:t>
            </w:r>
          </w:p>
        </w:tc>
        <w:tc>
          <w:tcPr>
            <w:tcW w:w="1589" w:type="dxa"/>
          </w:tcPr>
          <w:p w:rsidR="005F26B3" w:rsidRPr="005F26B3" w:rsidRDefault="005F26B3" w:rsidP="005F26B3">
            <w:pPr>
              <w:pStyle w:val="TableText"/>
            </w:pPr>
            <w:r w:rsidRPr="005F26B3">
              <w:t>0</w:t>
            </w:r>
          </w:p>
        </w:tc>
        <w:tc>
          <w:tcPr>
            <w:tcW w:w="1602" w:type="dxa"/>
          </w:tcPr>
          <w:p w:rsidR="005F26B3" w:rsidRPr="005F26B3" w:rsidRDefault="005F26B3" w:rsidP="005F26B3">
            <w:pPr>
              <w:pStyle w:val="TableText"/>
            </w:pPr>
            <w:r w:rsidRPr="005F26B3">
              <w:t>1</w:t>
            </w:r>
          </w:p>
        </w:tc>
      </w:tr>
      <w:tr w:rsidR="005F26B3" w:rsidTr="005F26B3">
        <w:trPr>
          <w:cnfStyle w:val="000000100000" w:firstRow="0" w:lastRow="0" w:firstColumn="0" w:lastColumn="0" w:oddVBand="0" w:evenVBand="0" w:oddHBand="1" w:evenHBand="0" w:firstRowFirstColumn="0" w:firstRowLastColumn="0" w:lastRowFirstColumn="0" w:lastRowLastColumn="0"/>
        </w:trPr>
        <w:tc>
          <w:tcPr>
            <w:tcW w:w="1894" w:type="dxa"/>
          </w:tcPr>
          <w:p w:rsidR="005F26B3" w:rsidRPr="005F26B3" w:rsidRDefault="005F26B3" w:rsidP="005F26B3">
            <w:pPr>
              <w:pStyle w:val="TableText"/>
            </w:pPr>
            <w:r w:rsidRPr="005F26B3">
              <w:t>SES Band 1</w:t>
            </w:r>
          </w:p>
        </w:tc>
        <w:tc>
          <w:tcPr>
            <w:tcW w:w="1587" w:type="dxa"/>
          </w:tcPr>
          <w:p w:rsidR="005F26B3" w:rsidRPr="005F26B3" w:rsidRDefault="004D6DD2" w:rsidP="005F26B3">
            <w:pPr>
              <w:pStyle w:val="TableText"/>
            </w:pPr>
            <w:r>
              <w:t>1</w:t>
            </w:r>
          </w:p>
        </w:tc>
        <w:tc>
          <w:tcPr>
            <w:tcW w:w="1591" w:type="dxa"/>
          </w:tcPr>
          <w:p w:rsidR="005F26B3" w:rsidRPr="005F26B3" w:rsidRDefault="005F26B3" w:rsidP="005F26B3">
            <w:pPr>
              <w:pStyle w:val="TableText"/>
            </w:pPr>
            <w:r w:rsidRPr="005F26B3">
              <w:t>0</w:t>
            </w:r>
          </w:p>
        </w:tc>
        <w:tc>
          <w:tcPr>
            <w:tcW w:w="1592" w:type="dxa"/>
          </w:tcPr>
          <w:p w:rsidR="005F26B3" w:rsidRPr="005F26B3" w:rsidRDefault="005F26B3" w:rsidP="005F26B3">
            <w:pPr>
              <w:pStyle w:val="TableText"/>
            </w:pPr>
            <w:r w:rsidRPr="005F26B3">
              <w:t>0</w:t>
            </w:r>
          </w:p>
        </w:tc>
        <w:tc>
          <w:tcPr>
            <w:tcW w:w="1589" w:type="dxa"/>
          </w:tcPr>
          <w:p w:rsidR="005F26B3" w:rsidRPr="005F26B3" w:rsidRDefault="005F26B3" w:rsidP="005F26B3">
            <w:pPr>
              <w:pStyle w:val="TableText"/>
            </w:pPr>
            <w:r w:rsidRPr="005F26B3">
              <w:t>0</w:t>
            </w:r>
          </w:p>
        </w:tc>
        <w:tc>
          <w:tcPr>
            <w:tcW w:w="1602" w:type="dxa"/>
          </w:tcPr>
          <w:p w:rsidR="005F26B3" w:rsidRPr="005F26B3" w:rsidRDefault="0074525D" w:rsidP="005F26B3">
            <w:pPr>
              <w:pStyle w:val="TableText"/>
            </w:pPr>
            <w:r>
              <w:t>1</w:t>
            </w:r>
          </w:p>
        </w:tc>
      </w:tr>
      <w:tr w:rsidR="005F26B3" w:rsidTr="005F26B3">
        <w:tc>
          <w:tcPr>
            <w:tcW w:w="1894" w:type="dxa"/>
          </w:tcPr>
          <w:p w:rsidR="005F26B3" w:rsidRPr="005F26B3" w:rsidRDefault="005F26B3" w:rsidP="005F26B3">
            <w:pPr>
              <w:pStyle w:val="TableText"/>
            </w:pPr>
            <w:r w:rsidRPr="005F26B3">
              <w:t>Executive Level 2</w:t>
            </w:r>
          </w:p>
        </w:tc>
        <w:tc>
          <w:tcPr>
            <w:tcW w:w="1587" w:type="dxa"/>
          </w:tcPr>
          <w:p w:rsidR="005F26B3" w:rsidRPr="005F26B3" w:rsidRDefault="00136AAF" w:rsidP="005F26B3">
            <w:pPr>
              <w:pStyle w:val="TableText"/>
            </w:pPr>
            <w:r>
              <w:t>2</w:t>
            </w:r>
          </w:p>
        </w:tc>
        <w:tc>
          <w:tcPr>
            <w:tcW w:w="1591" w:type="dxa"/>
          </w:tcPr>
          <w:p w:rsidR="005F26B3" w:rsidRPr="005F26B3" w:rsidRDefault="004D6DD2" w:rsidP="005F26B3">
            <w:pPr>
              <w:pStyle w:val="TableText"/>
            </w:pPr>
            <w:r>
              <w:t>1</w:t>
            </w:r>
          </w:p>
        </w:tc>
        <w:tc>
          <w:tcPr>
            <w:tcW w:w="1592" w:type="dxa"/>
          </w:tcPr>
          <w:p w:rsidR="005F26B3" w:rsidRPr="005F26B3" w:rsidRDefault="005F26B3" w:rsidP="005F26B3">
            <w:pPr>
              <w:pStyle w:val="TableText"/>
            </w:pPr>
            <w:r w:rsidRPr="005F26B3">
              <w:t>1</w:t>
            </w:r>
          </w:p>
        </w:tc>
        <w:tc>
          <w:tcPr>
            <w:tcW w:w="1589" w:type="dxa"/>
          </w:tcPr>
          <w:p w:rsidR="005F26B3" w:rsidRPr="005F26B3" w:rsidRDefault="005F26B3" w:rsidP="005F26B3">
            <w:pPr>
              <w:pStyle w:val="TableText"/>
            </w:pPr>
            <w:r w:rsidRPr="005F26B3">
              <w:t>0</w:t>
            </w:r>
          </w:p>
        </w:tc>
        <w:tc>
          <w:tcPr>
            <w:tcW w:w="1602" w:type="dxa"/>
          </w:tcPr>
          <w:p w:rsidR="005F26B3" w:rsidRPr="005F26B3" w:rsidRDefault="004D6DD2" w:rsidP="005F26B3">
            <w:pPr>
              <w:pStyle w:val="TableText"/>
            </w:pPr>
            <w:r>
              <w:t>4</w:t>
            </w:r>
          </w:p>
        </w:tc>
      </w:tr>
      <w:tr w:rsidR="005F26B3" w:rsidTr="005F26B3">
        <w:trPr>
          <w:cnfStyle w:val="000000100000" w:firstRow="0" w:lastRow="0" w:firstColumn="0" w:lastColumn="0" w:oddVBand="0" w:evenVBand="0" w:oddHBand="1" w:evenHBand="0" w:firstRowFirstColumn="0" w:firstRowLastColumn="0" w:lastRowFirstColumn="0" w:lastRowLastColumn="0"/>
        </w:trPr>
        <w:tc>
          <w:tcPr>
            <w:tcW w:w="1894" w:type="dxa"/>
          </w:tcPr>
          <w:p w:rsidR="005F26B3" w:rsidRPr="005F26B3" w:rsidRDefault="005F26B3" w:rsidP="005F26B3">
            <w:pPr>
              <w:pStyle w:val="TableText"/>
            </w:pPr>
            <w:r w:rsidRPr="005F26B3">
              <w:t>Executive Level 1</w:t>
            </w:r>
          </w:p>
        </w:tc>
        <w:tc>
          <w:tcPr>
            <w:tcW w:w="1587" w:type="dxa"/>
          </w:tcPr>
          <w:p w:rsidR="005F26B3" w:rsidRPr="005F26B3" w:rsidRDefault="00136AAF" w:rsidP="005F26B3">
            <w:pPr>
              <w:pStyle w:val="TableText"/>
            </w:pPr>
            <w:r>
              <w:t>2</w:t>
            </w:r>
          </w:p>
        </w:tc>
        <w:tc>
          <w:tcPr>
            <w:tcW w:w="1591" w:type="dxa"/>
          </w:tcPr>
          <w:p w:rsidR="005F26B3" w:rsidRPr="005F26B3" w:rsidRDefault="00136AAF" w:rsidP="005F26B3">
            <w:pPr>
              <w:pStyle w:val="TableText"/>
            </w:pPr>
            <w:r>
              <w:t>1</w:t>
            </w:r>
          </w:p>
        </w:tc>
        <w:tc>
          <w:tcPr>
            <w:tcW w:w="1592" w:type="dxa"/>
          </w:tcPr>
          <w:p w:rsidR="005F26B3" w:rsidRPr="005F26B3" w:rsidRDefault="006C0401" w:rsidP="005F26B3">
            <w:pPr>
              <w:pStyle w:val="TableText"/>
            </w:pPr>
            <w:r>
              <w:t>2</w:t>
            </w:r>
          </w:p>
        </w:tc>
        <w:tc>
          <w:tcPr>
            <w:tcW w:w="1589" w:type="dxa"/>
          </w:tcPr>
          <w:p w:rsidR="005F26B3" w:rsidRPr="005F26B3" w:rsidRDefault="005F26B3" w:rsidP="005F26B3">
            <w:pPr>
              <w:pStyle w:val="TableText"/>
            </w:pPr>
            <w:r w:rsidRPr="005F26B3">
              <w:t>0</w:t>
            </w:r>
          </w:p>
        </w:tc>
        <w:tc>
          <w:tcPr>
            <w:tcW w:w="1602" w:type="dxa"/>
          </w:tcPr>
          <w:p w:rsidR="005F26B3" w:rsidRPr="005F26B3" w:rsidRDefault="005C558E" w:rsidP="005F26B3">
            <w:pPr>
              <w:pStyle w:val="TableText"/>
            </w:pPr>
            <w:r>
              <w:t>5</w:t>
            </w:r>
          </w:p>
        </w:tc>
      </w:tr>
      <w:tr w:rsidR="005F26B3" w:rsidTr="005F26B3">
        <w:tc>
          <w:tcPr>
            <w:tcW w:w="1894" w:type="dxa"/>
          </w:tcPr>
          <w:p w:rsidR="005F26B3" w:rsidRPr="005F26B3" w:rsidRDefault="005F26B3" w:rsidP="005F26B3">
            <w:pPr>
              <w:pStyle w:val="TableText"/>
            </w:pPr>
            <w:r w:rsidRPr="005F26B3">
              <w:t>APS 6</w:t>
            </w:r>
          </w:p>
        </w:tc>
        <w:tc>
          <w:tcPr>
            <w:tcW w:w="1587" w:type="dxa"/>
          </w:tcPr>
          <w:p w:rsidR="005F26B3" w:rsidRPr="005F26B3" w:rsidRDefault="005F373A" w:rsidP="005F26B3">
            <w:pPr>
              <w:pStyle w:val="TableText"/>
            </w:pPr>
            <w:r>
              <w:t>1</w:t>
            </w:r>
          </w:p>
        </w:tc>
        <w:tc>
          <w:tcPr>
            <w:tcW w:w="1591" w:type="dxa"/>
          </w:tcPr>
          <w:p w:rsidR="005F26B3" w:rsidRPr="005F26B3" w:rsidRDefault="006C0401" w:rsidP="00610D38">
            <w:pPr>
              <w:pStyle w:val="TableText"/>
              <w:tabs>
                <w:tab w:val="left" w:pos="878"/>
              </w:tabs>
              <w:rPr>
                <w:i/>
                <w:iCs/>
              </w:rPr>
            </w:pPr>
            <w:r>
              <w:t>1</w:t>
            </w:r>
          </w:p>
        </w:tc>
        <w:tc>
          <w:tcPr>
            <w:tcW w:w="1592" w:type="dxa"/>
          </w:tcPr>
          <w:p w:rsidR="005F26B3" w:rsidRPr="005F26B3" w:rsidRDefault="005C558E" w:rsidP="005F26B3">
            <w:pPr>
              <w:pStyle w:val="TableText"/>
            </w:pPr>
            <w:r>
              <w:t>1</w:t>
            </w:r>
          </w:p>
        </w:tc>
        <w:tc>
          <w:tcPr>
            <w:tcW w:w="1589" w:type="dxa"/>
          </w:tcPr>
          <w:p w:rsidR="005F26B3" w:rsidRPr="005F26B3" w:rsidRDefault="005F26B3" w:rsidP="005F26B3">
            <w:pPr>
              <w:pStyle w:val="TableText"/>
            </w:pPr>
            <w:r w:rsidRPr="005F26B3">
              <w:t>0</w:t>
            </w:r>
          </w:p>
        </w:tc>
        <w:tc>
          <w:tcPr>
            <w:tcW w:w="1602" w:type="dxa"/>
          </w:tcPr>
          <w:p w:rsidR="005F26B3" w:rsidRPr="005F26B3" w:rsidRDefault="006C0401" w:rsidP="005F26B3">
            <w:pPr>
              <w:pStyle w:val="TableText"/>
            </w:pPr>
            <w:r>
              <w:t>3</w:t>
            </w:r>
          </w:p>
        </w:tc>
      </w:tr>
      <w:tr w:rsidR="005F26B3" w:rsidTr="005F26B3">
        <w:trPr>
          <w:cnfStyle w:val="000000100000" w:firstRow="0" w:lastRow="0" w:firstColumn="0" w:lastColumn="0" w:oddVBand="0" w:evenVBand="0" w:oddHBand="1" w:evenHBand="0" w:firstRowFirstColumn="0" w:firstRowLastColumn="0" w:lastRowFirstColumn="0" w:lastRowLastColumn="0"/>
        </w:trPr>
        <w:tc>
          <w:tcPr>
            <w:tcW w:w="1894" w:type="dxa"/>
          </w:tcPr>
          <w:p w:rsidR="005F26B3" w:rsidRPr="005F26B3" w:rsidRDefault="005F26B3" w:rsidP="005F26B3">
            <w:pPr>
              <w:pStyle w:val="TableText"/>
            </w:pPr>
            <w:r w:rsidRPr="005F26B3">
              <w:t>APS 5</w:t>
            </w:r>
          </w:p>
        </w:tc>
        <w:tc>
          <w:tcPr>
            <w:tcW w:w="1587" w:type="dxa"/>
          </w:tcPr>
          <w:p w:rsidR="005F26B3" w:rsidRPr="005F26B3" w:rsidRDefault="005F373A" w:rsidP="005F26B3">
            <w:pPr>
              <w:pStyle w:val="TableText"/>
            </w:pPr>
            <w:r>
              <w:t>2</w:t>
            </w:r>
          </w:p>
        </w:tc>
        <w:tc>
          <w:tcPr>
            <w:tcW w:w="1591" w:type="dxa"/>
          </w:tcPr>
          <w:p w:rsidR="005F26B3" w:rsidRPr="005F26B3" w:rsidRDefault="005F26B3" w:rsidP="005F26B3">
            <w:pPr>
              <w:pStyle w:val="TableText"/>
            </w:pPr>
            <w:r w:rsidRPr="005F26B3">
              <w:t>0</w:t>
            </w:r>
          </w:p>
        </w:tc>
        <w:tc>
          <w:tcPr>
            <w:tcW w:w="1592" w:type="dxa"/>
          </w:tcPr>
          <w:p w:rsidR="005F26B3" w:rsidRPr="005F26B3" w:rsidRDefault="005C558E" w:rsidP="005F26B3">
            <w:pPr>
              <w:pStyle w:val="TableText"/>
            </w:pPr>
            <w:r>
              <w:t>1</w:t>
            </w:r>
          </w:p>
        </w:tc>
        <w:tc>
          <w:tcPr>
            <w:tcW w:w="1589" w:type="dxa"/>
          </w:tcPr>
          <w:p w:rsidR="005F26B3" w:rsidRPr="005F26B3" w:rsidRDefault="005F26B3" w:rsidP="005F26B3">
            <w:pPr>
              <w:pStyle w:val="TableText"/>
            </w:pPr>
            <w:r w:rsidRPr="005F26B3">
              <w:t>0</w:t>
            </w:r>
          </w:p>
        </w:tc>
        <w:tc>
          <w:tcPr>
            <w:tcW w:w="1602" w:type="dxa"/>
          </w:tcPr>
          <w:p w:rsidR="005F26B3" w:rsidRPr="005F26B3" w:rsidRDefault="005F373A" w:rsidP="005F26B3">
            <w:pPr>
              <w:pStyle w:val="TableText"/>
            </w:pPr>
            <w:r>
              <w:t>3</w:t>
            </w:r>
          </w:p>
        </w:tc>
      </w:tr>
      <w:tr w:rsidR="005F26B3" w:rsidTr="005F26B3">
        <w:tc>
          <w:tcPr>
            <w:tcW w:w="1894" w:type="dxa"/>
          </w:tcPr>
          <w:p w:rsidR="005F26B3" w:rsidRPr="005F26B3" w:rsidRDefault="005F26B3" w:rsidP="005F26B3">
            <w:pPr>
              <w:pStyle w:val="TableText"/>
            </w:pPr>
            <w:r w:rsidRPr="005F26B3">
              <w:t>APS 1</w:t>
            </w:r>
            <w:r w:rsidR="008C0125">
              <w:t>–</w:t>
            </w:r>
            <w:r w:rsidRPr="005F26B3">
              <w:t>4</w:t>
            </w:r>
          </w:p>
        </w:tc>
        <w:tc>
          <w:tcPr>
            <w:tcW w:w="1587" w:type="dxa"/>
          </w:tcPr>
          <w:p w:rsidR="005F26B3" w:rsidRPr="005F26B3" w:rsidRDefault="005F26B3" w:rsidP="005F26B3">
            <w:pPr>
              <w:pStyle w:val="TableText"/>
            </w:pPr>
            <w:r w:rsidRPr="005F26B3">
              <w:t>0</w:t>
            </w:r>
          </w:p>
        </w:tc>
        <w:tc>
          <w:tcPr>
            <w:tcW w:w="1591" w:type="dxa"/>
          </w:tcPr>
          <w:p w:rsidR="005F26B3" w:rsidRPr="005F26B3" w:rsidRDefault="005F26B3" w:rsidP="005F26B3">
            <w:pPr>
              <w:pStyle w:val="TableText"/>
            </w:pPr>
            <w:r w:rsidRPr="005F26B3">
              <w:t>0</w:t>
            </w:r>
          </w:p>
        </w:tc>
        <w:tc>
          <w:tcPr>
            <w:tcW w:w="1592" w:type="dxa"/>
          </w:tcPr>
          <w:p w:rsidR="005F26B3" w:rsidRPr="005F26B3" w:rsidRDefault="005F26B3" w:rsidP="005F26B3">
            <w:pPr>
              <w:pStyle w:val="TableText"/>
            </w:pPr>
            <w:r w:rsidRPr="005F26B3">
              <w:t>0</w:t>
            </w:r>
          </w:p>
        </w:tc>
        <w:tc>
          <w:tcPr>
            <w:tcW w:w="1589" w:type="dxa"/>
          </w:tcPr>
          <w:p w:rsidR="005F26B3" w:rsidRPr="005F26B3" w:rsidRDefault="005F26B3" w:rsidP="005F26B3">
            <w:pPr>
              <w:pStyle w:val="TableText"/>
            </w:pPr>
            <w:r w:rsidRPr="005F26B3">
              <w:t>0</w:t>
            </w:r>
          </w:p>
        </w:tc>
        <w:tc>
          <w:tcPr>
            <w:tcW w:w="1602" w:type="dxa"/>
          </w:tcPr>
          <w:p w:rsidR="005F26B3" w:rsidRPr="005F26B3" w:rsidRDefault="005F26B3" w:rsidP="005F26B3">
            <w:pPr>
              <w:pStyle w:val="TableText"/>
            </w:pPr>
            <w:r w:rsidRPr="005F26B3">
              <w:t>0</w:t>
            </w:r>
          </w:p>
        </w:tc>
      </w:tr>
    </w:tbl>
    <w:p w:rsidR="005F26B3" w:rsidRDefault="005F26B3" w:rsidP="006E1F82">
      <w:pPr>
        <w:pStyle w:val="Caption"/>
      </w:pPr>
    </w:p>
    <w:p w:rsidR="00452014" w:rsidRDefault="008B2014" w:rsidP="006E1F82">
      <w:pPr>
        <w:pStyle w:val="Caption"/>
      </w:pPr>
      <w:r>
        <w:t>Table 5.</w:t>
      </w:r>
      <w:r w:rsidR="001925A4">
        <w:t>4</w:t>
      </w:r>
      <w:r w:rsidR="0033053E">
        <w:t>: Climate C</w:t>
      </w:r>
      <w:r w:rsidR="00142F08">
        <w:t xml:space="preserve">hange Authority </w:t>
      </w:r>
      <w:r w:rsidR="00875725">
        <w:t xml:space="preserve">salary structures, </w:t>
      </w:r>
      <w:r w:rsidR="00142F08">
        <w:t>30 June 2015</w:t>
      </w:r>
    </w:p>
    <w:tbl>
      <w:tblPr>
        <w:tblStyle w:val="CCATable"/>
        <w:tblW w:w="0" w:type="auto"/>
        <w:tblLook w:val="04A0" w:firstRow="1" w:lastRow="0" w:firstColumn="1" w:lastColumn="0" w:noHBand="0" w:noVBand="1"/>
      </w:tblPr>
      <w:tblGrid>
        <w:gridCol w:w="4828"/>
        <w:gridCol w:w="4801"/>
      </w:tblGrid>
      <w:tr w:rsidR="006E1F82" w:rsidTr="00521939">
        <w:trPr>
          <w:cnfStyle w:val="100000000000" w:firstRow="1" w:lastRow="0" w:firstColumn="0" w:lastColumn="0" w:oddVBand="0" w:evenVBand="0" w:oddHBand="0" w:evenHBand="0" w:firstRowFirstColumn="0" w:firstRowLastColumn="0" w:lastRowFirstColumn="0" w:lastRowLastColumn="0"/>
        </w:trPr>
        <w:tc>
          <w:tcPr>
            <w:tcW w:w="4927" w:type="dxa"/>
          </w:tcPr>
          <w:p w:rsidR="006E1F82" w:rsidRDefault="00BC22AC" w:rsidP="006E1F82">
            <w:pPr>
              <w:pStyle w:val="TableHeading"/>
            </w:pPr>
            <w:r>
              <w:t>CLASSIFICATION</w:t>
            </w:r>
          </w:p>
        </w:tc>
        <w:tc>
          <w:tcPr>
            <w:tcW w:w="4928" w:type="dxa"/>
          </w:tcPr>
          <w:p w:rsidR="006E1F82" w:rsidRDefault="0028663E" w:rsidP="0028663E">
            <w:pPr>
              <w:pStyle w:val="TableHeading"/>
            </w:pPr>
            <w:r>
              <w:t xml:space="preserve">SALARY RANGE </w:t>
            </w:r>
          </w:p>
        </w:tc>
      </w:tr>
      <w:tr w:rsidR="006E1F82" w:rsidTr="006E1F82">
        <w:trPr>
          <w:cnfStyle w:val="000000100000" w:firstRow="0" w:lastRow="0" w:firstColumn="0" w:lastColumn="0" w:oddVBand="0" w:evenVBand="0" w:oddHBand="1" w:evenHBand="0" w:firstRowFirstColumn="0" w:firstRowLastColumn="0" w:lastRowFirstColumn="0" w:lastRowLastColumn="0"/>
        </w:trPr>
        <w:tc>
          <w:tcPr>
            <w:tcW w:w="4927" w:type="dxa"/>
          </w:tcPr>
          <w:p w:rsidR="006E1F82" w:rsidRDefault="0028663E" w:rsidP="006E1F82">
            <w:pPr>
              <w:pStyle w:val="TableText"/>
            </w:pPr>
            <w:r>
              <w:t>Executive Level 2</w:t>
            </w:r>
          </w:p>
        </w:tc>
        <w:tc>
          <w:tcPr>
            <w:tcW w:w="4928" w:type="dxa"/>
          </w:tcPr>
          <w:p w:rsidR="006E1F82" w:rsidRDefault="0028663E" w:rsidP="006E1F82">
            <w:pPr>
              <w:pStyle w:val="TableText"/>
            </w:pPr>
            <w:r>
              <w:t>$113</w:t>
            </w:r>
            <w:r w:rsidR="008C0125">
              <w:t>,</w:t>
            </w:r>
            <w:r>
              <w:t>950</w:t>
            </w:r>
            <w:r w:rsidR="008C0125">
              <w:t>–</w:t>
            </w:r>
            <w:r>
              <w:t>150</w:t>
            </w:r>
            <w:r w:rsidR="008C0125">
              <w:t>,</w:t>
            </w:r>
            <w:r>
              <w:t xml:space="preserve">343 </w:t>
            </w:r>
          </w:p>
        </w:tc>
      </w:tr>
      <w:tr w:rsidR="006E1F82" w:rsidTr="006E1F82">
        <w:tc>
          <w:tcPr>
            <w:tcW w:w="4927" w:type="dxa"/>
          </w:tcPr>
          <w:p w:rsidR="006E1F82" w:rsidRDefault="0028663E" w:rsidP="006E1F82">
            <w:pPr>
              <w:pStyle w:val="TableText"/>
            </w:pPr>
            <w:r>
              <w:t>Executive Level 1</w:t>
            </w:r>
          </w:p>
        </w:tc>
        <w:tc>
          <w:tcPr>
            <w:tcW w:w="4928" w:type="dxa"/>
          </w:tcPr>
          <w:p w:rsidR="006E1F82" w:rsidRDefault="0028663E" w:rsidP="006E1F82">
            <w:pPr>
              <w:pStyle w:val="TableText"/>
            </w:pPr>
            <w:r>
              <w:t>$95</w:t>
            </w:r>
            <w:r w:rsidR="008C0125">
              <w:t>,</w:t>
            </w:r>
            <w:r>
              <w:t>456</w:t>
            </w:r>
            <w:r w:rsidR="008C0125">
              <w:t>–</w:t>
            </w:r>
            <w:r>
              <w:t>121</w:t>
            </w:r>
            <w:r w:rsidR="008C0125">
              <w:t>,</w:t>
            </w:r>
            <w:r>
              <w:t>611</w:t>
            </w:r>
          </w:p>
        </w:tc>
      </w:tr>
      <w:tr w:rsidR="006E1F82" w:rsidTr="006E1F82">
        <w:trPr>
          <w:cnfStyle w:val="000000100000" w:firstRow="0" w:lastRow="0" w:firstColumn="0" w:lastColumn="0" w:oddVBand="0" w:evenVBand="0" w:oddHBand="1" w:evenHBand="0" w:firstRowFirstColumn="0" w:firstRowLastColumn="0" w:lastRowFirstColumn="0" w:lastRowLastColumn="0"/>
        </w:trPr>
        <w:tc>
          <w:tcPr>
            <w:tcW w:w="4927" w:type="dxa"/>
          </w:tcPr>
          <w:p w:rsidR="006E1F82" w:rsidRDefault="0028663E" w:rsidP="006E1F82">
            <w:pPr>
              <w:pStyle w:val="TableText"/>
            </w:pPr>
            <w:r>
              <w:t>APS 6</w:t>
            </w:r>
          </w:p>
        </w:tc>
        <w:tc>
          <w:tcPr>
            <w:tcW w:w="4928" w:type="dxa"/>
          </w:tcPr>
          <w:p w:rsidR="006E1F82" w:rsidRDefault="0028663E" w:rsidP="006E1F82">
            <w:pPr>
              <w:pStyle w:val="TableText"/>
            </w:pPr>
            <w:r>
              <w:t>$77</w:t>
            </w:r>
            <w:r w:rsidR="00094638">
              <w:t>,</w:t>
            </w:r>
            <w:r>
              <w:t>558</w:t>
            </w:r>
            <w:r w:rsidR="00094638">
              <w:t>–</w:t>
            </w:r>
            <w:r>
              <w:t>91</w:t>
            </w:r>
            <w:r w:rsidR="00094638">
              <w:t>,</w:t>
            </w:r>
            <w:r>
              <w:t>877</w:t>
            </w:r>
          </w:p>
        </w:tc>
      </w:tr>
      <w:tr w:rsidR="006E1F82" w:rsidTr="006E1F82">
        <w:tc>
          <w:tcPr>
            <w:tcW w:w="4927" w:type="dxa"/>
          </w:tcPr>
          <w:p w:rsidR="006E1F82" w:rsidRDefault="0028663E" w:rsidP="006E1F82">
            <w:pPr>
              <w:pStyle w:val="TableText"/>
            </w:pPr>
            <w:r>
              <w:t>APS 5</w:t>
            </w:r>
          </w:p>
        </w:tc>
        <w:tc>
          <w:tcPr>
            <w:tcW w:w="4928" w:type="dxa"/>
          </w:tcPr>
          <w:p w:rsidR="006E1F82" w:rsidRDefault="0028663E" w:rsidP="006E1F82">
            <w:pPr>
              <w:pStyle w:val="TableText"/>
            </w:pPr>
            <w:r>
              <w:t>$70</w:t>
            </w:r>
            <w:r w:rsidR="00094638">
              <w:t>,</w:t>
            </w:r>
            <w:r>
              <w:t>995</w:t>
            </w:r>
            <w:r w:rsidR="00094638">
              <w:t>–</w:t>
            </w:r>
            <w:r>
              <w:t>76</w:t>
            </w:r>
            <w:r w:rsidR="00094638">
              <w:t>,</w:t>
            </w:r>
            <w:r>
              <w:t>067</w:t>
            </w:r>
          </w:p>
        </w:tc>
      </w:tr>
      <w:tr w:rsidR="006E1F82" w:rsidTr="006E1F82">
        <w:trPr>
          <w:cnfStyle w:val="000000100000" w:firstRow="0" w:lastRow="0" w:firstColumn="0" w:lastColumn="0" w:oddVBand="0" w:evenVBand="0" w:oddHBand="1" w:evenHBand="0" w:firstRowFirstColumn="0" w:firstRowLastColumn="0" w:lastRowFirstColumn="0" w:lastRowLastColumn="0"/>
        </w:trPr>
        <w:tc>
          <w:tcPr>
            <w:tcW w:w="4927" w:type="dxa"/>
          </w:tcPr>
          <w:p w:rsidR="006E1F82" w:rsidRDefault="0028663E" w:rsidP="006E1F82">
            <w:pPr>
              <w:pStyle w:val="TableText"/>
            </w:pPr>
            <w:r>
              <w:t>APS 4</w:t>
            </w:r>
          </w:p>
        </w:tc>
        <w:tc>
          <w:tcPr>
            <w:tcW w:w="4928" w:type="dxa"/>
          </w:tcPr>
          <w:p w:rsidR="006E1F82" w:rsidRDefault="0028663E" w:rsidP="006E1F82">
            <w:pPr>
              <w:pStyle w:val="TableText"/>
            </w:pPr>
            <w:r>
              <w:t>$65</w:t>
            </w:r>
            <w:r w:rsidR="00094638">
              <w:t>,</w:t>
            </w:r>
            <w:r>
              <w:t>029</w:t>
            </w:r>
            <w:r w:rsidR="00094638">
              <w:t>–</w:t>
            </w:r>
            <w:r>
              <w:t>69</w:t>
            </w:r>
            <w:r w:rsidR="00094638">
              <w:t>,</w:t>
            </w:r>
            <w:r>
              <w:t>802</w:t>
            </w:r>
          </w:p>
        </w:tc>
      </w:tr>
      <w:tr w:rsidR="006E1F82" w:rsidTr="006E1F82">
        <w:tc>
          <w:tcPr>
            <w:tcW w:w="4927" w:type="dxa"/>
          </w:tcPr>
          <w:p w:rsidR="006E1F82" w:rsidRDefault="0028663E" w:rsidP="006E1F82">
            <w:pPr>
              <w:pStyle w:val="TableText"/>
            </w:pPr>
            <w:r>
              <w:t>APS 3</w:t>
            </w:r>
          </w:p>
        </w:tc>
        <w:tc>
          <w:tcPr>
            <w:tcW w:w="4928" w:type="dxa"/>
          </w:tcPr>
          <w:p w:rsidR="006E1F82" w:rsidRDefault="0028663E" w:rsidP="006E1F82">
            <w:pPr>
              <w:pStyle w:val="TableText"/>
            </w:pPr>
            <w:r>
              <w:t>$57</w:t>
            </w:r>
            <w:r w:rsidR="00094638">
              <w:t>,</w:t>
            </w:r>
            <w:r>
              <w:t>870</w:t>
            </w:r>
            <w:r w:rsidR="00094638">
              <w:t>–</w:t>
            </w:r>
            <w:r>
              <w:t>63</w:t>
            </w:r>
            <w:r w:rsidR="00094638">
              <w:t>,</w:t>
            </w:r>
            <w:r>
              <w:t>836</w:t>
            </w:r>
          </w:p>
        </w:tc>
      </w:tr>
      <w:tr w:rsidR="006E1F82" w:rsidTr="006E1F82">
        <w:trPr>
          <w:cnfStyle w:val="000000100000" w:firstRow="0" w:lastRow="0" w:firstColumn="0" w:lastColumn="0" w:oddVBand="0" w:evenVBand="0" w:oddHBand="1" w:evenHBand="0" w:firstRowFirstColumn="0" w:firstRowLastColumn="0" w:lastRowFirstColumn="0" w:lastRowLastColumn="0"/>
        </w:trPr>
        <w:tc>
          <w:tcPr>
            <w:tcW w:w="4927" w:type="dxa"/>
          </w:tcPr>
          <w:p w:rsidR="006E1F82" w:rsidRDefault="0028663E" w:rsidP="006E1F82">
            <w:pPr>
              <w:pStyle w:val="TableText"/>
            </w:pPr>
            <w:r>
              <w:t>APS 2</w:t>
            </w:r>
          </w:p>
        </w:tc>
        <w:tc>
          <w:tcPr>
            <w:tcW w:w="4928" w:type="dxa"/>
          </w:tcPr>
          <w:p w:rsidR="006E1F82" w:rsidRDefault="0028663E" w:rsidP="006E1F82">
            <w:pPr>
              <w:pStyle w:val="TableText"/>
            </w:pPr>
            <w:r>
              <w:t>$51</w:t>
            </w:r>
            <w:r w:rsidR="00094638">
              <w:t>,</w:t>
            </w:r>
            <w:r>
              <w:t>997</w:t>
            </w:r>
            <w:r w:rsidR="00094638">
              <w:t>–</w:t>
            </w:r>
            <w:r>
              <w:t>56</w:t>
            </w:r>
            <w:r w:rsidR="00094638">
              <w:t>,</w:t>
            </w:r>
            <w:r>
              <w:t>677</w:t>
            </w:r>
          </w:p>
        </w:tc>
      </w:tr>
      <w:tr w:rsidR="006E1F82" w:rsidTr="006E1F82">
        <w:tc>
          <w:tcPr>
            <w:tcW w:w="4927" w:type="dxa"/>
          </w:tcPr>
          <w:p w:rsidR="006E1F82" w:rsidRDefault="0028663E" w:rsidP="006E1F82">
            <w:pPr>
              <w:pStyle w:val="TableText"/>
            </w:pPr>
            <w:r>
              <w:t>APS 1</w:t>
            </w:r>
          </w:p>
        </w:tc>
        <w:tc>
          <w:tcPr>
            <w:tcW w:w="4928" w:type="dxa"/>
          </w:tcPr>
          <w:p w:rsidR="006E1F82" w:rsidRDefault="0028663E" w:rsidP="006E1F82">
            <w:pPr>
              <w:pStyle w:val="TableText"/>
            </w:pPr>
            <w:r>
              <w:t>$43</w:t>
            </w:r>
            <w:r w:rsidR="00094638">
              <w:t>,</w:t>
            </w:r>
            <w:r>
              <w:t>658</w:t>
            </w:r>
            <w:r w:rsidR="00094638">
              <w:t>–</w:t>
            </w:r>
            <w:r>
              <w:t>50</w:t>
            </w:r>
            <w:r w:rsidR="00094638">
              <w:t>,</w:t>
            </w:r>
            <w:r>
              <w:t>757</w:t>
            </w:r>
          </w:p>
        </w:tc>
      </w:tr>
    </w:tbl>
    <w:p w:rsidR="00C03D6D" w:rsidRPr="00C03D6D" w:rsidRDefault="00C03D6D" w:rsidP="00C03D6D">
      <w:pPr>
        <w:pStyle w:val="Heading3"/>
        <w:numPr>
          <w:ilvl w:val="2"/>
          <w:numId w:val="8"/>
        </w:numPr>
      </w:pPr>
      <w:bookmarkStart w:id="42" w:name="_Toc430464429"/>
      <w:r w:rsidRPr="00C03D6D">
        <w:t xml:space="preserve">REMUNERATION </w:t>
      </w:r>
      <w:r w:rsidR="00DC538E" w:rsidRPr="00C03D6D">
        <w:t>FOR</w:t>
      </w:r>
      <w:r w:rsidR="00DC538E">
        <w:t xml:space="preserve"> CEO AND </w:t>
      </w:r>
      <w:r w:rsidRPr="00C03D6D">
        <w:t>S</w:t>
      </w:r>
      <w:r w:rsidR="00DC538E">
        <w:t xml:space="preserve">ENIOR </w:t>
      </w:r>
      <w:r w:rsidRPr="00C03D6D">
        <w:t>E</w:t>
      </w:r>
      <w:r w:rsidR="00DC538E">
        <w:t xml:space="preserve">XECUTIVE </w:t>
      </w:r>
      <w:r w:rsidRPr="00C03D6D">
        <w:t>S</w:t>
      </w:r>
      <w:r w:rsidR="00DC538E">
        <w:t>ERVICE</w:t>
      </w:r>
      <w:bookmarkEnd w:id="42"/>
    </w:p>
    <w:p w:rsidR="00C03D6D" w:rsidRPr="00C03D6D" w:rsidRDefault="00C03D6D" w:rsidP="00C03D6D">
      <w:pPr>
        <w:pStyle w:val="BodyText"/>
      </w:pPr>
      <w:r w:rsidRPr="00C03D6D">
        <w:t xml:space="preserve">The </w:t>
      </w:r>
      <w:r w:rsidR="00523DDC">
        <w:t>CEO</w:t>
      </w:r>
      <w:r w:rsidRPr="00C03D6D">
        <w:t xml:space="preserve"> is a principal executive office</w:t>
      </w:r>
      <w:r w:rsidR="00030FBD">
        <w:t>-</w:t>
      </w:r>
      <w:r w:rsidRPr="00C03D6D">
        <w:t xml:space="preserve">holder, as defined in the </w:t>
      </w:r>
      <w:r w:rsidRPr="00C03D6D">
        <w:rPr>
          <w:rStyle w:val="Textitalic"/>
        </w:rPr>
        <w:t>Remuneration Tribunal Act 1973</w:t>
      </w:r>
      <w:r w:rsidRPr="00C03D6D">
        <w:t>. The position’s remuneration was set by the then Minister for Climate Change within the salary determination set by the Remuneration Tribunal each year.</w:t>
      </w:r>
    </w:p>
    <w:p w:rsidR="00C03D6D" w:rsidRPr="00C03D6D" w:rsidRDefault="002B3BEE" w:rsidP="00C03D6D">
      <w:pPr>
        <w:pStyle w:val="BodyText"/>
      </w:pPr>
      <w:r>
        <w:lastRenderedPageBreak/>
        <w:t>One</w:t>
      </w:r>
      <w:r w:rsidRPr="00C03D6D">
        <w:t xml:space="preserve"> </w:t>
      </w:r>
      <w:r w:rsidR="00C03D6D" w:rsidRPr="00C03D6D">
        <w:t xml:space="preserve">Senior Executive Service officer </w:t>
      </w:r>
      <w:r w:rsidRPr="00C03D6D">
        <w:t>w</w:t>
      </w:r>
      <w:r>
        <w:t>as</w:t>
      </w:r>
      <w:r w:rsidRPr="00C03D6D">
        <w:t xml:space="preserve"> </w:t>
      </w:r>
      <w:r w:rsidR="00C03D6D" w:rsidRPr="00C03D6D">
        <w:t xml:space="preserve">employed under the </w:t>
      </w:r>
      <w:r w:rsidR="00C03D6D" w:rsidRPr="00B44E1E">
        <w:rPr>
          <w:rStyle w:val="Textitalic"/>
          <w:i w:val="0"/>
        </w:rPr>
        <w:t>Public Service Act</w:t>
      </w:r>
      <w:r w:rsidR="00610D38" w:rsidRPr="00B44E1E">
        <w:rPr>
          <w:rStyle w:val="Textitalic"/>
          <w:i w:val="0"/>
        </w:rPr>
        <w:t xml:space="preserve"> 1999</w:t>
      </w:r>
      <w:r w:rsidR="00030FBD">
        <w:rPr>
          <w:rStyle w:val="Textitalic"/>
        </w:rPr>
        <w:t xml:space="preserve">, </w:t>
      </w:r>
      <w:r w:rsidR="00030FBD" w:rsidRPr="00FE3BBB">
        <w:rPr>
          <w:rStyle w:val="Textitalic"/>
          <w:i w:val="0"/>
        </w:rPr>
        <w:t>with</w:t>
      </w:r>
      <w:r w:rsidR="00C03D6D" w:rsidRPr="00C03D6D">
        <w:t xml:space="preserve"> the </w:t>
      </w:r>
      <w:r w:rsidR="006848AD" w:rsidRPr="00C03D6D">
        <w:t>conditions</w:t>
      </w:r>
      <w:r w:rsidR="006848AD">
        <w:t xml:space="preserve"> of service</w:t>
      </w:r>
      <w:r w:rsidR="00C03D6D" w:rsidRPr="00C03D6D">
        <w:t xml:space="preserve"> set out under the then DCCEE SES Employment Conditions handbook. </w:t>
      </w:r>
      <w:r w:rsidR="00030FBD">
        <w:t>The CEO determines SES r</w:t>
      </w:r>
      <w:r w:rsidR="00C03D6D" w:rsidRPr="00C03D6D">
        <w:t>emuneration in accordance with remuneration guidelines promulgated by the then DCCEE.</w:t>
      </w:r>
      <w:r w:rsidR="00A95549">
        <w:t xml:space="preserve"> </w:t>
      </w:r>
      <w:r>
        <w:t xml:space="preserve">Further details on SES officer and CEO remuneration are at </w:t>
      </w:r>
      <w:r w:rsidRPr="000A0C64">
        <w:rPr>
          <w:b/>
        </w:rPr>
        <w:t xml:space="preserve">Note </w:t>
      </w:r>
      <w:r w:rsidR="00FA26F1">
        <w:rPr>
          <w:b/>
        </w:rPr>
        <w:t>11</w:t>
      </w:r>
      <w:r w:rsidR="005B6C65">
        <w:rPr>
          <w:b/>
        </w:rPr>
        <w:t>,</w:t>
      </w:r>
      <w:r w:rsidRPr="000A0C64">
        <w:rPr>
          <w:b/>
        </w:rPr>
        <w:t xml:space="preserve"> Appendix A</w:t>
      </w:r>
      <w:r>
        <w:t>.</w:t>
      </w:r>
    </w:p>
    <w:p w:rsidR="006E1F82" w:rsidRDefault="00C03D6D" w:rsidP="00C03D6D">
      <w:pPr>
        <w:pStyle w:val="Heading3"/>
      </w:pPr>
      <w:bookmarkStart w:id="43" w:name="_Toc430464430"/>
      <w:r>
        <w:t>REMUNERATION FOR AUTHORITY CHAIR AND MEMBERS</w:t>
      </w:r>
      <w:bookmarkEnd w:id="43"/>
    </w:p>
    <w:p w:rsidR="002B3BEE" w:rsidRPr="0063658E" w:rsidRDefault="00C03D6D" w:rsidP="002B3BEE">
      <w:pPr>
        <w:pStyle w:val="BodyText"/>
        <w:rPr>
          <w:caps/>
          <w:sz w:val="12"/>
        </w:rPr>
      </w:pPr>
      <w:r>
        <w:t xml:space="preserve">The remuneration of </w:t>
      </w:r>
      <w:r w:rsidRPr="00C03D6D">
        <w:t xml:space="preserve">the </w:t>
      </w:r>
      <w:r w:rsidR="00523DDC">
        <w:t>Authority</w:t>
      </w:r>
      <w:r>
        <w:t xml:space="preserve"> </w:t>
      </w:r>
      <w:r w:rsidR="00030FBD">
        <w:t>C</w:t>
      </w:r>
      <w:r>
        <w:t xml:space="preserve">hair and </w:t>
      </w:r>
      <w:r w:rsidR="005B6C65">
        <w:t>m</w:t>
      </w:r>
      <w:r>
        <w:t>embers</w:t>
      </w:r>
      <w:r w:rsidRPr="00C03D6D">
        <w:t xml:space="preserve"> is governed by</w:t>
      </w:r>
      <w:r w:rsidR="00523DDC">
        <w:t xml:space="preserve"> </w:t>
      </w:r>
      <w:r w:rsidR="00523DDC" w:rsidRPr="00523DDC">
        <w:t>section 25</w:t>
      </w:r>
      <w:r w:rsidR="00523DDC">
        <w:t xml:space="preserve"> of</w:t>
      </w:r>
      <w:r w:rsidR="00A230B9">
        <w:t xml:space="preserve"> </w:t>
      </w:r>
      <w:r w:rsidRPr="00C03D6D">
        <w:t xml:space="preserve">the </w:t>
      </w:r>
      <w:r w:rsidRPr="00B44E1E">
        <w:rPr>
          <w:rStyle w:val="Textitalic"/>
          <w:i w:val="0"/>
        </w:rPr>
        <w:t>Climate Change Authority Act</w:t>
      </w:r>
      <w:r w:rsidR="00E61D47" w:rsidRPr="004366BA">
        <w:rPr>
          <w:rStyle w:val="Textitalic"/>
          <w:i w:val="0"/>
        </w:rPr>
        <w:t xml:space="preserve"> 2011</w:t>
      </w:r>
      <w:r w:rsidR="00A230B9" w:rsidRPr="00DD1A80">
        <w:rPr>
          <w:rStyle w:val="Textitalic"/>
          <w:i w:val="0"/>
        </w:rPr>
        <w:t>.</w:t>
      </w:r>
      <w:r w:rsidRPr="00C03D6D">
        <w:t xml:space="preserve"> Authority </w:t>
      </w:r>
      <w:r w:rsidR="005B6C65">
        <w:t>m</w:t>
      </w:r>
      <w:r w:rsidRPr="00C03D6D">
        <w:t xml:space="preserve">embers’ remuneration is determined by the Remuneration Tribunal on a yearly basis. </w:t>
      </w:r>
      <w:r>
        <w:t xml:space="preserve">Authority </w:t>
      </w:r>
      <w:r w:rsidR="005B6C65">
        <w:t>m</w:t>
      </w:r>
      <w:r>
        <w:t xml:space="preserve">embers receive an annual base fee plus meeting fees for attendance at official Authority meetings. </w:t>
      </w:r>
      <w:r w:rsidR="002B3BEE" w:rsidRPr="00863F1A">
        <w:t>The Authorit</w:t>
      </w:r>
      <w:r w:rsidR="00EF49C5">
        <w:t xml:space="preserve">y met </w:t>
      </w:r>
      <w:r w:rsidR="004619B2">
        <w:t>1</w:t>
      </w:r>
      <w:r w:rsidR="0021550B">
        <w:t>3</w:t>
      </w:r>
      <w:r w:rsidR="002B3BEE" w:rsidRPr="00863F1A">
        <w:t xml:space="preserve"> times in 201</w:t>
      </w:r>
      <w:r w:rsidR="00142F08">
        <w:t>4</w:t>
      </w:r>
      <w:r w:rsidR="00030FBD">
        <w:t>–</w:t>
      </w:r>
      <w:r w:rsidR="002B3BEE" w:rsidRPr="00863F1A">
        <w:t>1</w:t>
      </w:r>
      <w:r w:rsidR="00142F08">
        <w:t>5</w:t>
      </w:r>
      <w:r w:rsidR="005B6C65">
        <w:t>, while f</w:t>
      </w:r>
      <w:r w:rsidR="0021550B">
        <w:t>ive meetings occurred out of session and did not give rise to sitting fees.</w:t>
      </w:r>
      <w:r w:rsidR="0063658E">
        <w:t xml:space="preserve"> Professor Ian Chubb is an ex</w:t>
      </w:r>
      <w:r w:rsidR="005B6C65">
        <w:t xml:space="preserve"> </w:t>
      </w:r>
      <w:r w:rsidR="0063658E">
        <w:t xml:space="preserve">officio member of the </w:t>
      </w:r>
      <w:r w:rsidR="0063658E" w:rsidRPr="0063658E">
        <w:t>Authority and as</w:t>
      </w:r>
      <w:r w:rsidR="0063658E">
        <w:t xml:space="preserve"> such is not remunerated for his role. </w:t>
      </w:r>
      <w:r w:rsidR="0063658E" w:rsidRPr="0063658E">
        <w:t xml:space="preserve"> </w:t>
      </w:r>
    </w:p>
    <w:p w:rsidR="00C03D6D" w:rsidRDefault="008B2014" w:rsidP="00C03D6D">
      <w:pPr>
        <w:pStyle w:val="Caption"/>
      </w:pPr>
      <w:r>
        <w:t>Table 5.</w:t>
      </w:r>
      <w:r w:rsidR="00B44E1E">
        <w:t>5</w:t>
      </w:r>
      <w:r w:rsidR="00C03D6D">
        <w:t xml:space="preserve">: Remuneration of </w:t>
      </w:r>
      <w:r w:rsidR="00523DDC">
        <w:t xml:space="preserve">Climate Change </w:t>
      </w:r>
      <w:r w:rsidR="00C03D6D">
        <w:t xml:space="preserve">Authority </w:t>
      </w:r>
      <w:r w:rsidR="00B44E1E">
        <w:t>m</w:t>
      </w:r>
      <w:r w:rsidR="00C03D6D">
        <w:t>embers</w:t>
      </w:r>
      <w:r w:rsidR="00B44E1E">
        <w:t>,</w:t>
      </w:r>
      <w:r w:rsidR="00C03D6D">
        <w:t xml:space="preserve"> 30 June 201</w:t>
      </w:r>
      <w:r w:rsidR="00E27B29">
        <w:t>5</w:t>
      </w:r>
    </w:p>
    <w:tbl>
      <w:tblPr>
        <w:tblStyle w:val="CCATable"/>
        <w:tblW w:w="0" w:type="auto"/>
        <w:tblLook w:val="04A0" w:firstRow="1" w:lastRow="0" w:firstColumn="1" w:lastColumn="0" w:noHBand="0" w:noVBand="1"/>
      </w:tblPr>
      <w:tblGrid>
        <w:gridCol w:w="3210"/>
        <w:gridCol w:w="3210"/>
        <w:gridCol w:w="3209"/>
      </w:tblGrid>
      <w:tr w:rsidR="00C03D6D" w:rsidTr="00521939">
        <w:trPr>
          <w:cnfStyle w:val="100000000000" w:firstRow="1" w:lastRow="0" w:firstColumn="0" w:lastColumn="0" w:oddVBand="0" w:evenVBand="0" w:oddHBand="0" w:evenHBand="0" w:firstRowFirstColumn="0" w:firstRowLastColumn="0" w:lastRowFirstColumn="0" w:lastRowLastColumn="0"/>
        </w:trPr>
        <w:tc>
          <w:tcPr>
            <w:tcW w:w="3285" w:type="dxa"/>
          </w:tcPr>
          <w:p w:rsidR="00C03D6D" w:rsidRDefault="00DD27E5" w:rsidP="00C03D6D">
            <w:pPr>
              <w:pStyle w:val="TableHeading"/>
            </w:pPr>
            <w:r>
              <w:t xml:space="preserve">Member </w:t>
            </w:r>
            <w:r w:rsidR="00030FBD">
              <w:t>s</w:t>
            </w:r>
            <w:r w:rsidR="00C03D6D">
              <w:t>tatus</w:t>
            </w:r>
          </w:p>
        </w:tc>
        <w:tc>
          <w:tcPr>
            <w:tcW w:w="3285" w:type="dxa"/>
          </w:tcPr>
          <w:p w:rsidR="00C03D6D" w:rsidRDefault="00C03D6D" w:rsidP="00C03D6D">
            <w:pPr>
              <w:pStyle w:val="TableHeading"/>
            </w:pPr>
            <w:r>
              <w:t xml:space="preserve">Base </w:t>
            </w:r>
            <w:r w:rsidR="00030FBD">
              <w:t>s</w:t>
            </w:r>
            <w:r>
              <w:t>alary</w:t>
            </w:r>
            <w:r w:rsidR="00030FBD">
              <w:t>—a</w:t>
            </w:r>
            <w:r>
              <w:t>nnual</w:t>
            </w:r>
          </w:p>
        </w:tc>
        <w:tc>
          <w:tcPr>
            <w:tcW w:w="3285" w:type="dxa"/>
          </w:tcPr>
          <w:p w:rsidR="00C03D6D" w:rsidRDefault="00C03D6D" w:rsidP="00C03D6D">
            <w:pPr>
              <w:pStyle w:val="TableHeading"/>
            </w:pPr>
            <w:r>
              <w:t>Meeting fees</w:t>
            </w:r>
          </w:p>
        </w:tc>
      </w:tr>
      <w:tr w:rsidR="00C03D6D" w:rsidTr="00C03D6D">
        <w:trPr>
          <w:cnfStyle w:val="000000100000" w:firstRow="0" w:lastRow="0" w:firstColumn="0" w:lastColumn="0" w:oddVBand="0" w:evenVBand="0" w:oddHBand="1" w:evenHBand="0" w:firstRowFirstColumn="0" w:firstRowLastColumn="0" w:lastRowFirstColumn="0" w:lastRowLastColumn="0"/>
        </w:trPr>
        <w:tc>
          <w:tcPr>
            <w:tcW w:w="3285" w:type="dxa"/>
          </w:tcPr>
          <w:p w:rsidR="00C03D6D" w:rsidRDefault="00C03D6D" w:rsidP="00C03D6D">
            <w:pPr>
              <w:pStyle w:val="TableText"/>
            </w:pPr>
            <w:r>
              <w:t>Chair</w:t>
            </w:r>
          </w:p>
        </w:tc>
        <w:tc>
          <w:tcPr>
            <w:tcW w:w="3285" w:type="dxa"/>
          </w:tcPr>
          <w:p w:rsidR="00C03D6D" w:rsidRDefault="00EF49C5" w:rsidP="00C03D6D">
            <w:pPr>
              <w:pStyle w:val="TableText"/>
            </w:pPr>
            <w:r>
              <w:t>$56</w:t>
            </w:r>
            <w:r w:rsidR="00030FBD">
              <w:t>,</w:t>
            </w:r>
            <w:r>
              <w:t xml:space="preserve">320 </w:t>
            </w:r>
          </w:p>
        </w:tc>
        <w:tc>
          <w:tcPr>
            <w:tcW w:w="3285" w:type="dxa"/>
          </w:tcPr>
          <w:p w:rsidR="00C03D6D" w:rsidRDefault="00EF49C5" w:rsidP="00C03D6D">
            <w:pPr>
              <w:pStyle w:val="TableText"/>
            </w:pPr>
            <w:r>
              <w:t>$1</w:t>
            </w:r>
            <w:r w:rsidR="00030FBD">
              <w:t>,</w:t>
            </w:r>
            <w:r>
              <w:t>076</w:t>
            </w:r>
          </w:p>
        </w:tc>
      </w:tr>
      <w:tr w:rsidR="00C03D6D" w:rsidTr="00C03D6D">
        <w:tc>
          <w:tcPr>
            <w:tcW w:w="3285" w:type="dxa"/>
          </w:tcPr>
          <w:p w:rsidR="00C03D6D" w:rsidRDefault="00DD27E5" w:rsidP="00C03D6D">
            <w:pPr>
              <w:pStyle w:val="TableText"/>
            </w:pPr>
            <w:r>
              <w:t>Members</w:t>
            </w:r>
          </w:p>
        </w:tc>
        <w:tc>
          <w:tcPr>
            <w:tcW w:w="3285" w:type="dxa"/>
          </w:tcPr>
          <w:p w:rsidR="00C03D6D" w:rsidRDefault="00EF49C5" w:rsidP="00C03D6D">
            <w:pPr>
              <w:pStyle w:val="TableText"/>
            </w:pPr>
            <w:r>
              <w:t>$28</w:t>
            </w:r>
            <w:r w:rsidR="00030FBD">
              <w:t>,</w:t>
            </w:r>
            <w:r>
              <w:t>160</w:t>
            </w:r>
          </w:p>
        </w:tc>
        <w:tc>
          <w:tcPr>
            <w:tcW w:w="3285" w:type="dxa"/>
          </w:tcPr>
          <w:p w:rsidR="00C03D6D" w:rsidRDefault="00030FBD" w:rsidP="00C03D6D">
            <w:pPr>
              <w:pStyle w:val="TableText"/>
            </w:pPr>
            <w:r>
              <w:t>$</w:t>
            </w:r>
            <w:r w:rsidR="00EF49C5">
              <w:t>861</w:t>
            </w:r>
          </w:p>
        </w:tc>
      </w:tr>
    </w:tbl>
    <w:p w:rsidR="00930AC0" w:rsidRDefault="00930AC0" w:rsidP="00863F1A">
      <w:pPr>
        <w:pStyle w:val="BodyText"/>
      </w:pPr>
    </w:p>
    <w:p w:rsidR="00D107B5" w:rsidRDefault="006A79A3" w:rsidP="00930AC0">
      <w:pPr>
        <w:pStyle w:val="Caption"/>
      </w:pPr>
      <w:r>
        <w:t>Table 5.</w:t>
      </w:r>
      <w:r w:rsidR="00B44E1E">
        <w:t>6</w:t>
      </w:r>
      <w:r w:rsidR="00030FBD">
        <w:t>:</w:t>
      </w:r>
      <w:r w:rsidR="00930AC0">
        <w:t xml:space="preserve"> </w:t>
      </w:r>
      <w:r w:rsidR="00523DDC">
        <w:t xml:space="preserve">Climate Change </w:t>
      </w:r>
      <w:r w:rsidR="00930AC0">
        <w:t xml:space="preserve">Authority </w:t>
      </w:r>
      <w:r w:rsidR="00B44E1E">
        <w:t>m</w:t>
      </w:r>
      <w:r w:rsidR="00930AC0">
        <w:t xml:space="preserve">ember </w:t>
      </w:r>
      <w:r w:rsidR="00B44E1E">
        <w:t>a</w:t>
      </w:r>
      <w:r w:rsidR="0021550B">
        <w:t xml:space="preserve">ttendance </w:t>
      </w:r>
      <w:r w:rsidR="00B44E1E">
        <w:t>s</w:t>
      </w:r>
      <w:r w:rsidR="0021550B">
        <w:t xml:space="preserve">itting </w:t>
      </w:r>
      <w:r w:rsidR="00B44E1E">
        <w:t>f</w:t>
      </w:r>
      <w:r w:rsidR="0021550B">
        <w:t>ees</w:t>
      </w:r>
      <w:r w:rsidR="00930AC0">
        <w:t xml:space="preserve"> </w:t>
      </w:r>
    </w:p>
    <w:tbl>
      <w:tblPr>
        <w:tblStyle w:val="CCATable"/>
        <w:tblW w:w="0" w:type="auto"/>
        <w:tblLook w:val="04A0" w:firstRow="1" w:lastRow="0" w:firstColumn="1" w:lastColumn="0" w:noHBand="0" w:noVBand="1"/>
      </w:tblPr>
      <w:tblGrid>
        <w:gridCol w:w="3285"/>
        <w:gridCol w:w="3344"/>
      </w:tblGrid>
      <w:tr w:rsidR="00AA4383" w:rsidTr="00521939">
        <w:trPr>
          <w:cnfStyle w:val="100000000000" w:firstRow="1" w:lastRow="0" w:firstColumn="0" w:lastColumn="0" w:oddVBand="0" w:evenVBand="0" w:oddHBand="0" w:evenHBand="0" w:firstRowFirstColumn="0" w:firstRowLastColumn="0" w:lastRowFirstColumn="0" w:lastRowLastColumn="0"/>
        </w:trPr>
        <w:tc>
          <w:tcPr>
            <w:tcW w:w="3285" w:type="dxa"/>
          </w:tcPr>
          <w:p w:rsidR="00AA4383" w:rsidRPr="00316523" w:rsidRDefault="00AA4383" w:rsidP="00316523">
            <w:pPr>
              <w:pStyle w:val="TableHeading"/>
            </w:pPr>
            <w:r>
              <w:t xml:space="preserve">Member </w:t>
            </w:r>
          </w:p>
        </w:tc>
        <w:tc>
          <w:tcPr>
            <w:tcW w:w="3344" w:type="dxa"/>
          </w:tcPr>
          <w:p w:rsidR="00AA4383" w:rsidRDefault="00AA4383" w:rsidP="00316523">
            <w:pPr>
              <w:pStyle w:val="TableHeading"/>
            </w:pPr>
            <w:r>
              <w:t xml:space="preserve">No. of </w:t>
            </w:r>
            <w:r w:rsidR="00030FBD">
              <w:t>m</w:t>
            </w:r>
            <w:r>
              <w:t xml:space="preserve">eetings </w:t>
            </w:r>
            <w:r w:rsidR="00030FBD">
              <w:t>a</w:t>
            </w:r>
            <w:r>
              <w:t>ttended</w:t>
            </w:r>
          </w:p>
        </w:tc>
      </w:tr>
      <w:tr w:rsidR="00AA4383" w:rsidTr="00EA14BE">
        <w:trPr>
          <w:cnfStyle w:val="000000100000" w:firstRow="0" w:lastRow="0" w:firstColumn="0" w:lastColumn="0" w:oddVBand="0" w:evenVBand="0" w:oddHBand="1" w:evenHBand="0" w:firstRowFirstColumn="0" w:firstRowLastColumn="0" w:lastRowFirstColumn="0" w:lastRowLastColumn="0"/>
        </w:trPr>
        <w:tc>
          <w:tcPr>
            <w:tcW w:w="3285" w:type="dxa"/>
          </w:tcPr>
          <w:p w:rsidR="00AA4383" w:rsidRDefault="00AA4383" w:rsidP="00316523">
            <w:pPr>
              <w:pStyle w:val="TableText"/>
            </w:pPr>
            <w:r>
              <w:t>Mr Bernie Fraser (Chair)</w:t>
            </w:r>
          </w:p>
        </w:tc>
        <w:tc>
          <w:tcPr>
            <w:tcW w:w="3344" w:type="dxa"/>
          </w:tcPr>
          <w:p w:rsidR="00AA4383" w:rsidRPr="00316523" w:rsidRDefault="0021550B" w:rsidP="00316523">
            <w:pPr>
              <w:pStyle w:val="TableText"/>
            </w:pPr>
            <w:r>
              <w:t>7</w:t>
            </w:r>
          </w:p>
        </w:tc>
      </w:tr>
      <w:tr w:rsidR="00AA4383" w:rsidTr="00EA14BE">
        <w:tc>
          <w:tcPr>
            <w:tcW w:w="3285" w:type="dxa"/>
          </w:tcPr>
          <w:p w:rsidR="00AA4383" w:rsidRDefault="00AA4383" w:rsidP="00316523">
            <w:pPr>
              <w:pStyle w:val="TableText"/>
            </w:pPr>
            <w:r>
              <w:t>Professor Clive Hamilton</w:t>
            </w:r>
          </w:p>
        </w:tc>
        <w:tc>
          <w:tcPr>
            <w:tcW w:w="3344" w:type="dxa"/>
          </w:tcPr>
          <w:p w:rsidR="00AA4383" w:rsidRPr="00316523" w:rsidRDefault="0021550B" w:rsidP="00316523">
            <w:pPr>
              <w:pStyle w:val="TableText"/>
            </w:pPr>
            <w:r>
              <w:t>8</w:t>
            </w:r>
          </w:p>
        </w:tc>
      </w:tr>
      <w:tr w:rsidR="00AA4383" w:rsidTr="00EA14BE">
        <w:trPr>
          <w:cnfStyle w:val="000000100000" w:firstRow="0" w:lastRow="0" w:firstColumn="0" w:lastColumn="0" w:oddVBand="0" w:evenVBand="0" w:oddHBand="1" w:evenHBand="0" w:firstRowFirstColumn="0" w:firstRowLastColumn="0" w:lastRowFirstColumn="0" w:lastRowLastColumn="0"/>
        </w:trPr>
        <w:tc>
          <w:tcPr>
            <w:tcW w:w="3285" w:type="dxa"/>
          </w:tcPr>
          <w:p w:rsidR="00AA4383" w:rsidRDefault="00AA4383" w:rsidP="00316523">
            <w:pPr>
              <w:pStyle w:val="TableText"/>
            </w:pPr>
            <w:r>
              <w:t>Professor David Karoly</w:t>
            </w:r>
          </w:p>
        </w:tc>
        <w:tc>
          <w:tcPr>
            <w:tcW w:w="3344" w:type="dxa"/>
          </w:tcPr>
          <w:p w:rsidR="00AA4383" w:rsidRPr="00316523" w:rsidRDefault="0021550B" w:rsidP="00316523">
            <w:pPr>
              <w:pStyle w:val="TableText"/>
            </w:pPr>
            <w:r>
              <w:t>7</w:t>
            </w:r>
          </w:p>
        </w:tc>
      </w:tr>
      <w:tr w:rsidR="00AA4383" w:rsidTr="00EA14BE">
        <w:tc>
          <w:tcPr>
            <w:tcW w:w="3285" w:type="dxa"/>
          </w:tcPr>
          <w:p w:rsidR="00AA4383" w:rsidRDefault="00AA4383" w:rsidP="00316523">
            <w:pPr>
              <w:pStyle w:val="TableText"/>
            </w:pPr>
            <w:r>
              <w:t>Professor John Quiggin</w:t>
            </w:r>
          </w:p>
        </w:tc>
        <w:tc>
          <w:tcPr>
            <w:tcW w:w="3344" w:type="dxa"/>
          </w:tcPr>
          <w:p w:rsidR="00AA4383" w:rsidRPr="00316523" w:rsidRDefault="0021550B" w:rsidP="00316523">
            <w:pPr>
              <w:pStyle w:val="TableText"/>
            </w:pPr>
            <w:r>
              <w:t>7</w:t>
            </w:r>
          </w:p>
        </w:tc>
      </w:tr>
    </w:tbl>
    <w:p w:rsidR="009D77B4" w:rsidRDefault="00BC22AC" w:rsidP="009D77B4">
      <w:pPr>
        <w:pStyle w:val="Heading3"/>
      </w:pPr>
      <w:bookmarkStart w:id="44" w:name="_Toc430464431"/>
      <w:r>
        <w:t>E</w:t>
      </w:r>
      <w:r w:rsidR="009D77B4">
        <w:t>MPLOYMENT ARRANGEMENTS</w:t>
      </w:r>
      <w:bookmarkEnd w:id="44"/>
    </w:p>
    <w:p w:rsidR="00A42B96" w:rsidRDefault="00865E0E" w:rsidP="00875725">
      <w:pPr>
        <w:pStyle w:val="BodyText"/>
      </w:pPr>
      <w:r>
        <w:t xml:space="preserve">Upon establishment, the CEO of the Authority made a determination under </w:t>
      </w:r>
      <w:r w:rsidR="005D1510">
        <w:t>sub</w:t>
      </w:r>
      <w:r>
        <w:t xml:space="preserve">section 24(1) of the </w:t>
      </w:r>
      <w:r w:rsidRPr="00B44E1E">
        <w:rPr>
          <w:rStyle w:val="Textitalic"/>
          <w:i w:val="0"/>
        </w:rPr>
        <w:t>Public Service Act</w:t>
      </w:r>
      <w:r w:rsidR="00E61D47" w:rsidRPr="004366BA">
        <w:rPr>
          <w:rStyle w:val="Textitalic"/>
          <w:i w:val="0"/>
        </w:rPr>
        <w:t xml:space="preserve"> </w:t>
      </w:r>
      <w:r w:rsidR="00E61D47" w:rsidRPr="00B44E1E">
        <w:rPr>
          <w:rStyle w:val="Textitalic"/>
          <w:i w:val="0"/>
        </w:rPr>
        <w:t>1999</w:t>
      </w:r>
      <w:r w:rsidRPr="008215E1">
        <w:rPr>
          <w:rStyle w:val="Textitalic"/>
          <w:i w:val="0"/>
        </w:rPr>
        <w:t xml:space="preserve">. The </w:t>
      </w:r>
      <w:r w:rsidRPr="003C2690">
        <w:rPr>
          <w:rStyle w:val="Textitalic"/>
          <w:i w:val="0"/>
        </w:rPr>
        <w:t>determina</w:t>
      </w:r>
      <w:r w:rsidR="008215E1" w:rsidRPr="003C2690">
        <w:rPr>
          <w:rStyle w:val="Textitalic"/>
          <w:i w:val="0"/>
        </w:rPr>
        <w:t>tion</w:t>
      </w:r>
      <w:r w:rsidR="008215E1">
        <w:rPr>
          <w:rStyle w:val="Textitalic"/>
          <w:i w:val="0"/>
        </w:rPr>
        <w:t xml:space="preserve"> state</w:t>
      </w:r>
      <w:r w:rsidR="00BA0BD5" w:rsidRPr="00BA0BD5">
        <w:rPr>
          <w:rStyle w:val="Textitalic"/>
          <w:i w:val="0"/>
        </w:rPr>
        <w:t>d</w:t>
      </w:r>
      <w:r w:rsidR="008215E1" w:rsidRPr="00BA0BD5">
        <w:rPr>
          <w:rStyle w:val="Textitalic"/>
          <w:i w:val="0"/>
        </w:rPr>
        <w:t xml:space="preserve"> </w:t>
      </w:r>
      <w:r w:rsidR="008215E1" w:rsidRPr="008215E1">
        <w:rPr>
          <w:rStyle w:val="Textitalic"/>
          <w:i w:val="0"/>
        </w:rPr>
        <w:t>that</w:t>
      </w:r>
      <w:r w:rsidRPr="008215E1">
        <w:rPr>
          <w:rStyle w:val="Textitalic"/>
          <w:i w:val="0"/>
        </w:rPr>
        <w:t xml:space="preserve"> </w:t>
      </w:r>
      <w:r w:rsidR="008215E1">
        <w:t>a</w:t>
      </w:r>
      <w:r w:rsidR="00452014" w:rsidRPr="00865E0E">
        <w:t>ll</w:t>
      </w:r>
      <w:r w:rsidR="00452014">
        <w:t xml:space="preserve"> </w:t>
      </w:r>
      <w:r w:rsidR="00122326">
        <w:t xml:space="preserve">non-SES </w:t>
      </w:r>
      <w:r w:rsidR="00452014">
        <w:t xml:space="preserve">Authority staff </w:t>
      </w:r>
      <w:r w:rsidR="0063658E">
        <w:t>are</w:t>
      </w:r>
      <w:r w:rsidR="00BA0BD5">
        <w:t xml:space="preserve"> to be</w:t>
      </w:r>
      <w:r w:rsidR="00452014">
        <w:t xml:space="preserve"> employed under the conditions of the </w:t>
      </w:r>
      <w:r w:rsidR="00452014" w:rsidRPr="002222DC">
        <w:rPr>
          <w:rStyle w:val="Textitalic"/>
        </w:rPr>
        <w:t>DCCEE Enterprise Agreement 2011−2014</w:t>
      </w:r>
      <w:r w:rsidR="00452014">
        <w:t xml:space="preserve">. </w:t>
      </w:r>
    </w:p>
    <w:p w:rsidR="00452014" w:rsidRDefault="00452014">
      <w:pPr>
        <w:pStyle w:val="BodyText"/>
        <w:rPr>
          <w:rStyle w:val="Textitalic"/>
        </w:rPr>
      </w:pPr>
      <w:r>
        <w:t>S</w:t>
      </w:r>
      <w:r w:rsidR="00523DDC">
        <w:t xml:space="preserve">enior </w:t>
      </w:r>
      <w:r>
        <w:t>E</w:t>
      </w:r>
      <w:r w:rsidR="00523DDC">
        <w:t xml:space="preserve">xecutive </w:t>
      </w:r>
      <w:r>
        <w:t>S</w:t>
      </w:r>
      <w:r w:rsidR="00523DDC">
        <w:t>ervice</w:t>
      </w:r>
      <w:r>
        <w:t xml:space="preserve"> </w:t>
      </w:r>
      <w:r w:rsidRPr="003C2690">
        <w:t>Authority</w:t>
      </w:r>
      <w:r>
        <w:t xml:space="preserve"> staff </w:t>
      </w:r>
      <w:r w:rsidR="00122326">
        <w:t>were</w:t>
      </w:r>
      <w:r>
        <w:t xml:space="preserve"> employed under the </w:t>
      </w:r>
      <w:r w:rsidRPr="00B44E1E">
        <w:rPr>
          <w:rStyle w:val="Textitalic"/>
          <w:i w:val="0"/>
        </w:rPr>
        <w:t>Public Service Act 1999</w:t>
      </w:r>
      <w:r w:rsidRPr="00047E0A">
        <w:rPr>
          <w:rStyle w:val="Textitalic"/>
        </w:rPr>
        <w:t xml:space="preserve"> </w:t>
      </w:r>
      <w:r>
        <w:t xml:space="preserve">and their conditions of service outlined in the </w:t>
      </w:r>
      <w:r w:rsidRPr="006848AD">
        <w:rPr>
          <w:rStyle w:val="Textitalic"/>
          <w:i w:val="0"/>
        </w:rPr>
        <w:t>DCCEE SES Employment Conditions</w:t>
      </w:r>
      <w:r w:rsidR="006848AD" w:rsidRPr="006848AD">
        <w:rPr>
          <w:rStyle w:val="Textitalic"/>
          <w:i w:val="0"/>
        </w:rPr>
        <w:t xml:space="preserve"> </w:t>
      </w:r>
      <w:r w:rsidR="006848AD" w:rsidRPr="00865E0E">
        <w:rPr>
          <w:rStyle w:val="Textitalic"/>
          <w:i w:val="0"/>
        </w:rPr>
        <w:t>handbook</w:t>
      </w:r>
      <w:r>
        <w:t xml:space="preserve">. </w:t>
      </w:r>
      <w:r w:rsidR="00122326">
        <w:t>In 201</w:t>
      </w:r>
      <w:r w:rsidR="003A1F14">
        <w:t>4</w:t>
      </w:r>
      <w:r w:rsidR="00E678C7">
        <w:t>–</w:t>
      </w:r>
      <w:r w:rsidR="003A1F14">
        <w:t>15</w:t>
      </w:r>
      <w:r w:rsidR="00523DDC">
        <w:t xml:space="preserve">, </w:t>
      </w:r>
      <w:r w:rsidR="00122326">
        <w:t>one</w:t>
      </w:r>
      <w:r>
        <w:t xml:space="preserve"> </w:t>
      </w:r>
      <w:r w:rsidR="0063658E">
        <w:t xml:space="preserve">non-SES </w:t>
      </w:r>
      <w:r>
        <w:t xml:space="preserve">staff </w:t>
      </w:r>
      <w:r w:rsidR="00122326">
        <w:t>member was</w:t>
      </w:r>
      <w:r>
        <w:t xml:space="preserve"> </w:t>
      </w:r>
      <w:r w:rsidR="00DC538E">
        <w:t>employed on</w:t>
      </w:r>
      <w:r>
        <w:t xml:space="preserve"> </w:t>
      </w:r>
      <w:r w:rsidR="00122326">
        <w:t xml:space="preserve">an </w:t>
      </w:r>
      <w:r>
        <w:t xml:space="preserve">individual flexibility arrangement under clause 10 of the </w:t>
      </w:r>
      <w:r w:rsidRPr="00E832F1">
        <w:rPr>
          <w:rStyle w:val="Textitalic"/>
        </w:rPr>
        <w:t>DCCEE Enterprise Agreement 2011</w:t>
      </w:r>
      <w:r w:rsidR="00E678C7">
        <w:t>–</w:t>
      </w:r>
      <w:r w:rsidRPr="00E832F1">
        <w:rPr>
          <w:rStyle w:val="Textitalic"/>
        </w:rPr>
        <w:t>2014.</w:t>
      </w:r>
    </w:p>
    <w:p w:rsidR="00C37FE0" w:rsidRPr="00C37FE0" w:rsidRDefault="00C37FE0" w:rsidP="00E61D47">
      <w:pPr>
        <w:pStyle w:val="BodyText"/>
      </w:pPr>
      <w:r w:rsidRPr="00C37FE0">
        <w:t>No employee of the Authority was employed under performance-based</w:t>
      </w:r>
      <w:r w:rsidR="00142F08">
        <w:t xml:space="preserve"> remuneration conditions in 2014</w:t>
      </w:r>
      <w:r w:rsidR="00E678C7">
        <w:t>–</w:t>
      </w:r>
      <w:r w:rsidR="00142F08">
        <w:t>15</w:t>
      </w:r>
      <w:r w:rsidRPr="00C37FE0">
        <w:t>.</w:t>
      </w:r>
    </w:p>
    <w:p w:rsidR="00DF412C" w:rsidRPr="00DF412C" w:rsidRDefault="00DF412C" w:rsidP="00DF412C">
      <w:pPr>
        <w:pStyle w:val="Heading3"/>
        <w:numPr>
          <w:ilvl w:val="2"/>
          <w:numId w:val="8"/>
        </w:numPr>
      </w:pPr>
      <w:bookmarkStart w:id="45" w:name="_Toc430464432"/>
      <w:r w:rsidRPr="00DF412C">
        <w:t>C</w:t>
      </w:r>
      <w:r>
        <w:t>ONSULTATIVE ARRANGEMENTS</w:t>
      </w:r>
      <w:bookmarkEnd w:id="45"/>
    </w:p>
    <w:p w:rsidR="00DF412C" w:rsidRPr="00DF412C" w:rsidRDefault="00DF412C" w:rsidP="00DF412C">
      <w:pPr>
        <w:pStyle w:val="BodyText"/>
      </w:pPr>
      <w:r>
        <w:t xml:space="preserve">An advantage of a small agency is that </w:t>
      </w:r>
      <w:r w:rsidR="006B72D0">
        <w:t xml:space="preserve">frequent </w:t>
      </w:r>
      <w:r>
        <w:t xml:space="preserve">direct </w:t>
      </w:r>
      <w:r w:rsidRPr="00DF412C">
        <w:t xml:space="preserve">consultation between management and employees </w:t>
      </w:r>
      <w:r>
        <w:t xml:space="preserve">is possible. This </w:t>
      </w:r>
      <w:r w:rsidR="00177193" w:rsidRPr="00DF412C">
        <w:t>occur</w:t>
      </w:r>
      <w:r w:rsidR="00177193">
        <w:t>red</w:t>
      </w:r>
      <w:r w:rsidRPr="00DF412C">
        <w:t xml:space="preserve"> on a regular basis</w:t>
      </w:r>
      <w:r w:rsidR="00E678C7">
        <w:t xml:space="preserve"> in 201</w:t>
      </w:r>
      <w:r w:rsidR="005569BB">
        <w:t>4–15</w:t>
      </w:r>
      <w:r w:rsidRPr="00DF412C">
        <w:t xml:space="preserve">, including through the </w:t>
      </w:r>
      <w:r>
        <w:t>CEO</w:t>
      </w:r>
      <w:r w:rsidR="00E678C7">
        <w:t>’</w:t>
      </w:r>
      <w:r>
        <w:t>s</w:t>
      </w:r>
      <w:r w:rsidRPr="00DF412C">
        <w:t xml:space="preserve"> all</w:t>
      </w:r>
      <w:r w:rsidR="00B44E1E">
        <w:noBreakHyphen/>
      </w:r>
      <w:r w:rsidRPr="00DF412C">
        <w:t>staff meetings and regular team meetings.</w:t>
      </w:r>
    </w:p>
    <w:p w:rsidR="00CF2067" w:rsidRPr="00F57A6E" w:rsidRDefault="00DF412C" w:rsidP="00CF2067">
      <w:pPr>
        <w:pStyle w:val="Heading3"/>
        <w:numPr>
          <w:ilvl w:val="2"/>
          <w:numId w:val="8"/>
        </w:numPr>
      </w:pPr>
      <w:bookmarkStart w:id="46" w:name="_Toc430464433"/>
      <w:r>
        <w:lastRenderedPageBreak/>
        <w:t>PERFORMANCE MANAGEMENT</w:t>
      </w:r>
      <w:bookmarkEnd w:id="46"/>
    </w:p>
    <w:p w:rsidR="00CF2067" w:rsidRPr="00F57A6E" w:rsidRDefault="00CF2067" w:rsidP="00CF2067">
      <w:pPr>
        <w:pStyle w:val="BodyText"/>
      </w:pPr>
      <w:r w:rsidRPr="00F57A6E">
        <w:t xml:space="preserve">All employees participate in the </w:t>
      </w:r>
      <w:r>
        <w:t>Authority</w:t>
      </w:r>
      <w:r w:rsidR="00E678C7">
        <w:t>’</w:t>
      </w:r>
      <w:r w:rsidRPr="00F57A6E">
        <w:t xml:space="preserve">s performance </w:t>
      </w:r>
      <w:r>
        <w:t>development framework</w:t>
      </w:r>
      <w:r w:rsidRPr="00F57A6E">
        <w:t xml:space="preserve">. The </w:t>
      </w:r>
      <w:r>
        <w:t>framework</w:t>
      </w:r>
      <w:r w:rsidRPr="00F57A6E">
        <w:t xml:space="preserve"> seeks to:</w:t>
      </w:r>
    </w:p>
    <w:p w:rsidR="00CF2067" w:rsidRPr="00F57A6E" w:rsidRDefault="00CF2067" w:rsidP="00CF2067">
      <w:pPr>
        <w:pStyle w:val="ListBullet"/>
        <w:numPr>
          <w:ilvl w:val="0"/>
          <w:numId w:val="1"/>
        </w:numPr>
      </w:pPr>
      <w:r w:rsidRPr="00F57A6E">
        <w:t xml:space="preserve">clarify </w:t>
      </w:r>
      <w:r w:rsidR="00E678C7" w:rsidRPr="00F57A6E">
        <w:t>individual employees</w:t>
      </w:r>
      <w:r w:rsidR="00E678C7">
        <w:t>’</w:t>
      </w:r>
      <w:r w:rsidRPr="00F57A6E">
        <w:t xml:space="preserve"> understanding of their work tasks, their responsibilities and the performance standards expected (through</w:t>
      </w:r>
      <w:r>
        <w:t xml:space="preserve"> individual</w:t>
      </w:r>
      <w:r w:rsidRPr="00F57A6E">
        <w:t xml:space="preserve"> performance agreements)</w:t>
      </w:r>
    </w:p>
    <w:p w:rsidR="00CF2067" w:rsidRPr="00F57A6E" w:rsidRDefault="00CF2067" w:rsidP="00CF2067">
      <w:pPr>
        <w:pStyle w:val="ListBullet"/>
        <w:numPr>
          <w:ilvl w:val="0"/>
          <w:numId w:val="1"/>
        </w:numPr>
      </w:pPr>
      <w:r w:rsidRPr="00F57A6E">
        <w:t xml:space="preserve">provide feedback on performance and improve communication between supervisors and their staff (through </w:t>
      </w:r>
      <w:r>
        <w:t xml:space="preserve">individual </w:t>
      </w:r>
      <w:r w:rsidRPr="00F57A6E">
        <w:t>performance appraisals)</w:t>
      </w:r>
    </w:p>
    <w:p w:rsidR="00CF2067" w:rsidRPr="00F57A6E" w:rsidRDefault="00CF2067" w:rsidP="00CF2067">
      <w:pPr>
        <w:pStyle w:val="ListBullet"/>
        <w:numPr>
          <w:ilvl w:val="0"/>
          <w:numId w:val="1"/>
        </w:numPr>
      </w:pPr>
      <w:r w:rsidRPr="00F57A6E">
        <w:t>provide a basis for</w:t>
      </w:r>
      <w:r>
        <w:t xml:space="preserve"> determining salary advancement</w:t>
      </w:r>
    </w:p>
    <w:p w:rsidR="00CF2067" w:rsidRPr="00F57A6E" w:rsidRDefault="00CF2067" w:rsidP="00CF2067">
      <w:pPr>
        <w:pStyle w:val="ListBullet"/>
        <w:numPr>
          <w:ilvl w:val="0"/>
          <w:numId w:val="1"/>
        </w:numPr>
      </w:pPr>
      <w:r w:rsidRPr="00F57A6E">
        <w:t>identify learning and development needs</w:t>
      </w:r>
    </w:p>
    <w:p w:rsidR="00CF2067" w:rsidRDefault="00B44E1E" w:rsidP="00CF2067">
      <w:pPr>
        <w:pStyle w:val="ListBullet"/>
        <w:numPr>
          <w:ilvl w:val="0"/>
          <w:numId w:val="1"/>
        </w:numPr>
      </w:pPr>
      <w:r>
        <w:t>help to</w:t>
      </w:r>
      <w:r w:rsidR="00CF2067" w:rsidRPr="00F57A6E">
        <w:t xml:space="preserve"> identify and manag</w:t>
      </w:r>
      <w:r>
        <w:t>e</w:t>
      </w:r>
      <w:r w:rsidR="00CF2067" w:rsidRPr="00F57A6E">
        <w:t xml:space="preserve"> </w:t>
      </w:r>
      <w:r w:rsidR="00CF2067">
        <w:t xml:space="preserve">instances of </w:t>
      </w:r>
      <w:r w:rsidR="00CF2067" w:rsidRPr="00F57A6E">
        <w:t>underperformance.</w:t>
      </w:r>
    </w:p>
    <w:p w:rsidR="009D77B4" w:rsidRDefault="00DF412C" w:rsidP="009D77B4">
      <w:pPr>
        <w:pStyle w:val="Heading3"/>
      </w:pPr>
      <w:bookmarkStart w:id="47" w:name="_Toc430464434"/>
      <w:r>
        <w:t>LEARNING AND DEVELOPMENT</w:t>
      </w:r>
      <w:bookmarkEnd w:id="47"/>
    </w:p>
    <w:p w:rsidR="00F10254" w:rsidRDefault="00F10254" w:rsidP="00452014">
      <w:pPr>
        <w:pStyle w:val="BodyText"/>
      </w:pPr>
      <w:r w:rsidRPr="00F57A6E">
        <w:t xml:space="preserve">The </w:t>
      </w:r>
      <w:r>
        <w:t xml:space="preserve">Authority </w:t>
      </w:r>
      <w:r w:rsidRPr="00F57A6E">
        <w:t>encourages employees to undertake learning and development</w:t>
      </w:r>
      <w:r>
        <w:t xml:space="preserve"> to build up competencies relevant to their roles. </w:t>
      </w:r>
    </w:p>
    <w:p w:rsidR="00452014" w:rsidRDefault="00452014" w:rsidP="00452014">
      <w:pPr>
        <w:pStyle w:val="BodyText"/>
      </w:pPr>
      <w:r>
        <w:t xml:space="preserve">The Authority </w:t>
      </w:r>
      <w:r w:rsidR="00A42B96">
        <w:t>has a study assistance p</w:t>
      </w:r>
      <w:r w:rsidR="00DC538E">
        <w:t>olicy</w:t>
      </w:r>
      <w:r w:rsidR="00523DDC">
        <w:t xml:space="preserve"> </w:t>
      </w:r>
      <w:r w:rsidR="00E678C7">
        <w:t xml:space="preserve">that </w:t>
      </w:r>
      <w:r w:rsidR="00DC538E">
        <w:t>sets out the assistance provided to staff to undertake learnin</w:t>
      </w:r>
      <w:r w:rsidR="00A42B96">
        <w:t>g and development opportunities.</w:t>
      </w:r>
      <w:r w:rsidR="00DC538E">
        <w:t xml:space="preserve"> The </w:t>
      </w:r>
      <w:r w:rsidR="00E678C7">
        <w:t>p</w:t>
      </w:r>
      <w:r w:rsidR="00DC538E">
        <w:t xml:space="preserve">olicy </w:t>
      </w:r>
      <w:r>
        <w:t>provides financial and leave assi</w:t>
      </w:r>
      <w:r w:rsidR="00A42B96">
        <w:t>stance to its staff enrolled in</w:t>
      </w:r>
      <w:r w:rsidR="00DC538E">
        <w:t xml:space="preserve"> </w:t>
      </w:r>
      <w:r>
        <w:t>study or training that is relevant to the operational needs of the agency. Each staff member has the opportunity to identify and access appropriate training through the organisation’s Performance Development Program.</w:t>
      </w:r>
    </w:p>
    <w:p w:rsidR="00F10254" w:rsidRDefault="00F10254" w:rsidP="00F10254">
      <w:pPr>
        <w:pStyle w:val="BodyText"/>
      </w:pPr>
      <w:r>
        <w:t>The Authority also provides</w:t>
      </w:r>
      <w:r w:rsidRPr="00F57A6E">
        <w:t xml:space="preserve"> one-on-one coaching to address particular development needs and extensive on-the-job training within the </w:t>
      </w:r>
      <w:r>
        <w:t>Authority. Internal seminars on written communication skills also contributed to staff development</w:t>
      </w:r>
      <w:r w:rsidR="00122326">
        <w:t xml:space="preserve"> </w:t>
      </w:r>
      <w:r w:rsidR="00E678C7">
        <w:t>during</w:t>
      </w:r>
      <w:r w:rsidR="00122326">
        <w:t xml:space="preserve"> 201</w:t>
      </w:r>
      <w:r w:rsidR="005569BB">
        <w:t>4</w:t>
      </w:r>
      <w:r w:rsidR="00E678C7">
        <w:t>–</w:t>
      </w:r>
      <w:r w:rsidR="005569BB">
        <w:t>15</w:t>
      </w:r>
      <w:r w:rsidR="00172327">
        <w:t xml:space="preserve"> and helped with the Authority</w:t>
      </w:r>
      <w:r w:rsidR="00E678C7">
        <w:t>’</w:t>
      </w:r>
      <w:r w:rsidR="00172327">
        <w:t xml:space="preserve">s review program. </w:t>
      </w:r>
    </w:p>
    <w:p w:rsidR="00F10254" w:rsidRDefault="00F10254" w:rsidP="00F10254">
      <w:pPr>
        <w:pStyle w:val="Heading3"/>
      </w:pPr>
      <w:bookmarkStart w:id="48" w:name="_Toc430464435"/>
      <w:r>
        <w:t>WORK HEALTH AND SAFETY</w:t>
      </w:r>
      <w:bookmarkEnd w:id="48"/>
    </w:p>
    <w:p w:rsidR="00783B38" w:rsidRDefault="00783B38" w:rsidP="00F10254">
      <w:pPr>
        <w:pStyle w:val="BodyText"/>
      </w:pPr>
      <w:r w:rsidRPr="00783B38">
        <w:t>No formal W</w:t>
      </w:r>
      <w:r w:rsidR="00523DDC">
        <w:t xml:space="preserve">ork </w:t>
      </w:r>
      <w:r w:rsidRPr="00783B38">
        <w:t>H</w:t>
      </w:r>
      <w:r w:rsidR="00523DDC">
        <w:t xml:space="preserve">ealth and </w:t>
      </w:r>
      <w:r w:rsidRPr="00783B38">
        <w:t>S</w:t>
      </w:r>
      <w:r w:rsidR="00523DDC">
        <w:t>afety</w:t>
      </w:r>
      <w:r w:rsidRPr="00783B38">
        <w:t xml:space="preserve"> investigations were conducted during the year and the</w:t>
      </w:r>
      <w:r>
        <w:t xml:space="preserve">re were </w:t>
      </w:r>
      <w:r w:rsidRPr="00783B38">
        <w:t xml:space="preserve">no notifiable incidents. No notices under Part 10 of the </w:t>
      </w:r>
      <w:r w:rsidRPr="00783B38">
        <w:rPr>
          <w:rStyle w:val="Textitalic"/>
        </w:rPr>
        <w:t>Work Health Safety Act 2011</w:t>
      </w:r>
      <w:r>
        <w:t xml:space="preserve"> were gi</w:t>
      </w:r>
      <w:r w:rsidR="005569BB">
        <w:t>ven to the Authority during 2014</w:t>
      </w:r>
      <w:r w:rsidR="00E678C7">
        <w:t>–</w:t>
      </w:r>
      <w:r w:rsidR="005569BB">
        <w:t>15</w:t>
      </w:r>
      <w:r w:rsidRPr="00783B38">
        <w:t>.</w:t>
      </w:r>
    </w:p>
    <w:p w:rsidR="00F10254" w:rsidRDefault="00F10254" w:rsidP="00F10254">
      <w:pPr>
        <w:pStyle w:val="BodyText"/>
      </w:pPr>
      <w:r w:rsidRPr="00CC5A48">
        <w:t>During 201</w:t>
      </w:r>
      <w:r w:rsidR="005569BB">
        <w:t>4</w:t>
      </w:r>
      <w:r w:rsidR="00E678C7">
        <w:t>–</w:t>
      </w:r>
      <w:r w:rsidR="005569BB">
        <w:t>15</w:t>
      </w:r>
      <w:r w:rsidR="00CF2067">
        <w:t>,</w:t>
      </w:r>
      <w:r w:rsidRPr="00CC5A48">
        <w:t xml:space="preserve"> work health and safety </w:t>
      </w:r>
      <w:r w:rsidR="00E678C7" w:rsidRPr="00CC5A48">
        <w:t xml:space="preserve">initiatives </w:t>
      </w:r>
      <w:r w:rsidRPr="00CC5A48">
        <w:t>included:</w:t>
      </w:r>
    </w:p>
    <w:p w:rsidR="00783B38" w:rsidRPr="00F57A6E" w:rsidRDefault="00783B38" w:rsidP="00783B38">
      <w:pPr>
        <w:pStyle w:val="ListBullet"/>
        <w:numPr>
          <w:ilvl w:val="0"/>
          <w:numId w:val="1"/>
        </w:numPr>
      </w:pPr>
      <w:r>
        <w:t>Authority-funded flu vaccinations</w:t>
      </w:r>
    </w:p>
    <w:p w:rsidR="00F10254" w:rsidRDefault="00E678C7" w:rsidP="00F10254">
      <w:pPr>
        <w:pStyle w:val="ListBullet"/>
        <w:numPr>
          <w:ilvl w:val="0"/>
          <w:numId w:val="1"/>
        </w:numPr>
      </w:pPr>
      <w:r>
        <w:t xml:space="preserve">a </w:t>
      </w:r>
      <w:r w:rsidR="00F10254">
        <w:t>flexible work policy to manage and avoid staff working excessive hours</w:t>
      </w:r>
    </w:p>
    <w:p w:rsidR="00783B38" w:rsidRDefault="00F10254" w:rsidP="00783B38">
      <w:pPr>
        <w:pStyle w:val="ListBullet"/>
        <w:numPr>
          <w:ilvl w:val="0"/>
          <w:numId w:val="1"/>
        </w:numPr>
      </w:pPr>
      <w:r>
        <w:t>provision of ergonomic equipment</w:t>
      </w:r>
      <w:r w:rsidR="00262F3F">
        <w:t xml:space="preserve"> as required</w:t>
      </w:r>
      <w:r w:rsidR="005D1510">
        <w:t>.</w:t>
      </w:r>
    </w:p>
    <w:p w:rsidR="00F10254" w:rsidRDefault="00783B38" w:rsidP="00F10254">
      <w:pPr>
        <w:pStyle w:val="BodyText"/>
      </w:pPr>
      <w:r>
        <w:t>There w</w:t>
      </w:r>
      <w:r w:rsidR="005569BB">
        <w:t>ere no claims for injury in 2014</w:t>
      </w:r>
      <w:r w:rsidR="00E678C7">
        <w:t>–</w:t>
      </w:r>
      <w:r w:rsidR="005569BB">
        <w:t>15 and no</w:t>
      </w:r>
      <w:r w:rsidR="00122326">
        <w:t xml:space="preserve"> return</w:t>
      </w:r>
      <w:r w:rsidR="00E678C7">
        <w:t>-</w:t>
      </w:r>
      <w:r w:rsidR="00122326">
        <w:t>to</w:t>
      </w:r>
      <w:r w:rsidR="00E678C7">
        <w:t>-</w:t>
      </w:r>
      <w:r w:rsidR="00122326">
        <w:t>work program</w:t>
      </w:r>
      <w:r w:rsidR="005569BB">
        <w:t>s</w:t>
      </w:r>
      <w:r w:rsidR="00122326">
        <w:t xml:space="preserve"> conducted. </w:t>
      </w:r>
    </w:p>
    <w:p w:rsidR="00F10254" w:rsidRPr="00F57A6E" w:rsidRDefault="00DF412C" w:rsidP="00F10254">
      <w:pPr>
        <w:pStyle w:val="Heading3"/>
        <w:numPr>
          <w:ilvl w:val="2"/>
          <w:numId w:val="8"/>
        </w:numPr>
      </w:pPr>
      <w:bookmarkStart w:id="49" w:name="_Toc430464436"/>
      <w:r>
        <w:t>EMPLOYEE ASSISTANCE PROGRAM</w:t>
      </w:r>
      <w:bookmarkEnd w:id="49"/>
    </w:p>
    <w:p w:rsidR="00F10254" w:rsidRDefault="00F10254" w:rsidP="00F10254">
      <w:pPr>
        <w:pStyle w:val="BodyText"/>
      </w:pPr>
      <w:r w:rsidRPr="00F57A6E">
        <w:t xml:space="preserve">The </w:t>
      </w:r>
      <w:r>
        <w:t>Authority</w:t>
      </w:r>
      <w:r w:rsidRPr="00F57A6E">
        <w:t xml:space="preserve"> offers its employees independent, confidential and professional counselling, consultation and training assistance for work-related or personal issues.</w:t>
      </w:r>
      <w:r w:rsidR="00783B38">
        <w:t xml:space="preserve"> </w:t>
      </w:r>
      <w:r w:rsidR="00E678C7">
        <w:t xml:space="preserve">The Authority contracted </w:t>
      </w:r>
      <w:r w:rsidR="00122326">
        <w:t xml:space="preserve">Optum </w:t>
      </w:r>
      <w:r w:rsidR="00783B38">
        <w:t>to provide this service.</w:t>
      </w:r>
    </w:p>
    <w:p w:rsidR="00CF2067" w:rsidRPr="00F57A6E" w:rsidRDefault="00DF412C" w:rsidP="00CF2067">
      <w:pPr>
        <w:pStyle w:val="Heading3"/>
        <w:numPr>
          <w:ilvl w:val="2"/>
          <w:numId w:val="8"/>
        </w:numPr>
      </w:pPr>
      <w:bookmarkStart w:id="50" w:name="_Toc430464437"/>
      <w:r>
        <w:lastRenderedPageBreak/>
        <w:t>WORKPLACE DIVERSITY</w:t>
      </w:r>
      <w:bookmarkEnd w:id="50"/>
    </w:p>
    <w:p w:rsidR="00CF2067" w:rsidRPr="00F57A6E" w:rsidRDefault="00CF2067" w:rsidP="00CF2067">
      <w:pPr>
        <w:pStyle w:val="BodyText"/>
      </w:pPr>
      <w:r w:rsidRPr="00F57A6E">
        <w:t xml:space="preserve">The </w:t>
      </w:r>
      <w:r>
        <w:t>Authority</w:t>
      </w:r>
      <w:r w:rsidRPr="00F57A6E">
        <w:t xml:space="preserve"> continues to foster a culture that support</w:t>
      </w:r>
      <w:r w:rsidR="00E678C7">
        <w:t>s</w:t>
      </w:r>
      <w:r w:rsidRPr="00F57A6E">
        <w:t xml:space="preserve"> employees achieving their potential and values employee diversity. This </w:t>
      </w:r>
      <w:r w:rsidR="00523DDC">
        <w:t>wa</w:t>
      </w:r>
      <w:r w:rsidRPr="00F57A6E">
        <w:t xml:space="preserve">s facilitated through the </w:t>
      </w:r>
      <w:r>
        <w:t>Authority</w:t>
      </w:r>
      <w:r w:rsidR="00E678C7">
        <w:t>’</w:t>
      </w:r>
      <w:r>
        <w:t>s</w:t>
      </w:r>
      <w:r w:rsidRPr="00F57A6E">
        <w:t xml:space="preserve"> enterprise </w:t>
      </w:r>
      <w:r>
        <w:t>agreement</w:t>
      </w:r>
      <w:r w:rsidRPr="00F57A6E">
        <w:t xml:space="preserve"> an</w:t>
      </w:r>
      <w:r>
        <w:t>d related policies.</w:t>
      </w:r>
    </w:p>
    <w:p w:rsidR="00CF2067" w:rsidRDefault="00DF412C" w:rsidP="00CF2067">
      <w:pPr>
        <w:pStyle w:val="Heading3"/>
      </w:pPr>
      <w:bookmarkStart w:id="51" w:name="_Toc430464438"/>
      <w:r>
        <w:t>DISABILITY REPORTING</w:t>
      </w:r>
      <w:bookmarkEnd w:id="51"/>
    </w:p>
    <w:p w:rsidR="00CF2067" w:rsidRPr="00052673" w:rsidRDefault="00CF2067" w:rsidP="00CF2067">
      <w:pPr>
        <w:pStyle w:val="BodyText"/>
      </w:pPr>
      <w:r w:rsidRPr="00052673">
        <w:t xml:space="preserve">Since 1994, Commonwealth departments and agencies have reported on their performance as policy adviser, purchaser, employer, regulator and provider under the Commonwealth Disability Strategy. In 2007−08, reporting on the employer role was transferred to the Australian Public Service Commission’s </w:t>
      </w:r>
      <w:r w:rsidRPr="00052673">
        <w:rPr>
          <w:rStyle w:val="Textitalic"/>
        </w:rPr>
        <w:t>State of the Service Report</w:t>
      </w:r>
      <w:r w:rsidRPr="00052673">
        <w:t xml:space="preserve"> and the </w:t>
      </w:r>
      <w:r w:rsidRPr="00052673">
        <w:rPr>
          <w:rStyle w:val="Textitalic"/>
        </w:rPr>
        <w:t>APS Statistical Bulletin</w:t>
      </w:r>
      <w:r w:rsidRPr="00052673">
        <w:t xml:space="preserve">. These reports are available at </w:t>
      </w:r>
      <w:hyperlink r:id="rId34" w:history="1">
        <w:r w:rsidRPr="00052673">
          <w:t>www.apsc.gov.au</w:t>
        </w:r>
      </w:hyperlink>
      <w:r w:rsidRPr="00052673">
        <w:t xml:space="preserve">. From 2010−11, departments and agencies </w:t>
      </w:r>
      <w:r w:rsidR="006B72D0">
        <w:t>are</w:t>
      </w:r>
      <w:r w:rsidRPr="00052673">
        <w:t xml:space="preserve"> no longer required to report on these functions.</w:t>
      </w:r>
    </w:p>
    <w:p w:rsidR="00CF2067" w:rsidRPr="00052673" w:rsidRDefault="00CF2067" w:rsidP="00FD1F27">
      <w:pPr>
        <w:pStyle w:val="BodyText"/>
      </w:pPr>
      <w:r w:rsidRPr="00052673">
        <w:t xml:space="preserve">The Commonwealth Disability Strategy has been overtaken by </w:t>
      </w:r>
      <w:r w:rsidR="00FD1F27">
        <w:t xml:space="preserve">the </w:t>
      </w:r>
      <w:r w:rsidRPr="00052673">
        <w:t>National Disability Strategy</w:t>
      </w:r>
      <w:r w:rsidR="00FD1F27">
        <w:t xml:space="preserve"> </w:t>
      </w:r>
      <w:r w:rsidR="00875725">
        <w:t xml:space="preserve">     </w:t>
      </w:r>
      <w:r w:rsidR="00FD1F27">
        <w:t>2010</w:t>
      </w:r>
      <w:r w:rsidR="00E678C7">
        <w:t>–</w:t>
      </w:r>
      <w:r w:rsidR="00FD1F27">
        <w:t xml:space="preserve">2020, which sets out </w:t>
      </w:r>
      <w:r w:rsidRPr="00052673">
        <w:t xml:space="preserve">a </w:t>
      </w:r>
      <w:r w:rsidR="00E678C7">
        <w:t>10-</w:t>
      </w:r>
      <w:r w:rsidRPr="00052673">
        <w:t xml:space="preserve">year national policy framework </w:t>
      </w:r>
      <w:r w:rsidR="00FD1F27">
        <w:t>to improve the lives of people with disability, promote participation and create a more inclusive society. A high</w:t>
      </w:r>
      <w:r w:rsidR="00E678C7">
        <w:t>-</w:t>
      </w:r>
      <w:r w:rsidR="00FD1F27">
        <w:t xml:space="preserve">level two-yearly report will track progress against each of the six outcome areas of the </w:t>
      </w:r>
      <w:r w:rsidR="00E678C7">
        <w:t>s</w:t>
      </w:r>
      <w:r w:rsidR="00FD1F27">
        <w:t xml:space="preserve">trategy and present a picture of how people with disability are faring. The first of these reports </w:t>
      </w:r>
      <w:r w:rsidR="002C0BF0">
        <w:t xml:space="preserve">is available </w:t>
      </w:r>
      <w:r w:rsidR="00FD1F27">
        <w:t xml:space="preserve">at </w:t>
      </w:r>
      <w:hyperlink r:id="rId35" w:history="1">
        <w:r w:rsidR="00FD1F27" w:rsidRPr="00E13B4D">
          <w:t>www.dss.gov.au</w:t>
        </w:r>
      </w:hyperlink>
      <w:r w:rsidR="00FD1F27">
        <w:t xml:space="preserve">. </w:t>
      </w:r>
    </w:p>
    <w:p w:rsidR="00744B0A" w:rsidRDefault="00744B0A" w:rsidP="00744B0A"/>
    <w:p w:rsidR="005C656E" w:rsidRDefault="005C656E">
      <w:pPr>
        <w:sectPr w:rsidR="005C656E" w:rsidSect="00EF43BF">
          <w:headerReference w:type="even" r:id="rId36"/>
          <w:headerReference w:type="default" r:id="rId37"/>
          <w:footerReference w:type="even" r:id="rId38"/>
          <w:footerReference w:type="default" r:id="rId39"/>
          <w:headerReference w:type="first" r:id="rId40"/>
          <w:type w:val="continuous"/>
          <w:pgSz w:w="11907" w:h="16839" w:code="9"/>
          <w:pgMar w:top="1134" w:right="1134" w:bottom="1134" w:left="1134" w:header="720" w:footer="720" w:gutter="0"/>
          <w:pgNumType w:start="1"/>
          <w:cols w:space="720"/>
          <w:docGrid w:linePitch="360"/>
        </w:sectPr>
      </w:pPr>
    </w:p>
    <w:p w:rsidR="00D4227F" w:rsidRDefault="009D77B4" w:rsidP="0068094F">
      <w:pPr>
        <w:pStyle w:val="AppendixHeading1"/>
      </w:pPr>
      <w:bookmarkStart w:id="52" w:name="_Toc398104937"/>
      <w:r>
        <w:lastRenderedPageBreak/>
        <w:t>AUDITED FINANCIAL STATEMENTS</w:t>
      </w:r>
      <w:bookmarkEnd w:id="52"/>
    </w:p>
    <w:p w:rsidR="00BF5366" w:rsidRPr="00BF5366" w:rsidRDefault="00BF5366" w:rsidP="00BF5366">
      <w:bookmarkStart w:id="53" w:name="ChapterTitle"/>
      <w:r w:rsidRPr="00BF5366">
        <w:t>Financial statements</w:t>
      </w:r>
      <w:bookmarkEnd w:id="53"/>
    </w:p>
    <w:p w:rsidR="00BF5366" w:rsidRPr="00BF5366" w:rsidRDefault="00BF5366" w:rsidP="00E61D47">
      <w:pPr>
        <w:pStyle w:val="Heading3"/>
        <w:numPr>
          <w:ilvl w:val="0"/>
          <w:numId w:val="0"/>
        </w:numPr>
        <w:ind w:left="1021" w:hanging="1021"/>
      </w:pPr>
      <w:bookmarkStart w:id="54" w:name="begin"/>
      <w:bookmarkStart w:id="55" w:name="_Toc430464439"/>
      <w:bookmarkEnd w:id="54"/>
      <w:r w:rsidRPr="00BF5366">
        <w:t>Contents</w:t>
      </w:r>
      <w:bookmarkEnd w:id="55"/>
      <w:r w:rsidRPr="00BF5366">
        <w:tab/>
      </w:r>
    </w:p>
    <w:p w:rsidR="00BF5366" w:rsidRPr="00BF5366" w:rsidRDefault="00BF5366" w:rsidP="00BF5366">
      <w:pPr>
        <w:pStyle w:val="BodyText"/>
      </w:pPr>
      <w:r w:rsidRPr="00BF5366">
        <w:t>Independent audit report</w:t>
      </w:r>
      <w:r w:rsidRPr="00BF5366">
        <w:tab/>
      </w:r>
    </w:p>
    <w:p w:rsidR="00BF5366" w:rsidRPr="00BF5366" w:rsidRDefault="00BF5366" w:rsidP="00BF5366">
      <w:pPr>
        <w:pStyle w:val="BodyText"/>
      </w:pPr>
      <w:r w:rsidRPr="00BF5366">
        <w:t>Statement by officers</w:t>
      </w:r>
      <w:r w:rsidRPr="00BF5366">
        <w:tab/>
      </w:r>
    </w:p>
    <w:p w:rsidR="00BF5366" w:rsidRPr="00BF5366" w:rsidRDefault="00BF5366" w:rsidP="00BF5366">
      <w:pPr>
        <w:pStyle w:val="BodyText"/>
      </w:pPr>
      <w:r w:rsidRPr="00BF5366">
        <w:t>Statement of comprehensive income</w:t>
      </w:r>
      <w:r w:rsidRPr="00BF5366">
        <w:tab/>
      </w:r>
    </w:p>
    <w:p w:rsidR="00BF5366" w:rsidRPr="00BF5366" w:rsidRDefault="00BF5366" w:rsidP="00BF5366">
      <w:pPr>
        <w:pStyle w:val="BodyText"/>
      </w:pPr>
      <w:r w:rsidRPr="00BF5366">
        <w:t>Statement of financial position</w:t>
      </w:r>
      <w:r w:rsidRPr="00BF5366">
        <w:tab/>
      </w:r>
    </w:p>
    <w:p w:rsidR="00BF5366" w:rsidRPr="00BF5366" w:rsidRDefault="00BF5366" w:rsidP="00BF5366">
      <w:pPr>
        <w:pStyle w:val="BodyText"/>
      </w:pPr>
      <w:r w:rsidRPr="00BF5366">
        <w:t>Statement of changes in equity</w:t>
      </w:r>
      <w:r w:rsidRPr="00BF5366">
        <w:tab/>
      </w:r>
    </w:p>
    <w:p w:rsidR="00BF5366" w:rsidRPr="00BF5366" w:rsidRDefault="00BF5366" w:rsidP="00BF5366">
      <w:pPr>
        <w:pStyle w:val="BodyText"/>
      </w:pPr>
      <w:r w:rsidRPr="00BF5366">
        <w:t>Cash flow statement</w:t>
      </w:r>
      <w:r w:rsidRPr="00BF5366">
        <w:tab/>
      </w:r>
    </w:p>
    <w:p w:rsidR="00BF5366" w:rsidRPr="00BF5366" w:rsidRDefault="00BF5366" w:rsidP="00BF5366">
      <w:pPr>
        <w:pStyle w:val="BodyText"/>
      </w:pPr>
      <w:r w:rsidRPr="00BF5366">
        <w:t>Schedule of commitments</w:t>
      </w:r>
      <w:r w:rsidRPr="00BF5366">
        <w:tab/>
      </w:r>
    </w:p>
    <w:p w:rsidR="00BF5366" w:rsidRPr="00BF5366" w:rsidRDefault="00BF5366" w:rsidP="00BF5366">
      <w:pPr>
        <w:pStyle w:val="BodyText"/>
      </w:pPr>
      <w:r w:rsidRPr="00BF5366">
        <w:t>Notes to the financial statements</w:t>
      </w:r>
      <w:r w:rsidRPr="00BF5366">
        <w:tab/>
      </w:r>
    </w:p>
    <w:p w:rsidR="00BF5366" w:rsidRPr="00BF5366" w:rsidRDefault="00BF5366" w:rsidP="00BF5366">
      <w:r w:rsidRPr="00BF5366">
        <w:br w:type="page"/>
      </w:r>
    </w:p>
    <w:p w:rsidR="009D77B4" w:rsidRDefault="009D77B4" w:rsidP="0068094F">
      <w:pPr>
        <w:pStyle w:val="AppendixHeading1"/>
      </w:pPr>
      <w:bookmarkStart w:id="56" w:name="_Toc398104938"/>
      <w:r>
        <w:lastRenderedPageBreak/>
        <w:t>LIST OF REQUIREMENTS</w:t>
      </w:r>
      <w:bookmarkEnd w:id="56"/>
    </w:p>
    <w:tbl>
      <w:tblPr>
        <w:tblStyle w:val="CCATable"/>
        <w:tblW w:w="0" w:type="auto"/>
        <w:tblLayout w:type="fixed"/>
        <w:tblLook w:val="04A0" w:firstRow="1" w:lastRow="0" w:firstColumn="1" w:lastColumn="0" w:noHBand="0" w:noVBand="1"/>
      </w:tblPr>
      <w:tblGrid>
        <w:gridCol w:w="1526"/>
        <w:gridCol w:w="1984"/>
        <w:gridCol w:w="3686"/>
        <w:gridCol w:w="1701"/>
        <w:gridCol w:w="958"/>
      </w:tblGrid>
      <w:tr w:rsidR="00867766" w:rsidTr="00521939">
        <w:trPr>
          <w:cnfStyle w:val="100000000000" w:firstRow="1" w:lastRow="0" w:firstColumn="0" w:lastColumn="0" w:oddVBand="0" w:evenVBand="0" w:oddHBand="0" w:evenHBand="0" w:firstRowFirstColumn="0" w:firstRowLastColumn="0" w:lastRowFirstColumn="0" w:lastRowLastColumn="0"/>
        </w:trPr>
        <w:tc>
          <w:tcPr>
            <w:tcW w:w="1526" w:type="dxa"/>
          </w:tcPr>
          <w:p w:rsidR="00867766" w:rsidRPr="001B4606" w:rsidRDefault="00867766" w:rsidP="001B4606">
            <w:pPr>
              <w:pStyle w:val="TableHeading"/>
            </w:pPr>
            <w:r w:rsidRPr="001B4606">
              <w:t>REFERENCE</w:t>
            </w:r>
          </w:p>
        </w:tc>
        <w:tc>
          <w:tcPr>
            <w:tcW w:w="1984" w:type="dxa"/>
          </w:tcPr>
          <w:p w:rsidR="00867766" w:rsidRPr="001B4606" w:rsidRDefault="00867766" w:rsidP="001B4606">
            <w:pPr>
              <w:pStyle w:val="TableHeading"/>
            </w:pPr>
            <w:r w:rsidRPr="001B4606">
              <w:t>PART OF REPORT</w:t>
            </w:r>
          </w:p>
        </w:tc>
        <w:tc>
          <w:tcPr>
            <w:tcW w:w="3686" w:type="dxa"/>
          </w:tcPr>
          <w:p w:rsidR="00867766" w:rsidRPr="001B4606" w:rsidRDefault="00867766" w:rsidP="001B4606">
            <w:pPr>
              <w:pStyle w:val="TableHeading"/>
            </w:pPr>
            <w:r w:rsidRPr="001B4606">
              <w:t>DESCRIPTION</w:t>
            </w:r>
          </w:p>
        </w:tc>
        <w:tc>
          <w:tcPr>
            <w:tcW w:w="1701" w:type="dxa"/>
          </w:tcPr>
          <w:p w:rsidR="00867766" w:rsidRPr="001B4606" w:rsidRDefault="00867766" w:rsidP="001B4606">
            <w:pPr>
              <w:pStyle w:val="TableHeading"/>
            </w:pPr>
            <w:r w:rsidRPr="001B4606">
              <w:t>REQUIREMENT</w:t>
            </w:r>
          </w:p>
        </w:tc>
        <w:tc>
          <w:tcPr>
            <w:tcW w:w="958" w:type="dxa"/>
          </w:tcPr>
          <w:p w:rsidR="00867766" w:rsidRPr="001B4606" w:rsidRDefault="00867766" w:rsidP="001B4606">
            <w:pPr>
              <w:pStyle w:val="TableHeading"/>
            </w:pPr>
            <w:r w:rsidRPr="001B4606">
              <w:t xml:space="preserve">PAGE </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8(3) &amp; A.4</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Letter of transmittal</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bookmarkStart w:id="57" w:name="_GoBack"/>
            <w:bookmarkEnd w:id="57"/>
          </w:p>
        </w:tc>
      </w:tr>
      <w:tr w:rsidR="00E16A2A" w:rsidTr="00F125A2">
        <w:tc>
          <w:tcPr>
            <w:tcW w:w="1526" w:type="dxa"/>
          </w:tcPr>
          <w:p w:rsidR="00E16A2A" w:rsidRPr="00E16A2A" w:rsidRDefault="00E16A2A" w:rsidP="001B4606">
            <w:pPr>
              <w:pStyle w:val="TableText"/>
            </w:pPr>
            <w:r w:rsidRPr="00E16A2A">
              <w:t>A.5</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Table of contents</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A.5</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Index</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A.5</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Glossary</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A.5</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Contact officer(s)</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A.5</w:t>
            </w:r>
          </w:p>
        </w:tc>
        <w:tc>
          <w:tcPr>
            <w:tcW w:w="1984" w:type="dxa"/>
          </w:tcPr>
          <w:p w:rsidR="00E16A2A" w:rsidRPr="00E16A2A" w:rsidRDefault="00E16A2A" w:rsidP="001B4606">
            <w:pPr>
              <w:pStyle w:val="TableText"/>
            </w:pPr>
          </w:p>
        </w:tc>
        <w:tc>
          <w:tcPr>
            <w:tcW w:w="3686" w:type="dxa"/>
          </w:tcPr>
          <w:p w:rsidR="00E16A2A" w:rsidRPr="00E16A2A" w:rsidRDefault="00E16A2A">
            <w:pPr>
              <w:pStyle w:val="TableText"/>
            </w:pPr>
            <w:r w:rsidRPr="00E16A2A">
              <w:t xml:space="preserve">Internet home page address and </w:t>
            </w:r>
            <w:r w:rsidR="003C60BA">
              <w:t>i</w:t>
            </w:r>
            <w:r w:rsidRPr="00E16A2A">
              <w:t>nternet address for report</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B4606" w:rsidRDefault="001F5E97" w:rsidP="001B4606">
            <w:pPr>
              <w:pStyle w:val="TableText"/>
              <w:rPr>
                <w:rStyle w:val="Textbold"/>
              </w:rPr>
            </w:pPr>
            <w:r w:rsidRPr="001B4606">
              <w:rPr>
                <w:rStyle w:val="Textbold"/>
              </w:rPr>
              <w:t>9</w:t>
            </w:r>
          </w:p>
        </w:tc>
        <w:tc>
          <w:tcPr>
            <w:tcW w:w="5670" w:type="dxa"/>
            <w:gridSpan w:val="2"/>
          </w:tcPr>
          <w:p w:rsidR="001F5E97" w:rsidRPr="001B4606" w:rsidRDefault="001F5E97" w:rsidP="001B4606">
            <w:pPr>
              <w:pStyle w:val="TableText"/>
              <w:rPr>
                <w:rStyle w:val="Textbold"/>
              </w:rPr>
            </w:pPr>
            <w:r w:rsidRPr="001B4606">
              <w:rPr>
                <w:rStyle w:val="Textbold"/>
              </w:rPr>
              <w:t>Review by</w:t>
            </w:r>
            <w:r w:rsidR="001B4606" w:rsidRPr="001B4606">
              <w:rPr>
                <w:rStyle w:val="Textbold"/>
              </w:rPr>
              <w:t xml:space="preserve"> CEO</w:t>
            </w:r>
          </w:p>
        </w:tc>
        <w:tc>
          <w:tcPr>
            <w:tcW w:w="1701" w:type="dxa"/>
          </w:tcPr>
          <w:p w:rsidR="001F5E97" w:rsidRPr="00E16A2A" w:rsidRDefault="001F5E97" w:rsidP="001B4606">
            <w:pPr>
              <w:pStyle w:val="TableText"/>
            </w:pPr>
          </w:p>
        </w:tc>
        <w:tc>
          <w:tcPr>
            <w:tcW w:w="958" w:type="dxa"/>
          </w:tcPr>
          <w:p w:rsidR="001F5E97" w:rsidRPr="00E16A2A" w:rsidRDefault="001F5E97" w:rsidP="001B4606">
            <w:pPr>
              <w:pStyle w:val="TableText"/>
            </w:pPr>
          </w:p>
        </w:tc>
      </w:tr>
      <w:tr w:rsidR="00E16A2A" w:rsidTr="00F125A2">
        <w:tc>
          <w:tcPr>
            <w:tcW w:w="1526" w:type="dxa"/>
          </w:tcPr>
          <w:p w:rsidR="00E16A2A" w:rsidRPr="00E16A2A" w:rsidRDefault="00E16A2A" w:rsidP="001B4606">
            <w:pPr>
              <w:pStyle w:val="TableText"/>
            </w:pPr>
            <w:r w:rsidRPr="00E16A2A">
              <w:t>9(1)</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 xml:space="preserve">Review by </w:t>
            </w:r>
            <w:r w:rsidR="001B4606">
              <w:t>CEO</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9(2)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Summary of significant issues and developments</w:t>
            </w:r>
          </w:p>
        </w:tc>
        <w:tc>
          <w:tcPr>
            <w:tcW w:w="1701" w:type="dxa"/>
          </w:tcPr>
          <w:p w:rsidR="00E16A2A" w:rsidRPr="00E16A2A" w:rsidRDefault="00E16A2A" w:rsidP="001B4606">
            <w:pPr>
              <w:pStyle w:val="TableText"/>
            </w:pPr>
            <w:r w:rsidRPr="00E16A2A">
              <w:t>Suggested</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9(2)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Overview of department’s performance and financial results</w:t>
            </w:r>
          </w:p>
        </w:tc>
        <w:tc>
          <w:tcPr>
            <w:tcW w:w="1701" w:type="dxa"/>
          </w:tcPr>
          <w:p w:rsidR="00E16A2A" w:rsidRPr="00E16A2A" w:rsidRDefault="00E16A2A" w:rsidP="001B4606">
            <w:pPr>
              <w:pStyle w:val="TableText"/>
            </w:pPr>
            <w:r w:rsidRPr="00E16A2A">
              <w:t>Suggested</w:t>
            </w:r>
          </w:p>
        </w:tc>
        <w:tc>
          <w:tcPr>
            <w:tcW w:w="958" w:type="dxa"/>
          </w:tcPr>
          <w:p w:rsidR="00E16A2A" w:rsidRPr="00E16A2A" w:rsidRDefault="008B2014" w:rsidP="001B4606">
            <w:pPr>
              <w:pStyle w:val="TableText"/>
            </w:pPr>
            <w:r>
              <w:t>N</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9(2)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Outlook for following year</w:t>
            </w:r>
          </w:p>
        </w:tc>
        <w:tc>
          <w:tcPr>
            <w:tcW w:w="1701" w:type="dxa"/>
          </w:tcPr>
          <w:p w:rsidR="00E16A2A" w:rsidRPr="00E16A2A" w:rsidRDefault="00E16A2A" w:rsidP="001B4606">
            <w:pPr>
              <w:pStyle w:val="TableText"/>
            </w:pPr>
            <w:r w:rsidRPr="00E16A2A">
              <w:t>Suggested</w:t>
            </w:r>
          </w:p>
        </w:tc>
        <w:tc>
          <w:tcPr>
            <w:tcW w:w="958" w:type="dxa"/>
          </w:tcPr>
          <w:p w:rsidR="00E16A2A" w:rsidRPr="00E16A2A" w:rsidRDefault="008B2014" w:rsidP="001B4606">
            <w:pPr>
              <w:pStyle w:val="TableText"/>
            </w:pPr>
            <w:r>
              <w:t>N</w:t>
            </w:r>
          </w:p>
        </w:tc>
      </w:tr>
      <w:tr w:rsidR="00E16A2A" w:rsidTr="00F125A2">
        <w:tc>
          <w:tcPr>
            <w:tcW w:w="1526" w:type="dxa"/>
          </w:tcPr>
          <w:p w:rsidR="00E16A2A" w:rsidRPr="00E16A2A" w:rsidRDefault="00E16A2A" w:rsidP="001B4606">
            <w:pPr>
              <w:pStyle w:val="TableText"/>
            </w:pPr>
            <w:r w:rsidRPr="00E16A2A">
              <w:t>9(3)</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Significant issues and developments</w:t>
            </w:r>
            <w:r w:rsidR="00B44E1E">
              <w:t>—</w:t>
            </w:r>
            <w:r w:rsidRPr="00E16A2A">
              <w:t>portfolio</w:t>
            </w:r>
          </w:p>
        </w:tc>
        <w:tc>
          <w:tcPr>
            <w:tcW w:w="1701" w:type="dxa"/>
          </w:tcPr>
          <w:p w:rsidR="00E16A2A" w:rsidRPr="00E16A2A" w:rsidRDefault="00E16A2A" w:rsidP="001B4606">
            <w:pPr>
              <w:pStyle w:val="TableText"/>
            </w:pPr>
            <w:r w:rsidRPr="00E16A2A">
              <w:t>Portfolio departments</w:t>
            </w:r>
            <w:r w:rsidR="00B44E1E">
              <w:t>—</w:t>
            </w:r>
            <w:r w:rsidRPr="00E16A2A">
              <w:t>suggested</w:t>
            </w:r>
          </w:p>
        </w:tc>
        <w:tc>
          <w:tcPr>
            <w:tcW w:w="958" w:type="dxa"/>
          </w:tcPr>
          <w:p w:rsidR="00E16A2A" w:rsidRPr="00E16A2A" w:rsidRDefault="001B4606" w:rsidP="001B4606">
            <w:pPr>
              <w:pStyle w:val="TableText"/>
            </w:pPr>
            <w:r>
              <w:t>N/A</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B4606" w:rsidRDefault="001F5E97" w:rsidP="001B4606">
            <w:pPr>
              <w:pStyle w:val="TableText"/>
              <w:rPr>
                <w:rStyle w:val="Textbold"/>
              </w:rPr>
            </w:pPr>
            <w:r w:rsidRPr="001B4606">
              <w:rPr>
                <w:rStyle w:val="Textbold"/>
              </w:rPr>
              <w:t>10</w:t>
            </w:r>
          </w:p>
        </w:tc>
        <w:tc>
          <w:tcPr>
            <w:tcW w:w="5670" w:type="dxa"/>
            <w:gridSpan w:val="2"/>
          </w:tcPr>
          <w:p w:rsidR="001F5E97" w:rsidRPr="001B4606" w:rsidRDefault="006A0BC8" w:rsidP="001B4606">
            <w:pPr>
              <w:pStyle w:val="TableText"/>
              <w:rPr>
                <w:rStyle w:val="Textbold"/>
              </w:rPr>
            </w:pPr>
            <w:r>
              <w:rPr>
                <w:rStyle w:val="Textbold"/>
              </w:rPr>
              <w:t xml:space="preserve">Agency </w:t>
            </w:r>
            <w:r w:rsidR="00B44E1E">
              <w:rPr>
                <w:rStyle w:val="Textbold"/>
              </w:rPr>
              <w:t>o</w:t>
            </w:r>
            <w:r w:rsidR="001F5E97" w:rsidRPr="001B4606">
              <w:rPr>
                <w:rStyle w:val="Textbold"/>
              </w:rPr>
              <w:t>verview</w:t>
            </w:r>
          </w:p>
        </w:tc>
        <w:tc>
          <w:tcPr>
            <w:tcW w:w="1701" w:type="dxa"/>
          </w:tcPr>
          <w:p w:rsidR="001F5E97" w:rsidRPr="00E16A2A" w:rsidRDefault="001F5E97" w:rsidP="001B4606">
            <w:pPr>
              <w:pStyle w:val="TableText"/>
            </w:pPr>
          </w:p>
        </w:tc>
        <w:tc>
          <w:tcPr>
            <w:tcW w:w="958" w:type="dxa"/>
          </w:tcPr>
          <w:p w:rsidR="001F5E97" w:rsidRPr="00E16A2A" w:rsidRDefault="001F5E97" w:rsidP="001B4606">
            <w:pPr>
              <w:pStyle w:val="TableText"/>
            </w:pPr>
          </w:p>
        </w:tc>
      </w:tr>
      <w:tr w:rsidR="00E16A2A" w:rsidTr="00F125A2">
        <w:tc>
          <w:tcPr>
            <w:tcW w:w="1526" w:type="dxa"/>
          </w:tcPr>
          <w:p w:rsidR="00E16A2A" w:rsidRPr="00E16A2A" w:rsidRDefault="00E16A2A" w:rsidP="001B4606">
            <w:pPr>
              <w:pStyle w:val="TableText"/>
            </w:pPr>
            <w:r w:rsidRPr="00E16A2A">
              <w:t>10(1)</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Role and functions</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10(1)</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Organisational structure</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10(1)</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Outcome and program structure</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10(2)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Where outcome and program structures differ from PB Statements/PAES or other portfolio statements accompanying any other additional appropriation bills (other portfolio statements), details of variation and reasons for change</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10(3)</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Portfolio structure</w:t>
            </w:r>
          </w:p>
        </w:tc>
        <w:tc>
          <w:tcPr>
            <w:tcW w:w="1701" w:type="dxa"/>
          </w:tcPr>
          <w:p w:rsidR="00E16A2A" w:rsidRPr="00E16A2A" w:rsidRDefault="00E16A2A" w:rsidP="001B4606">
            <w:pPr>
              <w:pStyle w:val="TableText"/>
            </w:pPr>
            <w:r w:rsidRPr="00E16A2A">
              <w:t>Portfolio departments</w:t>
            </w:r>
            <w:r w:rsidR="00B44E1E">
              <w:t>—</w:t>
            </w:r>
            <w:r w:rsidRPr="00E16A2A">
              <w:t>mandatory</w:t>
            </w:r>
          </w:p>
        </w:tc>
        <w:tc>
          <w:tcPr>
            <w:tcW w:w="958" w:type="dxa"/>
          </w:tcPr>
          <w:p w:rsidR="00E16A2A" w:rsidRPr="00E16A2A" w:rsidRDefault="001B4606" w:rsidP="001B4606">
            <w:pPr>
              <w:pStyle w:val="TableText"/>
            </w:pPr>
            <w:r>
              <w:t>N/A</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B4606" w:rsidRDefault="001F5E97" w:rsidP="001B4606">
            <w:pPr>
              <w:pStyle w:val="TableText"/>
              <w:rPr>
                <w:rStyle w:val="Textbold"/>
              </w:rPr>
            </w:pPr>
            <w:r w:rsidRPr="001B4606">
              <w:rPr>
                <w:rStyle w:val="Textbold"/>
              </w:rPr>
              <w:t>11</w:t>
            </w:r>
          </w:p>
        </w:tc>
        <w:tc>
          <w:tcPr>
            <w:tcW w:w="5670" w:type="dxa"/>
            <w:gridSpan w:val="2"/>
          </w:tcPr>
          <w:p w:rsidR="001F5E97" w:rsidRPr="001B4606" w:rsidRDefault="001F5E97" w:rsidP="001B4606">
            <w:pPr>
              <w:pStyle w:val="TableText"/>
              <w:rPr>
                <w:rStyle w:val="Textbold"/>
              </w:rPr>
            </w:pPr>
            <w:r w:rsidRPr="001B4606">
              <w:rPr>
                <w:rStyle w:val="Textbold"/>
              </w:rPr>
              <w:t xml:space="preserve">Report on </w:t>
            </w:r>
            <w:r w:rsidR="00B44E1E">
              <w:rPr>
                <w:rStyle w:val="Textbold"/>
              </w:rPr>
              <w:t>p</w:t>
            </w:r>
            <w:r w:rsidRPr="001B4606">
              <w:rPr>
                <w:rStyle w:val="Textbold"/>
              </w:rPr>
              <w:t>erformance</w:t>
            </w:r>
          </w:p>
        </w:tc>
        <w:tc>
          <w:tcPr>
            <w:tcW w:w="1701" w:type="dxa"/>
          </w:tcPr>
          <w:p w:rsidR="001F5E97" w:rsidRPr="00E16A2A" w:rsidRDefault="001F5E97" w:rsidP="001B4606">
            <w:pPr>
              <w:pStyle w:val="TableText"/>
            </w:pPr>
          </w:p>
        </w:tc>
        <w:tc>
          <w:tcPr>
            <w:tcW w:w="958" w:type="dxa"/>
          </w:tcPr>
          <w:p w:rsidR="001F5E97" w:rsidRPr="00E16A2A" w:rsidRDefault="001F5E97" w:rsidP="001B4606">
            <w:pPr>
              <w:pStyle w:val="TableText"/>
            </w:pPr>
          </w:p>
        </w:tc>
      </w:tr>
      <w:tr w:rsidR="00E16A2A" w:rsidTr="00F125A2">
        <w:tc>
          <w:tcPr>
            <w:tcW w:w="1526" w:type="dxa"/>
          </w:tcPr>
          <w:p w:rsidR="00E16A2A" w:rsidRPr="00E16A2A" w:rsidRDefault="00E16A2A" w:rsidP="001B4606">
            <w:pPr>
              <w:pStyle w:val="TableText"/>
            </w:pPr>
            <w:r w:rsidRPr="00E16A2A">
              <w:t>11(1)</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Review of performance during the year in relation to programs and contribution to outcomes</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11(2)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Actual performance in relation to deliverables and KPIs set out in PB Statements/PAES or other portfolio statements</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11(2)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Where performance targets differ from the PBS/PAES, details of both former and new targets and reasons for the change</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bl>
    <w:p w:rsidR="00F125A2" w:rsidRDefault="00F125A2"/>
    <w:tbl>
      <w:tblPr>
        <w:tblStyle w:val="CCATable"/>
        <w:tblW w:w="0" w:type="auto"/>
        <w:tblLayout w:type="fixed"/>
        <w:tblLook w:val="04A0" w:firstRow="1" w:lastRow="0" w:firstColumn="1" w:lastColumn="0" w:noHBand="0" w:noVBand="1"/>
      </w:tblPr>
      <w:tblGrid>
        <w:gridCol w:w="1526"/>
        <w:gridCol w:w="1984"/>
        <w:gridCol w:w="3686"/>
        <w:gridCol w:w="1701"/>
        <w:gridCol w:w="958"/>
      </w:tblGrid>
      <w:tr w:rsidR="00F125A2" w:rsidTr="00521939">
        <w:trPr>
          <w:cnfStyle w:val="100000000000" w:firstRow="1" w:lastRow="0" w:firstColumn="0" w:lastColumn="0" w:oddVBand="0" w:evenVBand="0" w:oddHBand="0" w:evenHBand="0" w:firstRowFirstColumn="0" w:firstRowLastColumn="0" w:lastRowFirstColumn="0" w:lastRowLastColumn="0"/>
        </w:trPr>
        <w:tc>
          <w:tcPr>
            <w:tcW w:w="1526" w:type="dxa"/>
          </w:tcPr>
          <w:p w:rsidR="00F125A2" w:rsidRPr="001B4606" w:rsidRDefault="00F125A2" w:rsidP="00F125A2">
            <w:pPr>
              <w:pStyle w:val="TableHeading"/>
            </w:pPr>
            <w:r w:rsidRPr="001B4606">
              <w:lastRenderedPageBreak/>
              <w:t>REFERENCE</w:t>
            </w:r>
          </w:p>
        </w:tc>
        <w:tc>
          <w:tcPr>
            <w:tcW w:w="1984" w:type="dxa"/>
          </w:tcPr>
          <w:p w:rsidR="00F125A2" w:rsidRPr="001B4606" w:rsidRDefault="00F125A2" w:rsidP="00F125A2">
            <w:pPr>
              <w:pStyle w:val="TableHeading"/>
            </w:pPr>
            <w:r w:rsidRPr="001B4606">
              <w:t>PART OF REPORT</w:t>
            </w:r>
          </w:p>
        </w:tc>
        <w:tc>
          <w:tcPr>
            <w:tcW w:w="3686" w:type="dxa"/>
          </w:tcPr>
          <w:p w:rsidR="00F125A2" w:rsidRPr="001B4606" w:rsidRDefault="00F125A2" w:rsidP="00F125A2">
            <w:pPr>
              <w:pStyle w:val="TableHeading"/>
            </w:pPr>
            <w:r w:rsidRPr="001B4606">
              <w:t>DESCRIPTION</w:t>
            </w:r>
          </w:p>
        </w:tc>
        <w:tc>
          <w:tcPr>
            <w:tcW w:w="1701" w:type="dxa"/>
          </w:tcPr>
          <w:p w:rsidR="00F125A2" w:rsidRPr="001B4606" w:rsidRDefault="00F125A2" w:rsidP="00F125A2">
            <w:pPr>
              <w:pStyle w:val="TableHeading"/>
            </w:pPr>
            <w:r w:rsidRPr="001B4606">
              <w:t>REQUIREMENT</w:t>
            </w:r>
          </w:p>
        </w:tc>
        <w:tc>
          <w:tcPr>
            <w:tcW w:w="958" w:type="dxa"/>
          </w:tcPr>
          <w:p w:rsidR="00F125A2" w:rsidRPr="001B4606" w:rsidRDefault="00F125A2" w:rsidP="00F125A2">
            <w:pPr>
              <w:pStyle w:val="TableHeading"/>
            </w:pPr>
            <w:r w:rsidRPr="001B4606">
              <w:t xml:space="preserve">PAGE </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11(2)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Narrative discussion and analysis of performance</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11(2)</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Trend information</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N</w:t>
            </w:r>
            <w:r w:rsidR="00B44E1E">
              <w:t>/</w:t>
            </w:r>
            <w:r>
              <w:t>A</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11(3)</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Significant changes in nature of principal functions/services</w:t>
            </w:r>
          </w:p>
        </w:tc>
        <w:tc>
          <w:tcPr>
            <w:tcW w:w="1701" w:type="dxa"/>
          </w:tcPr>
          <w:p w:rsidR="00E16A2A" w:rsidRPr="00E16A2A" w:rsidRDefault="00E16A2A" w:rsidP="001B4606">
            <w:pPr>
              <w:pStyle w:val="TableText"/>
            </w:pPr>
            <w:r w:rsidRPr="00E16A2A">
              <w:t>Suggested</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16A2A" w:rsidP="001B4606">
            <w:pPr>
              <w:pStyle w:val="TableText"/>
            </w:pPr>
            <w:r w:rsidRPr="00E16A2A">
              <w:t>11(3)</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 xml:space="preserve">Performance of purchaser/provider arrangements </w:t>
            </w:r>
          </w:p>
        </w:tc>
        <w:tc>
          <w:tcPr>
            <w:tcW w:w="1701" w:type="dxa"/>
          </w:tcPr>
          <w:p w:rsidR="00E16A2A" w:rsidRPr="00E16A2A" w:rsidRDefault="00E16A2A" w:rsidP="001B4606">
            <w:pPr>
              <w:pStyle w:val="TableText"/>
            </w:pPr>
            <w:r w:rsidRPr="00E16A2A">
              <w:t xml:space="preserve">If applicable, suggested </w:t>
            </w:r>
          </w:p>
        </w:tc>
        <w:tc>
          <w:tcPr>
            <w:tcW w:w="958" w:type="dxa"/>
          </w:tcPr>
          <w:p w:rsidR="00E16A2A" w:rsidRPr="00E16A2A" w:rsidRDefault="008B2014" w:rsidP="001B4606">
            <w:pPr>
              <w:pStyle w:val="TableText"/>
            </w:pPr>
            <w:r>
              <w:t>N</w:t>
            </w:r>
            <w:r w:rsidR="00B44E1E">
              <w:t>/</w:t>
            </w:r>
            <w:r>
              <w:t>A</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16A2A" w:rsidP="001B4606">
            <w:pPr>
              <w:pStyle w:val="TableText"/>
            </w:pPr>
            <w:r w:rsidRPr="00E16A2A">
              <w:t>11(3)</w:t>
            </w:r>
          </w:p>
        </w:tc>
        <w:tc>
          <w:tcPr>
            <w:tcW w:w="1984" w:type="dxa"/>
          </w:tcPr>
          <w:p w:rsidR="00E16A2A" w:rsidRPr="00E16A2A" w:rsidRDefault="00E16A2A" w:rsidP="001B4606">
            <w:pPr>
              <w:pStyle w:val="TableText"/>
            </w:pPr>
          </w:p>
        </w:tc>
        <w:tc>
          <w:tcPr>
            <w:tcW w:w="3686" w:type="dxa"/>
          </w:tcPr>
          <w:p w:rsidR="00E16A2A" w:rsidRPr="00E16A2A" w:rsidRDefault="00E16A2A" w:rsidP="00FD1F27">
            <w:pPr>
              <w:pStyle w:val="TableText"/>
            </w:pPr>
            <w:r w:rsidRPr="00E16A2A">
              <w:t xml:space="preserve">Factors, events or trends influencing </w:t>
            </w:r>
            <w:r w:rsidR="00FD1F27">
              <w:t>agency</w:t>
            </w:r>
            <w:r w:rsidRPr="00E16A2A">
              <w:t xml:space="preserve"> performance</w:t>
            </w:r>
          </w:p>
        </w:tc>
        <w:tc>
          <w:tcPr>
            <w:tcW w:w="1701" w:type="dxa"/>
          </w:tcPr>
          <w:p w:rsidR="00E16A2A" w:rsidRPr="00E16A2A" w:rsidRDefault="00E16A2A" w:rsidP="001B4606">
            <w:pPr>
              <w:pStyle w:val="TableText"/>
            </w:pPr>
            <w:r w:rsidRPr="00E16A2A">
              <w:t>Suggested</w:t>
            </w:r>
          </w:p>
        </w:tc>
        <w:tc>
          <w:tcPr>
            <w:tcW w:w="958" w:type="dxa"/>
          </w:tcPr>
          <w:p w:rsidR="00E16A2A" w:rsidRPr="00E16A2A" w:rsidRDefault="008B2014" w:rsidP="001B4606">
            <w:pPr>
              <w:pStyle w:val="TableText"/>
            </w:pPr>
            <w:r>
              <w:t>N</w:t>
            </w:r>
          </w:p>
        </w:tc>
      </w:tr>
      <w:tr w:rsidR="00E16A2A" w:rsidTr="00F125A2">
        <w:tc>
          <w:tcPr>
            <w:tcW w:w="1526" w:type="dxa"/>
          </w:tcPr>
          <w:p w:rsidR="00E16A2A" w:rsidRPr="00E16A2A" w:rsidRDefault="00E16A2A" w:rsidP="001B4606">
            <w:pPr>
              <w:pStyle w:val="TableText"/>
            </w:pPr>
            <w:r w:rsidRPr="00E16A2A">
              <w:t>11(3)</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Contribution of risk management in achieving objectives</w:t>
            </w:r>
          </w:p>
        </w:tc>
        <w:tc>
          <w:tcPr>
            <w:tcW w:w="1701" w:type="dxa"/>
          </w:tcPr>
          <w:p w:rsidR="00E16A2A" w:rsidRPr="00E16A2A" w:rsidRDefault="00E16A2A" w:rsidP="001B4606">
            <w:pPr>
              <w:pStyle w:val="TableText"/>
            </w:pPr>
            <w:r w:rsidRPr="00E16A2A">
              <w:t>Suggested</w:t>
            </w:r>
          </w:p>
        </w:tc>
        <w:tc>
          <w:tcPr>
            <w:tcW w:w="958" w:type="dxa"/>
          </w:tcPr>
          <w:p w:rsidR="00E16A2A" w:rsidRPr="00E16A2A" w:rsidRDefault="008B2014" w:rsidP="001B4606">
            <w:pPr>
              <w:pStyle w:val="TableText"/>
            </w:pPr>
            <w:r>
              <w:t>N</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FD1F27" w:rsidP="001B4606">
            <w:pPr>
              <w:pStyle w:val="TableText"/>
            </w:pPr>
            <w:r>
              <w:t>11(4</w:t>
            </w:r>
            <w:r w:rsidR="00E16A2A" w:rsidRPr="00E16A2A">
              <w:t>)</w:t>
            </w:r>
          </w:p>
        </w:tc>
        <w:tc>
          <w:tcPr>
            <w:tcW w:w="1984" w:type="dxa"/>
          </w:tcPr>
          <w:p w:rsidR="00E16A2A" w:rsidRPr="00E16A2A" w:rsidRDefault="00E16A2A" w:rsidP="001B4606">
            <w:pPr>
              <w:pStyle w:val="TableText"/>
            </w:pPr>
          </w:p>
        </w:tc>
        <w:tc>
          <w:tcPr>
            <w:tcW w:w="3686" w:type="dxa"/>
          </w:tcPr>
          <w:p w:rsidR="00E16A2A" w:rsidRPr="00E16A2A" w:rsidRDefault="00E16A2A" w:rsidP="00FD1F27">
            <w:pPr>
              <w:pStyle w:val="TableText"/>
            </w:pPr>
            <w:r w:rsidRPr="00E16A2A">
              <w:t xml:space="preserve">Performance against service charter customer service standards, complaints data and the </w:t>
            </w:r>
            <w:r w:rsidR="00FD1F27">
              <w:t>agency</w:t>
            </w:r>
            <w:r w:rsidRPr="00E16A2A">
              <w:t>’s response to complaints</w:t>
            </w:r>
          </w:p>
        </w:tc>
        <w:tc>
          <w:tcPr>
            <w:tcW w:w="1701" w:type="dxa"/>
          </w:tcPr>
          <w:p w:rsidR="00E16A2A" w:rsidRPr="00E16A2A" w:rsidRDefault="00E16A2A" w:rsidP="001B4606">
            <w:pPr>
              <w:pStyle w:val="TableText"/>
            </w:pPr>
            <w:r w:rsidRPr="00E16A2A">
              <w:t>If applicable, mandatory</w:t>
            </w:r>
          </w:p>
        </w:tc>
        <w:tc>
          <w:tcPr>
            <w:tcW w:w="958" w:type="dxa"/>
          </w:tcPr>
          <w:p w:rsidR="00E16A2A" w:rsidRPr="00E16A2A" w:rsidRDefault="008B2014" w:rsidP="001B4606">
            <w:pPr>
              <w:pStyle w:val="TableText"/>
            </w:pPr>
            <w:r>
              <w:t>N</w:t>
            </w:r>
            <w:r w:rsidR="00B44E1E">
              <w:t>/</w:t>
            </w:r>
            <w:r>
              <w:t>A</w:t>
            </w:r>
          </w:p>
        </w:tc>
      </w:tr>
      <w:tr w:rsidR="00E16A2A" w:rsidTr="00F125A2">
        <w:tc>
          <w:tcPr>
            <w:tcW w:w="1526" w:type="dxa"/>
          </w:tcPr>
          <w:p w:rsidR="00E16A2A" w:rsidRPr="00E16A2A" w:rsidRDefault="00FD1F27" w:rsidP="001B4606">
            <w:pPr>
              <w:pStyle w:val="TableText"/>
            </w:pPr>
            <w:r>
              <w:t>11(5</w:t>
            </w:r>
            <w:r w:rsidR="00E16A2A" w:rsidRPr="00E16A2A">
              <w:t>)</w:t>
            </w:r>
          </w:p>
        </w:tc>
        <w:tc>
          <w:tcPr>
            <w:tcW w:w="1984" w:type="dxa"/>
          </w:tcPr>
          <w:p w:rsidR="00E16A2A" w:rsidRPr="00E16A2A" w:rsidRDefault="00E16A2A" w:rsidP="001B4606">
            <w:pPr>
              <w:pStyle w:val="TableText"/>
            </w:pPr>
          </w:p>
        </w:tc>
        <w:tc>
          <w:tcPr>
            <w:tcW w:w="3686" w:type="dxa"/>
          </w:tcPr>
          <w:p w:rsidR="00E16A2A" w:rsidRPr="00E16A2A" w:rsidRDefault="00E16A2A" w:rsidP="00FD1F27">
            <w:pPr>
              <w:pStyle w:val="TableText"/>
            </w:pPr>
            <w:r w:rsidRPr="00E16A2A">
              <w:t xml:space="preserve">Discussion and analysis of the </w:t>
            </w:r>
            <w:r w:rsidR="00FD1F27">
              <w:t>agency</w:t>
            </w:r>
            <w:r w:rsidRPr="00E16A2A">
              <w:t>’s financial performance</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E16A2A" w:rsidRPr="00E16A2A" w:rsidRDefault="00EF1366" w:rsidP="001B4606">
            <w:pPr>
              <w:pStyle w:val="TableText"/>
            </w:pPr>
            <w:r>
              <w:t>11(6</w:t>
            </w:r>
            <w:r w:rsidR="00E16A2A" w:rsidRPr="00E16A2A">
              <w:t>)</w:t>
            </w:r>
          </w:p>
        </w:tc>
        <w:tc>
          <w:tcPr>
            <w:tcW w:w="1984" w:type="dxa"/>
          </w:tcPr>
          <w:p w:rsidR="00E16A2A" w:rsidRPr="00E16A2A" w:rsidRDefault="00E16A2A" w:rsidP="001B4606">
            <w:pPr>
              <w:pStyle w:val="TableText"/>
            </w:pPr>
          </w:p>
        </w:tc>
        <w:tc>
          <w:tcPr>
            <w:tcW w:w="3686" w:type="dxa"/>
          </w:tcPr>
          <w:p w:rsidR="00E16A2A" w:rsidRPr="00E16A2A" w:rsidRDefault="00E16A2A" w:rsidP="00EF1366">
            <w:pPr>
              <w:pStyle w:val="TableText"/>
            </w:pPr>
            <w:r w:rsidRPr="00E16A2A">
              <w:t xml:space="preserve">Discussion of any significant changes </w:t>
            </w:r>
            <w:r w:rsidR="00EF1366">
              <w:t xml:space="preserve">in financial results from the prior year, </w:t>
            </w:r>
            <w:r w:rsidRPr="00E16A2A">
              <w:t>from budget or anticipated to have a signific</w:t>
            </w:r>
            <w:r w:rsidR="001F5E97">
              <w:t>ant impact on future operations</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E16A2A" w:rsidTr="00F125A2">
        <w:tc>
          <w:tcPr>
            <w:tcW w:w="1526" w:type="dxa"/>
          </w:tcPr>
          <w:p w:rsidR="00E16A2A" w:rsidRPr="00E16A2A" w:rsidRDefault="00EF1366" w:rsidP="001B4606">
            <w:pPr>
              <w:pStyle w:val="TableText"/>
            </w:pPr>
            <w:r>
              <w:t>11(7</w:t>
            </w:r>
            <w:r w:rsidR="00E16A2A" w:rsidRPr="00E16A2A">
              <w:t>)</w:t>
            </w:r>
          </w:p>
        </w:tc>
        <w:tc>
          <w:tcPr>
            <w:tcW w:w="1984" w:type="dxa"/>
          </w:tcPr>
          <w:p w:rsidR="00E16A2A" w:rsidRPr="00E16A2A" w:rsidRDefault="00E16A2A" w:rsidP="001B4606">
            <w:pPr>
              <w:pStyle w:val="TableText"/>
            </w:pPr>
          </w:p>
        </w:tc>
        <w:tc>
          <w:tcPr>
            <w:tcW w:w="3686" w:type="dxa"/>
          </w:tcPr>
          <w:p w:rsidR="00E16A2A" w:rsidRPr="00E16A2A" w:rsidRDefault="00E16A2A" w:rsidP="001B4606">
            <w:pPr>
              <w:pStyle w:val="TableText"/>
            </w:pPr>
            <w:r w:rsidRPr="00E16A2A">
              <w:t>Agency resource statement and summary resource tables by outcomes</w:t>
            </w:r>
          </w:p>
        </w:tc>
        <w:tc>
          <w:tcPr>
            <w:tcW w:w="1701" w:type="dxa"/>
          </w:tcPr>
          <w:p w:rsidR="00E16A2A" w:rsidRPr="00E16A2A" w:rsidRDefault="00E16A2A" w:rsidP="001B4606">
            <w:pPr>
              <w:pStyle w:val="TableText"/>
            </w:pPr>
            <w:r w:rsidRPr="00E16A2A">
              <w:t>Mandatory</w:t>
            </w:r>
          </w:p>
        </w:tc>
        <w:tc>
          <w:tcPr>
            <w:tcW w:w="958" w:type="dxa"/>
          </w:tcPr>
          <w:p w:rsidR="00E16A2A" w:rsidRPr="00E16A2A"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B4606" w:rsidRDefault="001F5E97" w:rsidP="001B4606">
            <w:pPr>
              <w:pStyle w:val="TableText"/>
              <w:rPr>
                <w:rStyle w:val="Textbold"/>
              </w:rPr>
            </w:pPr>
            <w:r w:rsidRPr="001B4606">
              <w:rPr>
                <w:rStyle w:val="Textbold"/>
              </w:rPr>
              <w:t>12</w:t>
            </w:r>
          </w:p>
        </w:tc>
        <w:tc>
          <w:tcPr>
            <w:tcW w:w="5670" w:type="dxa"/>
            <w:gridSpan w:val="2"/>
          </w:tcPr>
          <w:p w:rsidR="001F5E97" w:rsidRPr="001B4606" w:rsidRDefault="001F5E97" w:rsidP="001B4606">
            <w:pPr>
              <w:pStyle w:val="TableText"/>
              <w:rPr>
                <w:rStyle w:val="Textbold"/>
              </w:rPr>
            </w:pPr>
            <w:r w:rsidRPr="001B4606">
              <w:rPr>
                <w:rStyle w:val="Textbold"/>
              </w:rPr>
              <w:t xml:space="preserve">Management and </w:t>
            </w:r>
            <w:r w:rsidR="00B44E1E">
              <w:rPr>
                <w:rStyle w:val="Textbold"/>
              </w:rPr>
              <w:t>a</w:t>
            </w:r>
            <w:r w:rsidRPr="001B4606">
              <w:rPr>
                <w:rStyle w:val="Textbold"/>
              </w:rPr>
              <w:t>ccountability</w:t>
            </w:r>
          </w:p>
        </w:tc>
        <w:tc>
          <w:tcPr>
            <w:tcW w:w="1701" w:type="dxa"/>
          </w:tcPr>
          <w:p w:rsidR="001F5E97" w:rsidRPr="001F5E97" w:rsidRDefault="001F5E97" w:rsidP="001B4606">
            <w:pPr>
              <w:pStyle w:val="TableText"/>
            </w:pPr>
          </w:p>
        </w:tc>
        <w:tc>
          <w:tcPr>
            <w:tcW w:w="958" w:type="dxa"/>
          </w:tcPr>
          <w:p w:rsidR="001F5E97" w:rsidRPr="001F5E97" w:rsidRDefault="001F5E97" w:rsidP="001B4606">
            <w:pPr>
              <w:pStyle w:val="TableText"/>
            </w:pPr>
          </w:p>
        </w:tc>
      </w:tr>
      <w:tr w:rsidR="001F5E97" w:rsidTr="00F125A2">
        <w:tc>
          <w:tcPr>
            <w:tcW w:w="1526" w:type="dxa"/>
          </w:tcPr>
          <w:p w:rsidR="001F5E97" w:rsidRPr="001F5E97" w:rsidRDefault="001F5E97" w:rsidP="001B4606">
            <w:pPr>
              <w:pStyle w:val="TableText"/>
            </w:pPr>
          </w:p>
        </w:tc>
        <w:tc>
          <w:tcPr>
            <w:tcW w:w="5670" w:type="dxa"/>
            <w:gridSpan w:val="2"/>
          </w:tcPr>
          <w:p w:rsidR="001F5E97" w:rsidRPr="001B4606" w:rsidRDefault="001F5E97" w:rsidP="001B4606">
            <w:pPr>
              <w:pStyle w:val="TableText"/>
              <w:rPr>
                <w:rStyle w:val="Textbold"/>
              </w:rPr>
            </w:pPr>
            <w:r w:rsidRPr="001B4606">
              <w:rPr>
                <w:rStyle w:val="Textbold"/>
              </w:rPr>
              <w:t xml:space="preserve">Corporate </w:t>
            </w:r>
            <w:r w:rsidR="00B44E1E">
              <w:rPr>
                <w:rStyle w:val="Textbold"/>
              </w:rPr>
              <w:t>g</w:t>
            </w:r>
            <w:r w:rsidRPr="001B4606">
              <w:rPr>
                <w:rStyle w:val="Textbold"/>
              </w:rPr>
              <w:t>overnance</w:t>
            </w:r>
          </w:p>
        </w:tc>
        <w:tc>
          <w:tcPr>
            <w:tcW w:w="1701" w:type="dxa"/>
          </w:tcPr>
          <w:p w:rsidR="001F5E97" w:rsidRPr="001F5E97" w:rsidRDefault="001F5E97" w:rsidP="001B4606">
            <w:pPr>
              <w:pStyle w:val="TableText"/>
            </w:pPr>
          </w:p>
        </w:tc>
        <w:tc>
          <w:tcPr>
            <w:tcW w:w="958" w:type="dxa"/>
          </w:tcPr>
          <w:p w:rsidR="001F5E97" w:rsidRPr="001F5E97" w:rsidRDefault="001F5E97" w:rsidP="001B4606">
            <w:pPr>
              <w:pStyle w:val="TableText"/>
            </w:pP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12(1)</w:t>
            </w:r>
          </w:p>
        </w:tc>
        <w:tc>
          <w:tcPr>
            <w:tcW w:w="1984" w:type="dxa"/>
          </w:tcPr>
          <w:p w:rsidR="001F5E97" w:rsidRPr="001F5E97" w:rsidRDefault="001F5E97" w:rsidP="001B4606">
            <w:pPr>
              <w:pStyle w:val="TableText"/>
            </w:pPr>
          </w:p>
        </w:tc>
        <w:tc>
          <w:tcPr>
            <w:tcW w:w="3686" w:type="dxa"/>
          </w:tcPr>
          <w:p w:rsidR="001F5E97" w:rsidRPr="001F5E97" w:rsidRDefault="001F5E97" w:rsidP="005C68F0">
            <w:pPr>
              <w:pStyle w:val="TableText"/>
            </w:pPr>
            <w:r w:rsidRPr="001F5E97">
              <w:t>Agency heads are required to certify their agency</w:t>
            </w:r>
            <w:r w:rsidR="005C68F0">
              <w:t>’s actions in dealing with f</w:t>
            </w:r>
            <w:r>
              <w:t>rau</w:t>
            </w:r>
            <w:r w:rsidR="005C68F0">
              <w:t>d</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c>
          <w:tcPr>
            <w:tcW w:w="1526" w:type="dxa"/>
          </w:tcPr>
          <w:p w:rsidR="001F5E97" w:rsidRPr="001F5E97" w:rsidRDefault="001F5E97" w:rsidP="001B4606">
            <w:pPr>
              <w:pStyle w:val="TableText"/>
            </w:pPr>
            <w:r w:rsidRPr="001F5E97">
              <w:t>12(2)</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Statement of the main corporate governance practices in place</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12(3)</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Names of the senior executive and their responsibilities</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Y</w:t>
            </w:r>
          </w:p>
        </w:tc>
      </w:tr>
      <w:tr w:rsidR="001F5E97" w:rsidTr="00F125A2">
        <w:tc>
          <w:tcPr>
            <w:tcW w:w="1526" w:type="dxa"/>
          </w:tcPr>
          <w:p w:rsidR="001F5E97" w:rsidRPr="001F5E97" w:rsidRDefault="001F5E97" w:rsidP="001B4606">
            <w:pPr>
              <w:pStyle w:val="TableText"/>
            </w:pPr>
            <w:r w:rsidRPr="001F5E97">
              <w:t>12(3)</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Senior management committees and their roles</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N</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12(3)</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Corporate and operational planning and associated performance reporting and review</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N</w:t>
            </w:r>
          </w:p>
        </w:tc>
      </w:tr>
      <w:tr w:rsidR="001F5E97" w:rsidTr="00F125A2">
        <w:tc>
          <w:tcPr>
            <w:tcW w:w="1526" w:type="dxa"/>
          </w:tcPr>
          <w:p w:rsidR="001F5E97" w:rsidRPr="001F5E97" w:rsidRDefault="001F5E97" w:rsidP="001B4606">
            <w:pPr>
              <w:pStyle w:val="TableText"/>
            </w:pPr>
            <w:r w:rsidRPr="001F5E97">
              <w:t>12(3)</w:t>
            </w:r>
          </w:p>
        </w:tc>
        <w:tc>
          <w:tcPr>
            <w:tcW w:w="1984" w:type="dxa"/>
          </w:tcPr>
          <w:p w:rsidR="001F5E97" w:rsidRPr="001F5E97" w:rsidRDefault="001F5E97" w:rsidP="001B4606">
            <w:pPr>
              <w:pStyle w:val="TableText"/>
            </w:pPr>
          </w:p>
        </w:tc>
        <w:tc>
          <w:tcPr>
            <w:tcW w:w="3686" w:type="dxa"/>
          </w:tcPr>
          <w:p w:rsidR="001F5E97" w:rsidRPr="001F5E97" w:rsidRDefault="00EF1366" w:rsidP="00EF1366">
            <w:pPr>
              <w:pStyle w:val="TableText"/>
            </w:pPr>
            <w:r>
              <w:t>Internal audit arrangements including approach adopted to identifying areas of significant financial or operational risk and arrangements to manage those risks</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12(3)</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Policy and practices on the establishment and maintenance of appropriate ethical standards</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Y</w:t>
            </w:r>
          </w:p>
        </w:tc>
      </w:tr>
      <w:tr w:rsidR="001F5E97" w:rsidTr="00F125A2">
        <w:tc>
          <w:tcPr>
            <w:tcW w:w="1526" w:type="dxa"/>
          </w:tcPr>
          <w:p w:rsidR="001F5E97" w:rsidRPr="001F5E97" w:rsidRDefault="001F5E97" w:rsidP="001B4606">
            <w:pPr>
              <w:pStyle w:val="TableText"/>
            </w:pPr>
            <w:r w:rsidRPr="001F5E97">
              <w:t>12(3)</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How nature and amount of remuneration for SES officers is determined</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p>
        </w:tc>
        <w:tc>
          <w:tcPr>
            <w:tcW w:w="5670" w:type="dxa"/>
            <w:gridSpan w:val="2"/>
          </w:tcPr>
          <w:p w:rsidR="001F5E97" w:rsidRPr="001B4606" w:rsidRDefault="001F5E97" w:rsidP="001B4606">
            <w:pPr>
              <w:pStyle w:val="TableText"/>
              <w:rPr>
                <w:rStyle w:val="Textbold"/>
              </w:rPr>
            </w:pPr>
            <w:r w:rsidRPr="001B4606">
              <w:rPr>
                <w:rStyle w:val="Textbold"/>
              </w:rPr>
              <w:t xml:space="preserve">External </w:t>
            </w:r>
            <w:r w:rsidR="00B44E1E">
              <w:rPr>
                <w:rStyle w:val="Textbold"/>
              </w:rPr>
              <w:t>s</w:t>
            </w:r>
            <w:r w:rsidRPr="001B4606">
              <w:rPr>
                <w:rStyle w:val="Textbold"/>
              </w:rPr>
              <w:t>crutiny</w:t>
            </w:r>
          </w:p>
        </w:tc>
        <w:tc>
          <w:tcPr>
            <w:tcW w:w="1701" w:type="dxa"/>
          </w:tcPr>
          <w:p w:rsidR="001F5E97" w:rsidRPr="001F5E97" w:rsidRDefault="001F5E97" w:rsidP="001B4606">
            <w:pPr>
              <w:pStyle w:val="TableText"/>
            </w:pPr>
          </w:p>
        </w:tc>
        <w:tc>
          <w:tcPr>
            <w:tcW w:w="958" w:type="dxa"/>
          </w:tcPr>
          <w:p w:rsidR="001F5E97" w:rsidRPr="001F5E97" w:rsidRDefault="001F5E97" w:rsidP="001B4606">
            <w:pPr>
              <w:pStyle w:val="TableText"/>
            </w:pPr>
          </w:p>
        </w:tc>
      </w:tr>
      <w:tr w:rsidR="001F5E97" w:rsidTr="00F125A2">
        <w:tc>
          <w:tcPr>
            <w:tcW w:w="1526" w:type="dxa"/>
          </w:tcPr>
          <w:p w:rsidR="001F5E97" w:rsidRPr="001F5E97" w:rsidRDefault="001F5E97" w:rsidP="001B4606">
            <w:pPr>
              <w:pStyle w:val="TableText"/>
            </w:pPr>
            <w:r w:rsidRPr="001F5E97">
              <w:t>12(4)</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Significant developments in external scrutiny</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12(4)</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Judicial decisions and decisions of administrative tribunals</w:t>
            </w:r>
            <w:r w:rsidR="00EF1366">
              <w:t xml:space="preserve"> and by the Australian Information Commissioner</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c>
          <w:tcPr>
            <w:tcW w:w="1526" w:type="dxa"/>
          </w:tcPr>
          <w:p w:rsidR="001F5E97" w:rsidRPr="001F5E97" w:rsidRDefault="001F5E97" w:rsidP="001B4606">
            <w:pPr>
              <w:pStyle w:val="TableText"/>
            </w:pPr>
            <w:r w:rsidRPr="001F5E97">
              <w:lastRenderedPageBreak/>
              <w:t>12(4)</w:t>
            </w:r>
          </w:p>
        </w:tc>
        <w:tc>
          <w:tcPr>
            <w:tcW w:w="1984" w:type="dxa"/>
          </w:tcPr>
          <w:p w:rsidR="001F5E97" w:rsidRPr="001F5E97" w:rsidRDefault="001F5E97" w:rsidP="001B4606">
            <w:pPr>
              <w:pStyle w:val="TableText"/>
            </w:pPr>
          </w:p>
        </w:tc>
        <w:tc>
          <w:tcPr>
            <w:tcW w:w="3686" w:type="dxa"/>
          </w:tcPr>
          <w:p w:rsidR="001F5E97" w:rsidRPr="001F5E97" w:rsidRDefault="001F5E97" w:rsidP="00EF1366">
            <w:pPr>
              <w:pStyle w:val="TableText"/>
            </w:pPr>
            <w:r w:rsidRPr="001F5E97">
              <w:t>Reports by the Auditor-Gen</w:t>
            </w:r>
            <w:r w:rsidR="00EF1366">
              <w:t xml:space="preserve">eral, a Parliamentary Committee, </w:t>
            </w:r>
            <w:r w:rsidRPr="001F5E97">
              <w:t>the Commonwealth Ombudsman</w:t>
            </w:r>
            <w:r w:rsidR="00EF1366">
              <w:t xml:space="preserve"> or an agency capability review</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p>
        </w:tc>
        <w:tc>
          <w:tcPr>
            <w:tcW w:w="5670" w:type="dxa"/>
            <w:gridSpan w:val="2"/>
          </w:tcPr>
          <w:p w:rsidR="001F5E97" w:rsidRPr="001B4606" w:rsidRDefault="001F5E97" w:rsidP="001B4606">
            <w:pPr>
              <w:pStyle w:val="TableText"/>
              <w:rPr>
                <w:rStyle w:val="Textbold"/>
              </w:rPr>
            </w:pPr>
            <w:r w:rsidRPr="001B4606">
              <w:rPr>
                <w:rStyle w:val="Textbold"/>
              </w:rPr>
              <w:t xml:space="preserve">Management of </w:t>
            </w:r>
            <w:r w:rsidR="00B44E1E">
              <w:rPr>
                <w:rStyle w:val="Textbold"/>
              </w:rPr>
              <w:t>h</w:t>
            </w:r>
            <w:r w:rsidRPr="001B4606">
              <w:rPr>
                <w:rStyle w:val="Textbold"/>
              </w:rPr>
              <w:t xml:space="preserve">uman </w:t>
            </w:r>
            <w:r w:rsidR="00B44E1E">
              <w:rPr>
                <w:rStyle w:val="Textbold"/>
              </w:rPr>
              <w:t>r</w:t>
            </w:r>
            <w:r w:rsidRPr="001B4606">
              <w:rPr>
                <w:rStyle w:val="Textbold"/>
              </w:rPr>
              <w:t>esources</w:t>
            </w:r>
          </w:p>
        </w:tc>
        <w:tc>
          <w:tcPr>
            <w:tcW w:w="1701" w:type="dxa"/>
          </w:tcPr>
          <w:p w:rsidR="001F5E97" w:rsidRPr="001F5E97" w:rsidRDefault="001F5E97" w:rsidP="001B4606">
            <w:pPr>
              <w:pStyle w:val="TableText"/>
            </w:pPr>
          </w:p>
        </w:tc>
        <w:tc>
          <w:tcPr>
            <w:tcW w:w="958" w:type="dxa"/>
          </w:tcPr>
          <w:p w:rsidR="001F5E97" w:rsidRPr="001F5E97" w:rsidRDefault="001F5E97" w:rsidP="001B4606">
            <w:pPr>
              <w:pStyle w:val="TableText"/>
            </w:pPr>
          </w:p>
        </w:tc>
      </w:tr>
      <w:tr w:rsidR="001F5E97" w:rsidTr="00F125A2">
        <w:tc>
          <w:tcPr>
            <w:tcW w:w="1526" w:type="dxa"/>
          </w:tcPr>
          <w:p w:rsidR="001F5E97" w:rsidRPr="001F5E97" w:rsidRDefault="001F5E97" w:rsidP="001B4606">
            <w:pPr>
              <w:pStyle w:val="TableText"/>
            </w:pPr>
            <w:r w:rsidRPr="001F5E97">
              <w:t>12(5)</w:t>
            </w:r>
          </w:p>
        </w:tc>
        <w:tc>
          <w:tcPr>
            <w:tcW w:w="1984" w:type="dxa"/>
          </w:tcPr>
          <w:p w:rsidR="001F5E97" w:rsidRPr="001F5E97" w:rsidRDefault="001F5E97" w:rsidP="001B4606">
            <w:pPr>
              <w:pStyle w:val="TableText"/>
            </w:pPr>
          </w:p>
        </w:tc>
        <w:tc>
          <w:tcPr>
            <w:tcW w:w="3686" w:type="dxa"/>
          </w:tcPr>
          <w:p w:rsidR="001F5E97" w:rsidRPr="001F5E97" w:rsidRDefault="001F5E97" w:rsidP="00EF1366">
            <w:pPr>
              <w:pStyle w:val="TableText"/>
            </w:pPr>
            <w:r w:rsidRPr="001F5E97">
              <w:t>Assessment of effectiveness in managing and developing human resources to achieve</w:t>
            </w:r>
            <w:r w:rsidR="00EF1366">
              <w:t xml:space="preserve"> agency</w:t>
            </w:r>
            <w:r w:rsidRPr="001F5E97">
              <w:t xml:space="preserve"> objectives</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12(6)</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Workforce planning, staff turnover and retention</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N</w:t>
            </w:r>
          </w:p>
        </w:tc>
      </w:tr>
      <w:tr w:rsidR="001F5E97" w:rsidTr="00F125A2">
        <w:tc>
          <w:tcPr>
            <w:tcW w:w="1526" w:type="dxa"/>
          </w:tcPr>
          <w:p w:rsidR="001F5E97" w:rsidRPr="001F5E97" w:rsidRDefault="001F5E97" w:rsidP="001B4606">
            <w:pPr>
              <w:pStyle w:val="TableText"/>
            </w:pPr>
            <w:r w:rsidRPr="001F5E97">
              <w:t>12(6)</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Impact and features of enterprise or collective agreements, individual flexibility arrangements (IFAs), determinations, common law contracts and A</w:t>
            </w:r>
            <w:r w:rsidR="00EF1366">
              <w:t xml:space="preserve">ustralian </w:t>
            </w:r>
            <w:r w:rsidRPr="001F5E97">
              <w:t>W</w:t>
            </w:r>
            <w:r w:rsidR="00EF1366">
              <w:t xml:space="preserve">orkplace </w:t>
            </w:r>
            <w:r w:rsidRPr="001F5E97">
              <w:t>A</w:t>
            </w:r>
            <w:r w:rsidR="00EF1366">
              <w:t>greement</w:t>
            </w:r>
            <w:r w:rsidRPr="001F5E97">
              <w:t>s</w:t>
            </w:r>
            <w:r w:rsidR="00EF1366">
              <w:t xml:space="preserve"> (AWAs)</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N</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12(6)</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Training and development undertaken and its impact</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N</w:t>
            </w:r>
          </w:p>
        </w:tc>
      </w:tr>
      <w:tr w:rsidR="001F5E97" w:rsidTr="00F125A2">
        <w:tc>
          <w:tcPr>
            <w:tcW w:w="1526" w:type="dxa"/>
          </w:tcPr>
          <w:p w:rsidR="001F5E97" w:rsidRPr="001F5E97" w:rsidRDefault="001F5E97" w:rsidP="001B4606">
            <w:pPr>
              <w:pStyle w:val="TableText"/>
            </w:pPr>
            <w:r w:rsidRPr="001F5E97">
              <w:t>12(6)</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Work health and safety performance</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5D1510"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1F5E97" w:rsidP="001B4606">
            <w:pPr>
              <w:pStyle w:val="TableText"/>
            </w:pPr>
            <w:r w:rsidRPr="001F5E97">
              <w:t>12(6)</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Productivity gains</w:t>
            </w:r>
          </w:p>
        </w:tc>
        <w:tc>
          <w:tcPr>
            <w:tcW w:w="1701" w:type="dxa"/>
          </w:tcPr>
          <w:p w:rsidR="001F5E97" w:rsidRPr="001F5E97" w:rsidRDefault="001F5E97" w:rsidP="001B4606">
            <w:pPr>
              <w:pStyle w:val="TableText"/>
            </w:pPr>
            <w:r w:rsidRPr="001F5E97">
              <w:t>Suggested</w:t>
            </w:r>
          </w:p>
        </w:tc>
        <w:tc>
          <w:tcPr>
            <w:tcW w:w="958" w:type="dxa"/>
          </w:tcPr>
          <w:p w:rsidR="001F5E97" w:rsidRPr="001F5E97" w:rsidRDefault="008B2014" w:rsidP="001B4606">
            <w:pPr>
              <w:pStyle w:val="TableText"/>
            </w:pPr>
            <w:r>
              <w:t>N</w:t>
            </w:r>
          </w:p>
        </w:tc>
      </w:tr>
      <w:tr w:rsidR="001F5E97" w:rsidTr="00F125A2">
        <w:tc>
          <w:tcPr>
            <w:tcW w:w="1526" w:type="dxa"/>
          </w:tcPr>
          <w:p w:rsidR="001F5E97" w:rsidRPr="001F5E97" w:rsidRDefault="001F5E97" w:rsidP="001B4606">
            <w:pPr>
              <w:pStyle w:val="TableText"/>
            </w:pPr>
            <w:r w:rsidRPr="001F5E97">
              <w:t>12(7)</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Statistics on staffing</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5C68F0"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5C68F0" w:rsidRPr="001F5E97" w:rsidRDefault="005C68F0" w:rsidP="001B4606">
            <w:pPr>
              <w:pStyle w:val="TableText"/>
            </w:pPr>
            <w:r>
              <w:t>12(8)</w:t>
            </w:r>
          </w:p>
        </w:tc>
        <w:tc>
          <w:tcPr>
            <w:tcW w:w="1984" w:type="dxa"/>
          </w:tcPr>
          <w:p w:rsidR="005C68F0" w:rsidRPr="001F5E97" w:rsidRDefault="005C68F0" w:rsidP="001B4606">
            <w:pPr>
              <w:pStyle w:val="TableText"/>
            </w:pPr>
          </w:p>
        </w:tc>
        <w:tc>
          <w:tcPr>
            <w:tcW w:w="3686" w:type="dxa"/>
          </w:tcPr>
          <w:p w:rsidR="005C68F0" w:rsidRPr="001F5E97" w:rsidRDefault="005C68F0" w:rsidP="001B4606">
            <w:pPr>
              <w:pStyle w:val="TableText"/>
            </w:pPr>
            <w:r>
              <w:t>Statistics on employees who identify as Indigenous</w:t>
            </w:r>
          </w:p>
        </w:tc>
        <w:tc>
          <w:tcPr>
            <w:tcW w:w="1701" w:type="dxa"/>
          </w:tcPr>
          <w:p w:rsidR="005C68F0" w:rsidRPr="001F5E97" w:rsidRDefault="000D658C" w:rsidP="001B4606">
            <w:pPr>
              <w:pStyle w:val="TableText"/>
            </w:pPr>
            <w:r>
              <w:t>Mandatory</w:t>
            </w:r>
          </w:p>
        </w:tc>
        <w:tc>
          <w:tcPr>
            <w:tcW w:w="958" w:type="dxa"/>
          </w:tcPr>
          <w:p w:rsidR="005C68F0" w:rsidRPr="001F5E97" w:rsidRDefault="008B2014" w:rsidP="001B4606">
            <w:pPr>
              <w:pStyle w:val="TableText"/>
            </w:pPr>
            <w:r>
              <w:t>Y</w:t>
            </w:r>
          </w:p>
        </w:tc>
      </w:tr>
      <w:tr w:rsidR="001F5E97" w:rsidTr="00F125A2">
        <w:tc>
          <w:tcPr>
            <w:tcW w:w="1526" w:type="dxa"/>
          </w:tcPr>
          <w:p w:rsidR="001F5E97" w:rsidRPr="001F5E97" w:rsidRDefault="005C68F0" w:rsidP="001B4606">
            <w:pPr>
              <w:pStyle w:val="TableText"/>
            </w:pPr>
            <w:r>
              <w:t>12(9</w:t>
            </w:r>
            <w:r w:rsidR="001F5E97" w:rsidRPr="001F5E97">
              <w:t>)</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Enterprise or collective agreements, IFAs, determinations, common law contracts and AWAs</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5C68F0" w:rsidP="001B4606">
            <w:pPr>
              <w:pStyle w:val="TableText"/>
            </w:pPr>
            <w:r>
              <w:t>12(10</w:t>
            </w:r>
            <w:r w:rsidR="001F5E97" w:rsidRPr="001F5E97">
              <w:t>) &amp; B</w:t>
            </w:r>
          </w:p>
        </w:tc>
        <w:tc>
          <w:tcPr>
            <w:tcW w:w="1984" w:type="dxa"/>
          </w:tcPr>
          <w:p w:rsidR="001F5E97" w:rsidRPr="001F5E97" w:rsidRDefault="001F5E97" w:rsidP="001B4606">
            <w:pPr>
              <w:pStyle w:val="TableText"/>
            </w:pPr>
          </w:p>
        </w:tc>
        <w:tc>
          <w:tcPr>
            <w:tcW w:w="3686" w:type="dxa"/>
          </w:tcPr>
          <w:p w:rsidR="001F5E97" w:rsidRPr="001F5E97" w:rsidRDefault="001F5E97" w:rsidP="001B4606">
            <w:pPr>
              <w:pStyle w:val="TableText"/>
            </w:pPr>
            <w:r w:rsidRPr="001F5E97">
              <w:t>Performance pay</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c>
          <w:tcPr>
            <w:tcW w:w="1526" w:type="dxa"/>
          </w:tcPr>
          <w:p w:rsidR="001F5E97" w:rsidRPr="001F5E97" w:rsidRDefault="005C68F0" w:rsidP="001B4606">
            <w:pPr>
              <w:pStyle w:val="TableText"/>
            </w:pPr>
            <w:r>
              <w:t>12(11)</w:t>
            </w:r>
            <w:r w:rsidR="00B44E1E">
              <w:t>–</w:t>
            </w:r>
            <w:r>
              <w:t>(12</w:t>
            </w:r>
            <w:r w:rsidR="001F5E97" w:rsidRPr="001F5E97">
              <w:t>)</w:t>
            </w:r>
          </w:p>
        </w:tc>
        <w:tc>
          <w:tcPr>
            <w:tcW w:w="1984" w:type="dxa"/>
          </w:tcPr>
          <w:p w:rsidR="001F5E97" w:rsidRPr="001F5E97" w:rsidRDefault="001F5E97" w:rsidP="001B4606">
            <w:pPr>
              <w:pStyle w:val="TableText"/>
            </w:pPr>
            <w:r w:rsidRPr="001F5E97">
              <w:t>Assets management</w:t>
            </w:r>
          </w:p>
        </w:tc>
        <w:tc>
          <w:tcPr>
            <w:tcW w:w="3686" w:type="dxa"/>
          </w:tcPr>
          <w:p w:rsidR="001F5E97" w:rsidRPr="001F5E97" w:rsidRDefault="001F5E97" w:rsidP="001B4606">
            <w:pPr>
              <w:pStyle w:val="TableText"/>
            </w:pPr>
            <w:r w:rsidRPr="001F5E97">
              <w:t xml:space="preserve">Assessment of effectiveness of assets management </w:t>
            </w:r>
          </w:p>
        </w:tc>
        <w:tc>
          <w:tcPr>
            <w:tcW w:w="1701" w:type="dxa"/>
          </w:tcPr>
          <w:p w:rsidR="001F5E97" w:rsidRPr="001F5E97" w:rsidRDefault="001F5E97" w:rsidP="001B4606">
            <w:pPr>
              <w:pStyle w:val="TableText"/>
            </w:pPr>
            <w:r w:rsidRPr="001F5E97">
              <w:t>If applicable, mandatory</w:t>
            </w:r>
          </w:p>
        </w:tc>
        <w:tc>
          <w:tcPr>
            <w:tcW w:w="958" w:type="dxa"/>
          </w:tcPr>
          <w:p w:rsidR="001F5E97" w:rsidRPr="001F5E97" w:rsidRDefault="008B2014" w:rsidP="001B4606">
            <w:pPr>
              <w:pStyle w:val="TableText"/>
            </w:pPr>
            <w:r>
              <w:t>N</w:t>
            </w:r>
            <w:r w:rsidR="00B44E1E">
              <w:t>/</w:t>
            </w:r>
            <w:r>
              <w:t>A</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5C68F0" w:rsidP="001B4606">
            <w:pPr>
              <w:pStyle w:val="TableText"/>
            </w:pPr>
            <w:r>
              <w:t>12(13</w:t>
            </w:r>
            <w:r w:rsidR="001F5E97" w:rsidRPr="001F5E97">
              <w:t>)</w:t>
            </w:r>
          </w:p>
        </w:tc>
        <w:tc>
          <w:tcPr>
            <w:tcW w:w="1984" w:type="dxa"/>
          </w:tcPr>
          <w:p w:rsidR="001F5E97" w:rsidRPr="001F5E97" w:rsidRDefault="001F5E97" w:rsidP="001B4606">
            <w:pPr>
              <w:pStyle w:val="TableText"/>
            </w:pPr>
            <w:r w:rsidRPr="001F5E97">
              <w:t>Purchasing</w:t>
            </w:r>
          </w:p>
        </w:tc>
        <w:tc>
          <w:tcPr>
            <w:tcW w:w="3686" w:type="dxa"/>
          </w:tcPr>
          <w:p w:rsidR="001F5E97" w:rsidRPr="001F5E97" w:rsidRDefault="001F5E97" w:rsidP="001B4606">
            <w:pPr>
              <w:pStyle w:val="TableText"/>
            </w:pPr>
            <w:r w:rsidRPr="001F5E97">
              <w:t>Assessment of purchasing against core policies and principles</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c>
          <w:tcPr>
            <w:tcW w:w="1526" w:type="dxa"/>
          </w:tcPr>
          <w:p w:rsidR="001F5E97" w:rsidRPr="001F5E97" w:rsidRDefault="000D658C" w:rsidP="004366BA">
            <w:pPr>
              <w:pStyle w:val="TableText"/>
            </w:pPr>
            <w:r>
              <w:t>12(14)</w:t>
            </w:r>
            <w:r w:rsidR="00B44E1E">
              <w:t>–</w:t>
            </w:r>
            <w:r>
              <w:t>(23</w:t>
            </w:r>
            <w:r w:rsidR="001F5E97" w:rsidRPr="001F5E97">
              <w:t xml:space="preserve">) </w:t>
            </w:r>
          </w:p>
        </w:tc>
        <w:tc>
          <w:tcPr>
            <w:tcW w:w="1984" w:type="dxa"/>
          </w:tcPr>
          <w:p w:rsidR="001F5E97" w:rsidRPr="001F5E97" w:rsidRDefault="001F5E97" w:rsidP="001B4606">
            <w:pPr>
              <w:pStyle w:val="TableText"/>
            </w:pPr>
            <w:r w:rsidRPr="001F5E97">
              <w:t xml:space="preserve">Consultants </w:t>
            </w:r>
          </w:p>
        </w:tc>
        <w:tc>
          <w:tcPr>
            <w:tcW w:w="3686" w:type="dxa"/>
          </w:tcPr>
          <w:p w:rsidR="001F5E97" w:rsidRPr="001F5E97" w:rsidRDefault="001F5E97" w:rsidP="001B4606">
            <w:pPr>
              <w:pStyle w:val="TableText"/>
            </w:pPr>
            <w:r w:rsidRPr="001F5E97">
              <w:t>The annual report must include a summary statement detailing the number of new consultancy services contracts let during the year</w:t>
            </w:r>
            <w:r w:rsidR="00B44E1E">
              <w:t>,</w:t>
            </w:r>
            <w:r w:rsidRPr="001F5E97">
              <w:t xml:space="preserve"> the total actual expenditure on all new consultancy contracts let during the year (inclusive of GST)</w:t>
            </w:r>
            <w:r w:rsidR="00B44E1E">
              <w:t>,</w:t>
            </w:r>
            <w:r w:rsidRPr="001F5E97">
              <w:t xml:space="preserve"> the number of ongoing consultancy contracts that were active in the reporting year and the total actual expenditure in the reporting year on the ongoing consultancy contracts (inclusive of GST). The annual report must include a statement noting that information on contracts and consultancies is available through the AusTender website</w:t>
            </w:r>
          </w:p>
        </w:tc>
        <w:tc>
          <w:tcPr>
            <w:tcW w:w="1701" w:type="dxa"/>
          </w:tcPr>
          <w:p w:rsidR="001F5E97" w:rsidRPr="001F5E97" w:rsidRDefault="00CF660D"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1F5E97" w:rsidRPr="001F5E97" w:rsidRDefault="000D658C" w:rsidP="001B4606">
            <w:pPr>
              <w:pStyle w:val="TableText"/>
            </w:pPr>
            <w:r>
              <w:t>12(24</w:t>
            </w:r>
            <w:r w:rsidR="001F5E97" w:rsidRPr="001F5E97">
              <w:t>)</w:t>
            </w:r>
          </w:p>
        </w:tc>
        <w:tc>
          <w:tcPr>
            <w:tcW w:w="1984" w:type="dxa"/>
          </w:tcPr>
          <w:p w:rsidR="001F5E97" w:rsidRPr="001F5E97" w:rsidRDefault="001F5E97" w:rsidP="001B4606">
            <w:pPr>
              <w:pStyle w:val="TableText"/>
            </w:pPr>
            <w:r w:rsidRPr="001F5E97">
              <w:t>Australian National Audit Office Access Clauses</w:t>
            </w:r>
          </w:p>
        </w:tc>
        <w:tc>
          <w:tcPr>
            <w:tcW w:w="3686" w:type="dxa"/>
          </w:tcPr>
          <w:p w:rsidR="001F5E97" w:rsidRPr="001F5E97" w:rsidRDefault="001F5E97" w:rsidP="001B4606">
            <w:pPr>
              <w:pStyle w:val="TableText"/>
            </w:pPr>
            <w:r w:rsidRPr="001F5E97">
              <w:t>Absence of provisions in contracts allowing access by the Auditor-General</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1F5E97" w:rsidTr="00F125A2">
        <w:tc>
          <w:tcPr>
            <w:tcW w:w="1526" w:type="dxa"/>
          </w:tcPr>
          <w:p w:rsidR="001F5E97" w:rsidRPr="001F5E97" w:rsidRDefault="000D658C" w:rsidP="001B4606">
            <w:pPr>
              <w:pStyle w:val="TableText"/>
            </w:pPr>
            <w:r>
              <w:t>12(25</w:t>
            </w:r>
            <w:r w:rsidR="001F5E97" w:rsidRPr="001F5E97">
              <w:t>)</w:t>
            </w:r>
          </w:p>
        </w:tc>
        <w:tc>
          <w:tcPr>
            <w:tcW w:w="1984" w:type="dxa"/>
          </w:tcPr>
          <w:p w:rsidR="001F5E97" w:rsidRPr="001F5E97" w:rsidRDefault="001F5E97" w:rsidP="001B4606">
            <w:pPr>
              <w:pStyle w:val="TableText"/>
            </w:pPr>
            <w:r w:rsidRPr="001F5E97">
              <w:t>Exempt contracts</w:t>
            </w:r>
          </w:p>
        </w:tc>
        <w:tc>
          <w:tcPr>
            <w:tcW w:w="3686" w:type="dxa"/>
          </w:tcPr>
          <w:p w:rsidR="001F5E97" w:rsidRPr="001F5E97" w:rsidRDefault="001F5E97" w:rsidP="00EF1366">
            <w:pPr>
              <w:pStyle w:val="TableText"/>
            </w:pPr>
            <w:r w:rsidRPr="001F5E97">
              <w:t xml:space="preserve">Contracts exempt from </w:t>
            </w:r>
            <w:r w:rsidR="00EF1366">
              <w:t xml:space="preserve">publication in </w:t>
            </w:r>
            <w:r w:rsidRPr="001F5E97">
              <w:t>AusTender</w:t>
            </w:r>
          </w:p>
        </w:tc>
        <w:tc>
          <w:tcPr>
            <w:tcW w:w="1701" w:type="dxa"/>
          </w:tcPr>
          <w:p w:rsidR="001F5E97" w:rsidRPr="001F5E97" w:rsidRDefault="001F5E97" w:rsidP="001B4606">
            <w:pPr>
              <w:pStyle w:val="TableText"/>
            </w:pPr>
            <w:r w:rsidRPr="001F5E97">
              <w:t>Mandatory</w:t>
            </w:r>
          </w:p>
        </w:tc>
        <w:tc>
          <w:tcPr>
            <w:tcW w:w="958" w:type="dxa"/>
          </w:tcPr>
          <w:p w:rsidR="001F5E97" w:rsidRPr="001F5E97" w:rsidRDefault="008B2014" w:rsidP="001B4606">
            <w:pPr>
              <w:pStyle w:val="TableText"/>
            </w:pPr>
            <w:r>
              <w:t>Y</w:t>
            </w:r>
          </w:p>
        </w:tc>
      </w:tr>
      <w:tr w:rsidR="000D658C"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0D658C" w:rsidRPr="006722AE" w:rsidRDefault="000D658C" w:rsidP="001B4606">
            <w:pPr>
              <w:pStyle w:val="TableText"/>
            </w:pPr>
            <w:r>
              <w:t>12(26)-(28)</w:t>
            </w:r>
          </w:p>
        </w:tc>
        <w:tc>
          <w:tcPr>
            <w:tcW w:w="1984" w:type="dxa"/>
          </w:tcPr>
          <w:p w:rsidR="000D658C" w:rsidRPr="006722AE" w:rsidRDefault="000D658C" w:rsidP="001B4606">
            <w:pPr>
              <w:pStyle w:val="TableText"/>
            </w:pPr>
            <w:r>
              <w:t>Small business</w:t>
            </w:r>
          </w:p>
        </w:tc>
        <w:tc>
          <w:tcPr>
            <w:tcW w:w="3686" w:type="dxa"/>
          </w:tcPr>
          <w:p w:rsidR="000D658C" w:rsidRPr="006722AE" w:rsidRDefault="000D658C" w:rsidP="001B4606">
            <w:pPr>
              <w:pStyle w:val="TableText"/>
            </w:pPr>
            <w:r>
              <w:t>Procurement initiatives to support small business</w:t>
            </w:r>
          </w:p>
        </w:tc>
        <w:tc>
          <w:tcPr>
            <w:tcW w:w="1701" w:type="dxa"/>
          </w:tcPr>
          <w:p w:rsidR="000D658C" w:rsidRPr="006722AE" w:rsidRDefault="000D658C" w:rsidP="001B4606">
            <w:pPr>
              <w:pStyle w:val="TableText"/>
            </w:pPr>
            <w:r>
              <w:t>Mandatory</w:t>
            </w:r>
          </w:p>
        </w:tc>
        <w:tc>
          <w:tcPr>
            <w:tcW w:w="958" w:type="dxa"/>
          </w:tcPr>
          <w:p w:rsidR="000D658C" w:rsidRPr="006722AE" w:rsidRDefault="008B2014" w:rsidP="001B4606">
            <w:pPr>
              <w:pStyle w:val="TableText"/>
            </w:pPr>
            <w:r>
              <w:t>Y</w:t>
            </w:r>
          </w:p>
        </w:tc>
      </w:tr>
      <w:tr w:rsidR="006722AE" w:rsidTr="00F125A2">
        <w:tc>
          <w:tcPr>
            <w:tcW w:w="1526" w:type="dxa"/>
          </w:tcPr>
          <w:p w:rsidR="006722AE" w:rsidRPr="006722AE" w:rsidRDefault="006722AE" w:rsidP="001B4606">
            <w:pPr>
              <w:pStyle w:val="TableText"/>
            </w:pPr>
            <w:r w:rsidRPr="006722AE">
              <w:t>13</w:t>
            </w:r>
          </w:p>
        </w:tc>
        <w:tc>
          <w:tcPr>
            <w:tcW w:w="1984" w:type="dxa"/>
          </w:tcPr>
          <w:p w:rsidR="006722AE" w:rsidRPr="006722AE" w:rsidRDefault="006722AE" w:rsidP="001B4606">
            <w:pPr>
              <w:pStyle w:val="TableText"/>
            </w:pPr>
            <w:r w:rsidRPr="006722AE">
              <w:t xml:space="preserve">Financial </w:t>
            </w:r>
            <w:r w:rsidR="00653735">
              <w:t>s</w:t>
            </w:r>
            <w:r w:rsidRPr="006722AE">
              <w:t>tatements</w:t>
            </w:r>
          </w:p>
        </w:tc>
        <w:tc>
          <w:tcPr>
            <w:tcW w:w="3686" w:type="dxa"/>
          </w:tcPr>
          <w:p w:rsidR="006722AE" w:rsidRPr="006722AE" w:rsidRDefault="006722AE" w:rsidP="001B4606">
            <w:pPr>
              <w:pStyle w:val="TableText"/>
            </w:pPr>
            <w:r w:rsidRPr="006722AE">
              <w:t xml:space="preserve">Financial </w:t>
            </w:r>
            <w:r w:rsidR="00653735">
              <w:t>s</w:t>
            </w:r>
            <w:r w:rsidRPr="006722AE">
              <w:t>tatements</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6722AE" w:rsidRPr="006722AE" w:rsidRDefault="006722AE" w:rsidP="001B4606">
            <w:pPr>
              <w:pStyle w:val="TableText"/>
            </w:pPr>
          </w:p>
        </w:tc>
        <w:tc>
          <w:tcPr>
            <w:tcW w:w="5670" w:type="dxa"/>
            <w:gridSpan w:val="2"/>
          </w:tcPr>
          <w:p w:rsidR="006722AE" w:rsidRPr="001B4606" w:rsidRDefault="006722AE" w:rsidP="004366BA">
            <w:pPr>
              <w:pStyle w:val="TableText"/>
              <w:rPr>
                <w:rStyle w:val="Textbold"/>
              </w:rPr>
            </w:pPr>
            <w:r w:rsidRPr="001B4606">
              <w:rPr>
                <w:rStyle w:val="Textbold"/>
              </w:rPr>
              <w:t xml:space="preserve">Other </w:t>
            </w:r>
            <w:r w:rsidR="00653735">
              <w:rPr>
                <w:rStyle w:val="Textbold"/>
              </w:rPr>
              <w:t>m</w:t>
            </w:r>
            <w:r w:rsidRPr="001B4606">
              <w:rPr>
                <w:rStyle w:val="Textbold"/>
              </w:rPr>
              <w:t xml:space="preserve">andatory </w:t>
            </w:r>
            <w:r w:rsidR="00653735">
              <w:rPr>
                <w:rStyle w:val="Textbold"/>
              </w:rPr>
              <w:t>i</w:t>
            </w:r>
            <w:r w:rsidRPr="001B4606">
              <w:rPr>
                <w:rStyle w:val="Textbold"/>
              </w:rPr>
              <w:t>nformation</w:t>
            </w:r>
          </w:p>
        </w:tc>
        <w:tc>
          <w:tcPr>
            <w:tcW w:w="1701" w:type="dxa"/>
          </w:tcPr>
          <w:p w:rsidR="006722AE" w:rsidRPr="006722AE" w:rsidRDefault="006722AE" w:rsidP="001B4606">
            <w:pPr>
              <w:pStyle w:val="TableText"/>
            </w:pPr>
          </w:p>
        </w:tc>
        <w:tc>
          <w:tcPr>
            <w:tcW w:w="958" w:type="dxa"/>
          </w:tcPr>
          <w:p w:rsidR="006722AE" w:rsidRPr="006722AE" w:rsidRDefault="006722AE" w:rsidP="001B4606">
            <w:pPr>
              <w:pStyle w:val="TableText"/>
            </w:pPr>
          </w:p>
        </w:tc>
      </w:tr>
      <w:tr w:rsidR="006722AE" w:rsidTr="00F125A2">
        <w:tc>
          <w:tcPr>
            <w:tcW w:w="1526" w:type="dxa"/>
          </w:tcPr>
          <w:p w:rsidR="006722AE" w:rsidRPr="006722AE" w:rsidRDefault="006722AE" w:rsidP="001B4606">
            <w:pPr>
              <w:pStyle w:val="TableText"/>
            </w:pPr>
            <w:r w:rsidRPr="006722AE">
              <w:t>14(1) &amp; C.1</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 xml:space="preserve">Work health and safety (Schedule 2, Part 4 of the </w:t>
            </w:r>
            <w:r w:rsidRPr="00EF1366">
              <w:rPr>
                <w:rStyle w:val="Textitalic"/>
              </w:rPr>
              <w:t>Work Health and Safety Act 2011</w:t>
            </w:r>
            <w:r w:rsidRPr="006722AE">
              <w:t>)</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6722AE" w:rsidRPr="006722AE" w:rsidRDefault="006722AE" w:rsidP="001B4606">
            <w:pPr>
              <w:pStyle w:val="TableText"/>
            </w:pPr>
            <w:r w:rsidRPr="006722AE">
              <w:lastRenderedPageBreak/>
              <w:t>14(1) &amp; C.2</w:t>
            </w:r>
          </w:p>
        </w:tc>
        <w:tc>
          <w:tcPr>
            <w:tcW w:w="1984" w:type="dxa"/>
          </w:tcPr>
          <w:p w:rsidR="006722AE" w:rsidRPr="006722AE" w:rsidRDefault="006722AE" w:rsidP="001B4606">
            <w:pPr>
              <w:pStyle w:val="TableText"/>
            </w:pPr>
          </w:p>
        </w:tc>
        <w:tc>
          <w:tcPr>
            <w:tcW w:w="3686" w:type="dxa"/>
          </w:tcPr>
          <w:p w:rsidR="006722AE" w:rsidRPr="006722AE" w:rsidRDefault="006722AE" w:rsidP="004366BA">
            <w:pPr>
              <w:pStyle w:val="TableText"/>
            </w:pPr>
            <w:r w:rsidRPr="006722AE">
              <w:t>Advertising and Market Research (</w:t>
            </w:r>
            <w:r w:rsidR="00653735">
              <w:t>s</w:t>
            </w:r>
            <w:r w:rsidRPr="006722AE">
              <w:t>ection</w:t>
            </w:r>
            <w:r w:rsidR="00653735">
              <w:t> </w:t>
            </w:r>
            <w:r w:rsidRPr="006722AE">
              <w:t xml:space="preserve">311A of the </w:t>
            </w:r>
            <w:r w:rsidRPr="00EF1366">
              <w:rPr>
                <w:rStyle w:val="Textitalic"/>
              </w:rPr>
              <w:t>Commonwealth Electoral Act 1918</w:t>
            </w:r>
            <w:r w:rsidRPr="006722AE">
              <w:t>) and statement on advertising campaigns</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c>
          <w:tcPr>
            <w:tcW w:w="1526" w:type="dxa"/>
          </w:tcPr>
          <w:p w:rsidR="006722AE" w:rsidRPr="006722AE" w:rsidRDefault="006722AE" w:rsidP="001B4606">
            <w:pPr>
              <w:pStyle w:val="TableText"/>
            </w:pPr>
            <w:r w:rsidRPr="006722AE">
              <w:t>14(1) &amp; C.3</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Ecologically sustainable development and environmental performance (</w:t>
            </w:r>
            <w:r w:rsidR="00653735">
              <w:t>s</w:t>
            </w:r>
            <w:r w:rsidRPr="006722AE">
              <w:t xml:space="preserve">ection 516A of the </w:t>
            </w:r>
            <w:r w:rsidRPr="00EF1366">
              <w:rPr>
                <w:rStyle w:val="Textitalic"/>
              </w:rPr>
              <w:t>Environment Protection and Biodiversity Conservation Act 1999</w:t>
            </w:r>
            <w:r w:rsidRPr="006722AE">
              <w:t>)</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6722AE" w:rsidRPr="006722AE" w:rsidRDefault="006722AE" w:rsidP="001B4606">
            <w:pPr>
              <w:pStyle w:val="TableText"/>
            </w:pPr>
            <w:r w:rsidRPr="006722AE">
              <w:t>14(1)</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 xml:space="preserve">Compliance with the agency’s obligations under the </w:t>
            </w:r>
            <w:r w:rsidRPr="00EF1366">
              <w:rPr>
                <w:rStyle w:val="Textitalic"/>
              </w:rPr>
              <w:t>Carer Recognition Act 2010</w:t>
            </w:r>
          </w:p>
        </w:tc>
        <w:tc>
          <w:tcPr>
            <w:tcW w:w="1701" w:type="dxa"/>
          </w:tcPr>
          <w:p w:rsidR="006722AE" w:rsidRPr="006722AE" w:rsidRDefault="006722AE" w:rsidP="001B4606">
            <w:pPr>
              <w:pStyle w:val="TableText"/>
            </w:pPr>
            <w:r w:rsidRPr="006722AE">
              <w:t>If applicable, mandatory</w:t>
            </w:r>
          </w:p>
        </w:tc>
        <w:tc>
          <w:tcPr>
            <w:tcW w:w="958" w:type="dxa"/>
          </w:tcPr>
          <w:p w:rsidR="006722AE" w:rsidRPr="006722AE" w:rsidRDefault="008B2014" w:rsidP="001B4606">
            <w:pPr>
              <w:pStyle w:val="TableText"/>
            </w:pPr>
            <w:r>
              <w:t>N</w:t>
            </w:r>
            <w:r w:rsidR="00653735">
              <w:t>/</w:t>
            </w:r>
            <w:r>
              <w:t>A</w:t>
            </w:r>
          </w:p>
        </w:tc>
      </w:tr>
      <w:tr w:rsidR="006722AE" w:rsidTr="00F125A2">
        <w:tc>
          <w:tcPr>
            <w:tcW w:w="1526" w:type="dxa"/>
          </w:tcPr>
          <w:p w:rsidR="006722AE" w:rsidRPr="006722AE" w:rsidRDefault="006722AE" w:rsidP="001B4606">
            <w:pPr>
              <w:pStyle w:val="TableText"/>
            </w:pPr>
            <w:r w:rsidRPr="006722AE">
              <w:t>14(2) &amp; D.1</w:t>
            </w:r>
          </w:p>
        </w:tc>
        <w:tc>
          <w:tcPr>
            <w:tcW w:w="1984" w:type="dxa"/>
          </w:tcPr>
          <w:p w:rsidR="006722AE" w:rsidRPr="006722AE" w:rsidRDefault="006722AE" w:rsidP="001B4606">
            <w:pPr>
              <w:pStyle w:val="TableText"/>
            </w:pPr>
          </w:p>
        </w:tc>
        <w:tc>
          <w:tcPr>
            <w:tcW w:w="3686" w:type="dxa"/>
          </w:tcPr>
          <w:p w:rsidR="006722AE" w:rsidRPr="006722AE" w:rsidRDefault="006722AE" w:rsidP="004366BA">
            <w:pPr>
              <w:pStyle w:val="TableText"/>
            </w:pPr>
            <w:r w:rsidRPr="006722AE">
              <w:t>Grant program</w:t>
            </w:r>
            <w:r w:rsidR="00E90708">
              <w:t>s</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6722AE" w:rsidRPr="006722AE" w:rsidRDefault="006722AE" w:rsidP="001B4606">
            <w:pPr>
              <w:pStyle w:val="TableText"/>
            </w:pPr>
            <w:r w:rsidRPr="006722AE">
              <w:t>14(3) &amp; D.2</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Disability reporting</w:t>
            </w:r>
            <w:r w:rsidR="00653735">
              <w:t>—</w:t>
            </w:r>
            <w:r w:rsidRPr="006722AE">
              <w:t>explicit and transparent reference to agency</w:t>
            </w:r>
            <w:r w:rsidR="00653735">
              <w:t>-</w:t>
            </w:r>
            <w:r w:rsidRPr="006722AE">
              <w:t>level information available through other reporting mechanisms</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c>
          <w:tcPr>
            <w:tcW w:w="1526" w:type="dxa"/>
          </w:tcPr>
          <w:p w:rsidR="006722AE" w:rsidRPr="006722AE" w:rsidRDefault="006722AE" w:rsidP="001B4606">
            <w:pPr>
              <w:pStyle w:val="TableText"/>
            </w:pPr>
            <w:r w:rsidRPr="006722AE">
              <w:t>14(4) &amp; D.3</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Information Publication Scheme statement</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6722AE" w:rsidRPr="006722AE" w:rsidRDefault="00E90708" w:rsidP="001B4606">
            <w:pPr>
              <w:pStyle w:val="TableText"/>
            </w:pPr>
            <w:r>
              <w:t>14(5</w:t>
            </w:r>
            <w:r w:rsidR="006722AE" w:rsidRPr="006722AE">
              <w:t>)</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Correction of material errors in previous annual report</w:t>
            </w:r>
          </w:p>
        </w:tc>
        <w:tc>
          <w:tcPr>
            <w:tcW w:w="1701" w:type="dxa"/>
          </w:tcPr>
          <w:p w:rsidR="006722AE" w:rsidRPr="006722AE" w:rsidRDefault="006722AE" w:rsidP="001B4606">
            <w:pPr>
              <w:pStyle w:val="TableText"/>
            </w:pPr>
            <w:r w:rsidRPr="006722AE">
              <w:t>If applicable, mandatory</w:t>
            </w:r>
          </w:p>
        </w:tc>
        <w:tc>
          <w:tcPr>
            <w:tcW w:w="958" w:type="dxa"/>
          </w:tcPr>
          <w:p w:rsidR="006722AE" w:rsidRPr="006722AE" w:rsidRDefault="008B2014" w:rsidP="001B4606">
            <w:pPr>
              <w:pStyle w:val="TableText"/>
            </w:pPr>
            <w:r>
              <w:t>N</w:t>
            </w:r>
            <w:r w:rsidR="00653735">
              <w:t>/</w:t>
            </w:r>
            <w:r>
              <w:t>A</w:t>
            </w:r>
          </w:p>
        </w:tc>
      </w:tr>
      <w:tr w:rsidR="006722AE" w:rsidTr="00F125A2">
        <w:tc>
          <w:tcPr>
            <w:tcW w:w="1526" w:type="dxa"/>
          </w:tcPr>
          <w:p w:rsidR="006722AE" w:rsidRPr="006722AE" w:rsidRDefault="006722AE" w:rsidP="001B4606">
            <w:pPr>
              <w:pStyle w:val="TableText"/>
            </w:pPr>
            <w:r w:rsidRPr="006722AE">
              <w:t>E</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 xml:space="preserve">Agency Resource Statements and Resources for Outcomes </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r w:rsidR="006722AE" w:rsidTr="00F125A2">
        <w:trPr>
          <w:cnfStyle w:val="000000100000" w:firstRow="0" w:lastRow="0" w:firstColumn="0" w:lastColumn="0" w:oddVBand="0" w:evenVBand="0" w:oddHBand="1" w:evenHBand="0" w:firstRowFirstColumn="0" w:firstRowLastColumn="0" w:lastRowFirstColumn="0" w:lastRowLastColumn="0"/>
        </w:trPr>
        <w:tc>
          <w:tcPr>
            <w:tcW w:w="1526" w:type="dxa"/>
          </w:tcPr>
          <w:p w:rsidR="006722AE" w:rsidRPr="006722AE" w:rsidRDefault="006722AE" w:rsidP="001B4606">
            <w:pPr>
              <w:pStyle w:val="TableText"/>
            </w:pPr>
            <w:r w:rsidRPr="006722AE">
              <w:t>F</w:t>
            </w:r>
          </w:p>
        </w:tc>
        <w:tc>
          <w:tcPr>
            <w:tcW w:w="1984" w:type="dxa"/>
          </w:tcPr>
          <w:p w:rsidR="006722AE" w:rsidRPr="006722AE" w:rsidRDefault="006722AE" w:rsidP="001B4606">
            <w:pPr>
              <w:pStyle w:val="TableText"/>
            </w:pPr>
          </w:p>
        </w:tc>
        <w:tc>
          <w:tcPr>
            <w:tcW w:w="3686" w:type="dxa"/>
          </w:tcPr>
          <w:p w:rsidR="006722AE" w:rsidRPr="006722AE" w:rsidRDefault="006722AE" w:rsidP="001B4606">
            <w:pPr>
              <w:pStyle w:val="TableText"/>
            </w:pPr>
            <w:r w:rsidRPr="006722AE">
              <w:t xml:space="preserve">List of </w:t>
            </w:r>
            <w:r w:rsidR="00E55F6F">
              <w:t>r</w:t>
            </w:r>
            <w:r w:rsidRPr="006722AE">
              <w:t>equirements</w:t>
            </w:r>
          </w:p>
        </w:tc>
        <w:tc>
          <w:tcPr>
            <w:tcW w:w="1701" w:type="dxa"/>
          </w:tcPr>
          <w:p w:rsidR="006722AE" w:rsidRPr="006722AE" w:rsidRDefault="006722AE" w:rsidP="001B4606">
            <w:pPr>
              <w:pStyle w:val="TableText"/>
            </w:pPr>
            <w:r w:rsidRPr="006722AE">
              <w:t>Mandatory</w:t>
            </w:r>
          </w:p>
        </w:tc>
        <w:tc>
          <w:tcPr>
            <w:tcW w:w="958" w:type="dxa"/>
          </w:tcPr>
          <w:p w:rsidR="006722AE" w:rsidRPr="006722AE" w:rsidRDefault="008B2014" w:rsidP="001B4606">
            <w:pPr>
              <w:pStyle w:val="TableText"/>
            </w:pPr>
            <w:r>
              <w:t>Y</w:t>
            </w:r>
          </w:p>
        </w:tc>
      </w:tr>
    </w:tbl>
    <w:p w:rsidR="009032A2" w:rsidRDefault="009032A2" w:rsidP="009D77B4">
      <w:pPr>
        <w:pStyle w:val="BodyText"/>
        <w:rPr>
          <w:lang w:val="en-GB" w:eastAsia="en-AU"/>
        </w:rPr>
      </w:pPr>
    </w:p>
    <w:p w:rsidR="00B853AA" w:rsidRDefault="00B853AA">
      <w:pPr>
        <w:spacing w:after="200" w:line="276" w:lineRule="auto"/>
        <w:rPr>
          <w:lang w:val="en-GB" w:eastAsia="en-AU"/>
        </w:rPr>
      </w:pPr>
      <w:r>
        <w:rPr>
          <w:lang w:val="en-GB" w:eastAsia="en-AU"/>
        </w:rPr>
        <w:br w:type="page"/>
      </w:r>
    </w:p>
    <w:p w:rsidR="009D77B4" w:rsidRDefault="009032A2" w:rsidP="009032A2">
      <w:pPr>
        <w:pStyle w:val="Headingnon-numbered"/>
      </w:pPr>
      <w:bookmarkStart w:id="58" w:name="_Toc430464440"/>
      <w:r>
        <w:lastRenderedPageBreak/>
        <w:t>GLOSSARY</w:t>
      </w:r>
      <w:bookmarkEnd w:id="58"/>
      <w:r w:rsidR="00397D65">
        <w:t xml:space="preserve"> </w:t>
      </w:r>
    </w:p>
    <w:tbl>
      <w:tblPr>
        <w:tblStyle w:val="CCATable"/>
        <w:tblW w:w="0" w:type="auto"/>
        <w:tblLook w:val="04A0" w:firstRow="1" w:lastRow="0" w:firstColumn="1" w:lastColumn="0" w:noHBand="0" w:noVBand="1"/>
      </w:tblPr>
      <w:tblGrid>
        <w:gridCol w:w="2206"/>
        <w:gridCol w:w="7423"/>
      </w:tblGrid>
      <w:tr w:rsidR="00463E1E" w:rsidTr="00521939">
        <w:trPr>
          <w:cnfStyle w:val="100000000000" w:firstRow="1" w:lastRow="0" w:firstColumn="0" w:lastColumn="0" w:oddVBand="0" w:evenVBand="0" w:oddHBand="0" w:evenHBand="0" w:firstRowFirstColumn="0" w:firstRowLastColumn="0" w:lastRowFirstColumn="0" w:lastRowLastColumn="0"/>
        </w:trPr>
        <w:tc>
          <w:tcPr>
            <w:tcW w:w="2235" w:type="dxa"/>
          </w:tcPr>
          <w:p w:rsidR="00463E1E" w:rsidRPr="00463E1E" w:rsidRDefault="00463E1E" w:rsidP="00463E1E">
            <w:pPr>
              <w:pStyle w:val="TableHeading"/>
            </w:pPr>
            <w:r>
              <w:t>TERM</w:t>
            </w:r>
          </w:p>
        </w:tc>
        <w:tc>
          <w:tcPr>
            <w:tcW w:w="7620" w:type="dxa"/>
          </w:tcPr>
          <w:p w:rsidR="00463E1E" w:rsidRDefault="00F50E1A" w:rsidP="00463E1E">
            <w:pPr>
              <w:pStyle w:val="TableHeading"/>
            </w:pPr>
            <w:r>
              <w:t>MEANING</w:t>
            </w:r>
          </w:p>
        </w:tc>
      </w:tr>
      <w:tr w:rsidR="007F7A66"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7F7A66" w:rsidRDefault="00F50E1A" w:rsidP="00463E1E">
            <w:pPr>
              <w:pStyle w:val="TableText"/>
            </w:pPr>
            <w:r>
              <w:t>AusT</w:t>
            </w:r>
            <w:r w:rsidR="007F7A66">
              <w:t>ender</w:t>
            </w:r>
          </w:p>
        </w:tc>
        <w:tc>
          <w:tcPr>
            <w:tcW w:w="7620" w:type="dxa"/>
          </w:tcPr>
          <w:p w:rsidR="007F7A66" w:rsidRPr="00C26966" w:rsidRDefault="00121D88" w:rsidP="004366BA">
            <w:pPr>
              <w:pStyle w:val="TableText"/>
            </w:pPr>
            <w:r>
              <w:t>P</w:t>
            </w:r>
            <w:r w:rsidR="007771FC" w:rsidRPr="007771FC">
              <w:t xml:space="preserve">rovides centralised publication of </w:t>
            </w:r>
            <w:r w:rsidR="00C06509">
              <w:t>Commonwealth</w:t>
            </w:r>
            <w:r w:rsidR="00C06509" w:rsidRPr="007771FC">
              <w:t xml:space="preserve"> </w:t>
            </w:r>
            <w:r w:rsidR="007771FC" w:rsidRPr="007771FC">
              <w:t>Government business opportunities, annual procurement plans, multi-use lists and contracts awarded</w:t>
            </w:r>
            <w:r w:rsidR="007771FC">
              <w:t xml:space="preserve"> by </w:t>
            </w:r>
            <w:r w:rsidR="005D471F">
              <w:t>government</w:t>
            </w:r>
            <w:r w:rsidR="007771FC">
              <w:t xml:space="preserve"> agencies</w:t>
            </w:r>
            <w:r w:rsidR="005D471F">
              <w:t>.</w:t>
            </w:r>
          </w:p>
        </w:tc>
      </w:tr>
      <w:tr w:rsidR="008B2014" w:rsidTr="00431EAC">
        <w:tc>
          <w:tcPr>
            <w:tcW w:w="2235" w:type="dxa"/>
          </w:tcPr>
          <w:p w:rsidR="008B2014" w:rsidRDefault="008B2014" w:rsidP="00463E1E">
            <w:pPr>
              <w:pStyle w:val="TableText"/>
            </w:pPr>
            <w:r>
              <w:t xml:space="preserve">Authority </w:t>
            </w:r>
            <w:r w:rsidR="00C06509">
              <w:t>m</w:t>
            </w:r>
            <w:r>
              <w:t>embers</w:t>
            </w:r>
          </w:p>
        </w:tc>
        <w:tc>
          <w:tcPr>
            <w:tcW w:w="7620" w:type="dxa"/>
          </w:tcPr>
          <w:p w:rsidR="008B2014" w:rsidRPr="00C26966" w:rsidRDefault="008B2014" w:rsidP="004366BA">
            <w:pPr>
              <w:pStyle w:val="TableText"/>
            </w:pPr>
            <w:r w:rsidRPr="00B03180">
              <w:t>The Authority comprises</w:t>
            </w:r>
            <w:r>
              <w:t xml:space="preserve"> eight part</w:t>
            </w:r>
            <w:r w:rsidR="00C06509">
              <w:t>-</w:t>
            </w:r>
            <w:r>
              <w:t>time members (including the</w:t>
            </w:r>
            <w:r w:rsidRPr="00B03180">
              <w:t xml:space="preserve"> Chair</w:t>
            </w:r>
            <w:r>
              <w:t>)</w:t>
            </w:r>
            <w:r w:rsidRPr="00B03180">
              <w:t xml:space="preserve"> and th</w:t>
            </w:r>
            <w:r w:rsidR="001A7B8B">
              <w:t>e Chief Scientist (ex officio).</w:t>
            </w:r>
            <w:r w:rsidRPr="00B03180">
              <w:t xml:space="preserve"> Members are appointed by the Minist</w:t>
            </w:r>
            <w:r w:rsidR="003B64E4">
              <w:t>er for the Environment under s.</w:t>
            </w:r>
            <w:r w:rsidRPr="00B03180">
              <w:t xml:space="preserve">18 of the </w:t>
            </w:r>
            <w:r w:rsidRPr="00B03180">
              <w:rPr>
                <w:rStyle w:val="Textitalic"/>
              </w:rPr>
              <w:t xml:space="preserve">Climate Change Authority Act 2011. </w:t>
            </w:r>
          </w:p>
        </w:tc>
      </w:tr>
      <w:tr w:rsidR="008B2014"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8B2014" w:rsidRDefault="00C06509" w:rsidP="00463E1E">
            <w:pPr>
              <w:pStyle w:val="TableText"/>
            </w:pPr>
            <w:r>
              <w:t>c</w:t>
            </w:r>
            <w:r w:rsidR="008B2014">
              <w:t>aps</w:t>
            </w:r>
          </w:p>
        </w:tc>
        <w:tc>
          <w:tcPr>
            <w:tcW w:w="7620" w:type="dxa"/>
          </w:tcPr>
          <w:p w:rsidR="008B2014" w:rsidRPr="00C26966" w:rsidRDefault="008B2014" w:rsidP="001A7B8B">
            <w:pPr>
              <w:pStyle w:val="TableText"/>
            </w:pPr>
            <w:r w:rsidRPr="00F50E1A">
              <w:t xml:space="preserve">The year-by-year limit on emissions from sources covered by </w:t>
            </w:r>
            <w:r w:rsidR="001A7B8B">
              <w:t>the</w:t>
            </w:r>
            <w:r>
              <w:t xml:space="preserve"> carbon price</w:t>
            </w:r>
            <w:r w:rsidR="001A7B8B">
              <w:t xml:space="preserve"> mechanism</w:t>
            </w:r>
            <w:r w:rsidRPr="00F50E1A">
              <w:t xml:space="preserve"> (‘covered emissions’).</w:t>
            </w:r>
          </w:p>
        </w:tc>
      </w:tr>
      <w:tr w:rsidR="008B2014" w:rsidTr="00431EAC">
        <w:tc>
          <w:tcPr>
            <w:tcW w:w="2235" w:type="dxa"/>
          </w:tcPr>
          <w:p w:rsidR="008B2014" w:rsidRDefault="008B2014" w:rsidP="00463E1E">
            <w:pPr>
              <w:pStyle w:val="TableText"/>
            </w:pPr>
            <w:r>
              <w:t>Carbon Farming Initiative</w:t>
            </w:r>
          </w:p>
        </w:tc>
        <w:tc>
          <w:tcPr>
            <w:tcW w:w="7620" w:type="dxa"/>
          </w:tcPr>
          <w:p w:rsidR="008B2014" w:rsidRPr="00C26966" w:rsidRDefault="008B2014" w:rsidP="008B2014">
            <w:pPr>
              <w:pStyle w:val="TableText"/>
            </w:pPr>
            <w:r w:rsidRPr="00F50E1A">
              <w:t xml:space="preserve">An Australian carbon offset scheme that credits emissions </w:t>
            </w:r>
            <w:r>
              <w:t>reductions from certain sources</w:t>
            </w:r>
            <w:r w:rsidRPr="00F50E1A">
              <w:t>.</w:t>
            </w:r>
          </w:p>
        </w:tc>
      </w:tr>
      <w:tr w:rsidR="008B2014"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8B2014" w:rsidRDefault="008B2014" w:rsidP="00463E1E">
            <w:pPr>
              <w:pStyle w:val="TableText"/>
            </w:pPr>
            <w:r w:rsidRPr="00C26966">
              <w:t>Climate Change Authority</w:t>
            </w:r>
          </w:p>
        </w:tc>
        <w:tc>
          <w:tcPr>
            <w:tcW w:w="7620" w:type="dxa"/>
          </w:tcPr>
          <w:p w:rsidR="008B2014" w:rsidRDefault="005933BC" w:rsidP="004366BA">
            <w:pPr>
              <w:pStyle w:val="TableText"/>
            </w:pPr>
            <w:r w:rsidRPr="00C26966">
              <w:t>Established on 1 July 2012</w:t>
            </w:r>
            <w:r w:rsidR="00C06509">
              <w:t xml:space="preserve"> to</w:t>
            </w:r>
            <w:r w:rsidRPr="00C26966">
              <w:t xml:space="preserve"> provide independent advice </w:t>
            </w:r>
            <w:r>
              <w:t xml:space="preserve">to the Minister for the Environment and the </w:t>
            </w:r>
            <w:r w:rsidR="00C06509">
              <w:t>p</w:t>
            </w:r>
            <w:r>
              <w:t xml:space="preserve">arliament </w:t>
            </w:r>
            <w:r w:rsidRPr="00C26966">
              <w:t>on</w:t>
            </w:r>
            <w:r>
              <w:t xml:space="preserve"> climate change policies.</w:t>
            </w:r>
          </w:p>
        </w:tc>
      </w:tr>
      <w:tr w:rsidR="00E6482A" w:rsidTr="00431EAC">
        <w:tc>
          <w:tcPr>
            <w:tcW w:w="2235" w:type="dxa"/>
          </w:tcPr>
          <w:p w:rsidR="00E6482A" w:rsidRPr="00C26966" w:rsidRDefault="00E6482A" w:rsidP="00463E1E">
            <w:pPr>
              <w:pStyle w:val="TableText"/>
            </w:pPr>
            <w:r w:rsidRPr="00E6482A">
              <w:t>Clean Energy Regulator</w:t>
            </w:r>
          </w:p>
        </w:tc>
        <w:tc>
          <w:tcPr>
            <w:tcW w:w="7620" w:type="dxa"/>
          </w:tcPr>
          <w:p w:rsidR="00E6482A" w:rsidRPr="00C26966" w:rsidRDefault="00AB0B5D" w:rsidP="001A7B8B">
            <w:pPr>
              <w:pStyle w:val="TableText"/>
            </w:pPr>
            <w:r>
              <w:t>An</w:t>
            </w:r>
            <w:r w:rsidR="00E6482A" w:rsidRPr="00E6482A">
              <w:t xml:space="preserve"> independent statutory authority that administers regulatory schemes relating to clean energy, including the </w:t>
            </w:r>
            <w:hyperlink r:id="rId41" w:tooltip="Renewable Energy Target" w:history="1">
              <w:r w:rsidR="00E6482A" w:rsidRPr="00E6482A">
                <w:t>Renewable Energy Target</w:t>
              </w:r>
            </w:hyperlink>
            <w:r w:rsidR="00E6482A" w:rsidRPr="00E6482A">
              <w:t xml:space="preserve">, the </w:t>
            </w:r>
            <w:hyperlink r:id="rId42" w:tooltip="Carbon Pricing Mechanism" w:history="1">
              <w:r w:rsidR="00E6482A" w:rsidRPr="00E6482A">
                <w:t>Carbon Pricing Mechanism</w:t>
              </w:r>
            </w:hyperlink>
            <w:r w:rsidR="008B2014">
              <w:t xml:space="preserve"> (now repealed)</w:t>
            </w:r>
            <w:r w:rsidR="00E6482A" w:rsidRPr="00E6482A">
              <w:t xml:space="preserve">, the </w:t>
            </w:r>
            <w:hyperlink r:id="rId43" w:tooltip="National Greenhouse and Energy Reporting" w:history="1">
              <w:r w:rsidR="00E6482A" w:rsidRPr="00E6482A">
                <w:t>National Greenhouse and Energy Reporting</w:t>
              </w:r>
            </w:hyperlink>
            <w:r w:rsidR="00E6482A" w:rsidRPr="00E6482A">
              <w:t xml:space="preserve"> scheme</w:t>
            </w:r>
            <w:r>
              <w:t>,</w:t>
            </w:r>
            <w:r w:rsidR="00E6482A" w:rsidRPr="00E6482A">
              <w:t xml:space="preserve"> the </w:t>
            </w:r>
            <w:hyperlink r:id="rId44" w:tooltip="Carbon Farming Initiative" w:history="1">
              <w:r w:rsidR="00E6482A" w:rsidRPr="00E6482A">
                <w:t>Carbon Farming Initiative</w:t>
              </w:r>
            </w:hyperlink>
            <w:r w:rsidR="001A7B8B">
              <w:t xml:space="preserve"> and the Emissions Reduction Fund</w:t>
            </w:r>
            <w:r w:rsidR="00E6482A" w:rsidRPr="00E6482A">
              <w:t>.</w:t>
            </w:r>
          </w:p>
        </w:tc>
      </w:tr>
      <w:tr w:rsidR="00463E1E"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463E1E" w:rsidRDefault="00C26966" w:rsidP="00030760">
            <w:pPr>
              <w:pStyle w:val="TableText"/>
            </w:pPr>
            <w:r w:rsidRPr="00C26966">
              <w:t xml:space="preserve">Department of </w:t>
            </w:r>
            <w:r w:rsidR="00030760">
              <w:t xml:space="preserve">the Environment </w:t>
            </w:r>
          </w:p>
        </w:tc>
        <w:tc>
          <w:tcPr>
            <w:tcW w:w="7620" w:type="dxa"/>
          </w:tcPr>
          <w:p w:rsidR="00463E1E" w:rsidRDefault="00AB0B5D" w:rsidP="004366BA">
            <w:pPr>
              <w:pStyle w:val="TableText"/>
            </w:pPr>
            <w:r>
              <w:t>D</w:t>
            </w:r>
            <w:r w:rsidR="00030760" w:rsidRPr="00030760">
              <w:t xml:space="preserve">esigns and implements the </w:t>
            </w:r>
            <w:r w:rsidR="00C06509">
              <w:t>Commonwealth</w:t>
            </w:r>
            <w:r w:rsidR="00C06509" w:rsidRPr="00030760">
              <w:t xml:space="preserve"> </w:t>
            </w:r>
            <w:r w:rsidR="00030760" w:rsidRPr="00030760">
              <w:t>Government’s policies and programs to protect and conserve the environment, water and heritage</w:t>
            </w:r>
            <w:r>
              <w:t>,</w:t>
            </w:r>
            <w:r w:rsidR="00030760" w:rsidRPr="00030760">
              <w:t xml:space="preserve"> and promote climate action.</w:t>
            </w:r>
          </w:p>
        </w:tc>
      </w:tr>
      <w:tr w:rsidR="007F7A66" w:rsidTr="00431EAC">
        <w:tc>
          <w:tcPr>
            <w:tcW w:w="2235" w:type="dxa"/>
          </w:tcPr>
          <w:p w:rsidR="007F7A66" w:rsidRPr="00FE4414" w:rsidRDefault="007F7A66" w:rsidP="00463E1E">
            <w:pPr>
              <w:pStyle w:val="TableText"/>
              <w:outlineLvl w:val="6"/>
              <w:rPr>
                <w:i/>
              </w:rPr>
            </w:pPr>
            <w:r w:rsidRPr="00934298">
              <w:rPr>
                <w:i/>
              </w:rPr>
              <w:t>Department of Climate Change and Energy Efficiency Enterprise Agreement 201</w:t>
            </w:r>
            <w:r w:rsidR="00033973">
              <w:rPr>
                <w:i/>
              </w:rPr>
              <w:t>1</w:t>
            </w:r>
            <w:r w:rsidR="00AB0B5D">
              <w:t>–</w:t>
            </w:r>
            <w:r w:rsidRPr="00934298">
              <w:rPr>
                <w:i/>
              </w:rPr>
              <w:t>201</w:t>
            </w:r>
            <w:r w:rsidR="00033973">
              <w:rPr>
                <w:i/>
              </w:rPr>
              <w:t>4</w:t>
            </w:r>
          </w:p>
        </w:tc>
        <w:tc>
          <w:tcPr>
            <w:tcW w:w="7620" w:type="dxa"/>
          </w:tcPr>
          <w:p w:rsidR="007F7A66" w:rsidRPr="00C26966" w:rsidRDefault="007F17CF">
            <w:pPr>
              <w:pStyle w:val="TableText"/>
            </w:pPr>
            <w:r>
              <w:t xml:space="preserve">The </w:t>
            </w:r>
            <w:r w:rsidR="00AB0B5D">
              <w:t xml:space="preserve">collective agreement of the </w:t>
            </w:r>
            <w:r w:rsidRPr="007F17CF">
              <w:t>former Department of Climate Change and Energy Efficiency</w:t>
            </w:r>
            <w:r w:rsidR="00AB0B5D">
              <w:t>;</w:t>
            </w:r>
            <w:r>
              <w:t xml:space="preserve"> sets the terms and conditions of employment for all non-SES Authority staff.</w:t>
            </w:r>
          </w:p>
        </w:tc>
      </w:tr>
      <w:tr w:rsidR="00763C4B"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763C4B" w:rsidRPr="00C26966" w:rsidRDefault="00763C4B" w:rsidP="00030760">
            <w:pPr>
              <w:pStyle w:val="TableText"/>
            </w:pPr>
            <w:r w:rsidRPr="00C26966">
              <w:t>Department of</w:t>
            </w:r>
            <w:r>
              <w:t xml:space="preserve"> </w:t>
            </w:r>
            <w:r w:rsidR="00030760">
              <w:t>I</w:t>
            </w:r>
            <w:r>
              <w:t>ndustry</w:t>
            </w:r>
            <w:r w:rsidR="001A7B8B">
              <w:t xml:space="preserve"> and Science</w:t>
            </w:r>
          </w:p>
        </w:tc>
        <w:tc>
          <w:tcPr>
            <w:tcW w:w="7620" w:type="dxa"/>
          </w:tcPr>
          <w:p w:rsidR="00763C4B" w:rsidRPr="00C26966" w:rsidRDefault="00AB0B5D" w:rsidP="00030760">
            <w:pPr>
              <w:pStyle w:val="TableText"/>
            </w:pPr>
            <w:r>
              <w:t>H</w:t>
            </w:r>
            <w:r w:rsidR="00030760" w:rsidRPr="00030760">
              <w:t>elp</w:t>
            </w:r>
            <w:r w:rsidR="00030760">
              <w:t>s</w:t>
            </w:r>
            <w:r w:rsidR="00030760" w:rsidRPr="00030760">
              <w:t xml:space="preserve"> to drive economic growth, productivity and competitiveness by bringing together industry, energy, resources, science, skills and business</w:t>
            </w:r>
            <w:r w:rsidR="007F17CF" w:rsidRPr="007F17CF">
              <w:rPr>
                <w:lang w:val="en" w:eastAsia="en-US"/>
              </w:rPr>
              <w:t>.</w:t>
            </w:r>
          </w:p>
        </w:tc>
      </w:tr>
      <w:tr w:rsidR="007F7A66" w:rsidTr="00431EAC">
        <w:tc>
          <w:tcPr>
            <w:tcW w:w="2235" w:type="dxa"/>
          </w:tcPr>
          <w:p w:rsidR="007F7A66" w:rsidRPr="00C26966" w:rsidRDefault="007F7A66" w:rsidP="00463E1E">
            <w:pPr>
              <w:pStyle w:val="TableText"/>
            </w:pPr>
            <w:r>
              <w:t>Emissions Reduction Target</w:t>
            </w:r>
          </w:p>
        </w:tc>
        <w:tc>
          <w:tcPr>
            <w:tcW w:w="7620" w:type="dxa"/>
          </w:tcPr>
          <w:p w:rsidR="007F7A66" w:rsidRPr="00C26966" w:rsidRDefault="00F50E1A" w:rsidP="00463E1E">
            <w:pPr>
              <w:pStyle w:val="TableText"/>
            </w:pPr>
            <w:r w:rsidRPr="00F50E1A">
              <w:t>Australia’s goal for national emissions in a specific year.</w:t>
            </w:r>
          </w:p>
        </w:tc>
      </w:tr>
      <w:tr w:rsidR="007F7A66"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7F7A66" w:rsidRDefault="007F7A66" w:rsidP="00463E1E">
            <w:pPr>
              <w:pStyle w:val="TableText"/>
            </w:pPr>
            <w:r>
              <w:t>Emissions Trading Scheme</w:t>
            </w:r>
          </w:p>
        </w:tc>
        <w:tc>
          <w:tcPr>
            <w:tcW w:w="7620" w:type="dxa"/>
          </w:tcPr>
          <w:p w:rsidR="007F7A66" w:rsidRPr="00C26966" w:rsidRDefault="00F50E1A" w:rsidP="005933BC">
            <w:pPr>
              <w:pStyle w:val="TableText"/>
            </w:pPr>
            <w:r w:rsidRPr="00F50E1A">
              <w:t>A market-based approach to reducing emissions that places a limit on emissions allowed from all sectors covered by the scheme. Emissions</w:t>
            </w:r>
            <w:r w:rsidR="005933BC">
              <w:t xml:space="preserve"> </w:t>
            </w:r>
            <w:r w:rsidRPr="00F50E1A">
              <w:t>trading allows entities to trade emissions units with other entities. In general, trading can occur at the domestic, international and intra-company levels.</w:t>
            </w:r>
          </w:p>
        </w:tc>
      </w:tr>
      <w:tr w:rsidR="00F50E1A" w:rsidTr="00431EAC">
        <w:tc>
          <w:tcPr>
            <w:tcW w:w="2235" w:type="dxa"/>
          </w:tcPr>
          <w:p w:rsidR="00F50E1A" w:rsidRPr="00F50E1A" w:rsidRDefault="00C06509" w:rsidP="00F50E1A">
            <w:pPr>
              <w:pStyle w:val="TableText"/>
            </w:pPr>
            <w:r>
              <w:t>m</w:t>
            </w:r>
            <w:r w:rsidR="00F50E1A" w:rsidRPr="00F50E1A">
              <w:t>itigation</w:t>
            </w:r>
          </w:p>
        </w:tc>
        <w:tc>
          <w:tcPr>
            <w:tcW w:w="7620" w:type="dxa"/>
          </w:tcPr>
          <w:p w:rsidR="00F50E1A" w:rsidRPr="00F50E1A" w:rsidRDefault="00F50E1A" w:rsidP="004366BA">
            <w:pPr>
              <w:pStyle w:val="TableText"/>
            </w:pPr>
            <w:r w:rsidRPr="00F50E1A">
              <w:t>A reduction in the source of</w:t>
            </w:r>
            <w:r w:rsidR="00C06509">
              <w:t xml:space="preserve"> </w:t>
            </w:r>
            <w:r w:rsidR="00C06509" w:rsidRPr="00F50E1A">
              <w:t>greenhouse gases</w:t>
            </w:r>
            <w:r w:rsidRPr="00F50E1A">
              <w:t xml:space="preserve"> or enhancement of the s</w:t>
            </w:r>
            <w:r w:rsidR="005933BC">
              <w:t>equestration (removals)</w:t>
            </w:r>
            <w:r w:rsidRPr="00F50E1A">
              <w:t xml:space="preserve"> for greenhouse gases.</w:t>
            </w:r>
          </w:p>
        </w:tc>
      </w:tr>
      <w:tr w:rsidR="00F50E1A"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F50E1A" w:rsidRPr="00F50E1A" w:rsidRDefault="00C06509" w:rsidP="00F50E1A">
            <w:pPr>
              <w:pStyle w:val="TableText"/>
            </w:pPr>
            <w:r>
              <w:t>n</w:t>
            </w:r>
            <w:r w:rsidR="00F50E1A" w:rsidRPr="00F50E1A">
              <w:t>ational carbon budget</w:t>
            </w:r>
          </w:p>
        </w:tc>
        <w:tc>
          <w:tcPr>
            <w:tcW w:w="7620" w:type="dxa"/>
          </w:tcPr>
          <w:p w:rsidR="00F50E1A" w:rsidRPr="00F50E1A" w:rsidRDefault="00F50E1A" w:rsidP="002C4332">
            <w:pPr>
              <w:pStyle w:val="TableText"/>
            </w:pPr>
            <w:r w:rsidRPr="00F50E1A">
              <w:t>Australia’s cumulative emission</w:t>
            </w:r>
            <w:r w:rsidR="00AB0B5D">
              <w:t>s</w:t>
            </w:r>
            <w:r w:rsidRPr="00F50E1A">
              <w:t xml:space="preserve"> allowance over a period of time</w:t>
            </w:r>
            <w:r w:rsidR="002C4332">
              <w:t>.</w:t>
            </w:r>
          </w:p>
        </w:tc>
      </w:tr>
      <w:tr w:rsidR="00F50E1A" w:rsidTr="00431EAC">
        <w:tc>
          <w:tcPr>
            <w:tcW w:w="2235" w:type="dxa"/>
          </w:tcPr>
          <w:p w:rsidR="00F50E1A" w:rsidRPr="00F50E1A" w:rsidRDefault="00F50E1A" w:rsidP="00462CD7">
            <w:pPr>
              <w:pStyle w:val="TableText"/>
            </w:pPr>
            <w:r w:rsidRPr="00F50E1A">
              <w:t>National Greenhouse and Energy Reporting S</w:t>
            </w:r>
            <w:r w:rsidR="00462CD7">
              <w:t>cheme</w:t>
            </w:r>
          </w:p>
        </w:tc>
        <w:tc>
          <w:tcPr>
            <w:tcW w:w="7620" w:type="dxa"/>
          </w:tcPr>
          <w:p w:rsidR="00462CD7" w:rsidRPr="00F50E1A" w:rsidRDefault="00AB0B5D" w:rsidP="001827B4">
            <w:pPr>
              <w:pStyle w:val="TableText"/>
            </w:pPr>
            <w:r>
              <w:t>I</w:t>
            </w:r>
            <w:r w:rsidR="00462CD7" w:rsidRPr="00462CD7">
              <w:t>ntroduced in 2007</w:t>
            </w:r>
            <w:r>
              <w:t>, the scheme</w:t>
            </w:r>
            <w:r w:rsidR="00462CD7" w:rsidRPr="00462CD7">
              <w:t xml:space="preserve"> </w:t>
            </w:r>
            <w:r w:rsidR="001827B4">
              <w:t>provides a</w:t>
            </w:r>
            <w:r w:rsidR="00462CD7" w:rsidRPr="00462CD7">
              <w:rPr>
                <w:lang w:val="en-US" w:eastAsia="en-AU"/>
              </w:rPr>
              <w:t xml:space="preserve"> single national framework for corporations to report on greenhouse gas emissions, energy use and energy production.</w:t>
            </w:r>
            <w:r w:rsidR="001827B4">
              <w:t xml:space="preserve"> </w:t>
            </w:r>
            <w:r w:rsidR="00462CD7" w:rsidRPr="00462CD7">
              <w:rPr>
                <w:lang w:val="en-US" w:eastAsia="en-AU"/>
              </w:rPr>
              <w:t>Corporations that meet a National Greenh</w:t>
            </w:r>
            <w:r w:rsidR="001827B4">
              <w:rPr>
                <w:lang w:val="en-US" w:eastAsia="en-AU"/>
              </w:rPr>
              <w:t>ouse and Energy Reporting</w:t>
            </w:r>
            <w:r w:rsidR="00462CD7" w:rsidRPr="00462CD7">
              <w:rPr>
                <w:lang w:val="en-US" w:eastAsia="en-AU"/>
              </w:rPr>
              <w:t xml:space="preserve"> threshold must regi</w:t>
            </w:r>
            <w:r w:rsidR="001827B4">
              <w:rPr>
                <w:lang w:val="en-US" w:eastAsia="en-AU"/>
              </w:rPr>
              <w:t>ster and then report each year.</w:t>
            </w:r>
          </w:p>
        </w:tc>
      </w:tr>
      <w:tr w:rsidR="00F50E1A"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F50E1A" w:rsidRPr="00F50E1A" w:rsidRDefault="00F50E1A" w:rsidP="00F50E1A">
            <w:pPr>
              <w:pStyle w:val="TableText"/>
            </w:pPr>
            <w:r w:rsidRPr="00F50E1A">
              <w:t>Remuneration Tribunal</w:t>
            </w:r>
          </w:p>
        </w:tc>
        <w:tc>
          <w:tcPr>
            <w:tcW w:w="7620" w:type="dxa"/>
          </w:tcPr>
          <w:p w:rsidR="00F50E1A" w:rsidRPr="00F50E1A" w:rsidRDefault="00AB0B5D" w:rsidP="00F50E1A">
            <w:pPr>
              <w:pStyle w:val="TableText"/>
            </w:pPr>
            <w:r>
              <w:t>A</w:t>
            </w:r>
            <w:r w:rsidR="007F17CF" w:rsidRPr="007F17CF">
              <w:t xml:space="preserve">n independent statutory authority established under the </w:t>
            </w:r>
            <w:hyperlink r:id="rId45" w:history="1">
              <w:r>
                <w:rPr>
                  <w:rStyle w:val="Emphasis"/>
                </w:rPr>
                <w:t>Remuneration Tribunal Act 1973</w:t>
              </w:r>
            </w:hyperlink>
            <w:r w:rsidR="001F6D63">
              <w:t xml:space="preserve"> </w:t>
            </w:r>
            <w:r>
              <w:t>tha</w:t>
            </w:r>
            <w:r w:rsidR="001F6D63">
              <w:t xml:space="preserve">t sets the remuneration for key </w:t>
            </w:r>
            <w:r>
              <w:t>C</w:t>
            </w:r>
            <w:r w:rsidR="001F6D63">
              <w:t xml:space="preserve">ommonwealth </w:t>
            </w:r>
            <w:r>
              <w:t>o</w:t>
            </w:r>
            <w:r w:rsidR="001F6D63">
              <w:t>ffices.</w:t>
            </w:r>
          </w:p>
        </w:tc>
      </w:tr>
      <w:tr w:rsidR="00F50E1A" w:rsidTr="00431EAC">
        <w:tc>
          <w:tcPr>
            <w:tcW w:w="2235" w:type="dxa"/>
          </w:tcPr>
          <w:p w:rsidR="00F50E1A" w:rsidRPr="00F50E1A" w:rsidRDefault="00F50E1A" w:rsidP="00F50E1A">
            <w:pPr>
              <w:pStyle w:val="TableText"/>
            </w:pPr>
            <w:r w:rsidRPr="00F50E1A">
              <w:t>Renewable Energy Target</w:t>
            </w:r>
          </w:p>
        </w:tc>
        <w:tc>
          <w:tcPr>
            <w:tcW w:w="7620" w:type="dxa"/>
          </w:tcPr>
          <w:p w:rsidR="00F50E1A" w:rsidRPr="00F50E1A" w:rsidRDefault="00AB0B5D" w:rsidP="00F50E1A">
            <w:pPr>
              <w:pStyle w:val="TableText"/>
            </w:pPr>
            <w:r>
              <w:t>O</w:t>
            </w:r>
            <w:r w:rsidR="00F50E1A" w:rsidRPr="00F50E1A">
              <w:t>perates in two parts</w:t>
            </w:r>
            <w:r>
              <w:t>—</w:t>
            </w:r>
            <w:r w:rsidR="00F50E1A" w:rsidRPr="00F50E1A">
              <w:t>the Small</w:t>
            </w:r>
            <w:r>
              <w:t>-</w:t>
            </w:r>
            <w:r w:rsidR="00F50E1A" w:rsidRPr="00F50E1A">
              <w:t>scale Renewable Energy Scheme and the Large</w:t>
            </w:r>
            <w:r>
              <w:t>-</w:t>
            </w:r>
            <w:r w:rsidR="00F50E1A" w:rsidRPr="00F50E1A">
              <w:t>scale Renewable Energy Target.</w:t>
            </w:r>
          </w:p>
        </w:tc>
      </w:tr>
      <w:tr w:rsidR="00F50E1A" w:rsidTr="00431EAC">
        <w:trPr>
          <w:cnfStyle w:val="000000100000" w:firstRow="0" w:lastRow="0" w:firstColumn="0" w:lastColumn="0" w:oddVBand="0" w:evenVBand="0" w:oddHBand="1" w:evenHBand="0" w:firstRowFirstColumn="0" w:firstRowLastColumn="0" w:lastRowFirstColumn="0" w:lastRowLastColumn="0"/>
        </w:trPr>
        <w:tc>
          <w:tcPr>
            <w:tcW w:w="2235" w:type="dxa"/>
          </w:tcPr>
          <w:p w:rsidR="00F50E1A" w:rsidRPr="00F50E1A" w:rsidRDefault="00F50E1A" w:rsidP="00F50E1A">
            <w:pPr>
              <w:pStyle w:val="TableText"/>
            </w:pPr>
            <w:r w:rsidRPr="00F50E1A">
              <w:t>Renewable Energy Target review</w:t>
            </w:r>
          </w:p>
        </w:tc>
        <w:tc>
          <w:tcPr>
            <w:tcW w:w="7620" w:type="dxa"/>
          </w:tcPr>
          <w:p w:rsidR="00F50E1A" w:rsidRPr="00F50E1A" w:rsidRDefault="00F50E1A" w:rsidP="00875725">
            <w:pPr>
              <w:pStyle w:val="TableText"/>
            </w:pPr>
            <w:r w:rsidRPr="00F50E1A">
              <w:t xml:space="preserve">The Climate Change Authority’s review of the Renewable Energy Target. The review </w:t>
            </w:r>
            <w:r w:rsidR="001A7B8B">
              <w:t>was</w:t>
            </w:r>
            <w:r w:rsidRPr="00F50E1A">
              <w:t xml:space="preserve"> defined in </w:t>
            </w:r>
            <w:r w:rsidR="00AB0B5D">
              <w:t>s. </w:t>
            </w:r>
            <w:r w:rsidRPr="00F50E1A">
              <w:t xml:space="preserve">162 of the </w:t>
            </w:r>
            <w:r w:rsidRPr="00934298">
              <w:rPr>
                <w:i/>
              </w:rPr>
              <w:t>Renewable Energy (Electricity) Act 2000</w:t>
            </w:r>
            <w:r w:rsidR="005933BC">
              <w:t>. T</w:t>
            </w:r>
            <w:r w:rsidR="00262F3F">
              <w:t xml:space="preserve">he requirement </w:t>
            </w:r>
            <w:r w:rsidR="005933BC">
              <w:t>for the Authority to review the Renewable Energy Target has</w:t>
            </w:r>
            <w:r w:rsidR="00262F3F">
              <w:t xml:space="preserve"> been repealed</w:t>
            </w:r>
            <w:r w:rsidRPr="00F50E1A">
              <w:t>.</w:t>
            </w:r>
          </w:p>
        </w:tc>
      </w:tr>
      <w:tr w:rsidR="00030760" w:rsidTr="00431EAC">
        <w:tc>
          <w:tcPr>
            <w:tcW w:w="2235" w:type="dxa"/>
          </w:tcPr>
          <w:p w:rsidR="00030760" w:rsidRPr="00030760" w:rsidRDefault="00030760" w:rsidP="00030760">
            <w:pPr>
              <w:pStyle w:val="TableText"/>
            </w:pPr>
            <w:r w:rsidRPr="00030760">
              <w:t>Targets and Progress Review</w:t>
            </w:r>
          </w:p>
        </w:tc>
        <w:tc>
          <w:tcPr>
            <w:tcW w:w="7620" w:type="dxa"/>
          </w:tcPr>
          <w:p w:rsidR="00030760" w:rsidRPr="00030760" w:rsidRDefault="00C06509" w:rsidP="00875725">
            <w:pPr>
              <w:pStyle w:val="TableText"/>
            </w:pPr>
            <w:r>
              <w:t>R</w:t>
            </w:r>
            <w:r w:rsidR="00030760" w:rsidRPr="00030760">
              <w:t xml:space="preserve">ecommended emissions reduction targets for Australia and reported on </w:t>
            </w:r>
            <w:r>
              <w:t>progress</w:t>
            </w:r>
            <w:r w:rsidR="00030760" w:rsidRPr="00030760">
              <w:t xml:space="preserve"> towards these targets. The Authority presented </w:t>
            </w:r>
            <w:r w:rsidR="00AB0B5D">
              <w:t>the final</w:t>
            </w:r>
            <w:r w:rsidR="00AB0B5D" w:rsidRPr="00030760">
              <w:t xml:space="preserve"> </w:t>
            </w:r>
            <w:r w:rsidR="00030760" w:rsidRPr="00030760">
              <w:t xml:space="preserve">report to </w:t>
            </w:r>
            <w:r w:rsidR="00AB0B5D">
              <w:t xml:space="preserve">the </w:t>
            </w:r>
            <w:r w:rsidR="002D1226">
              <w:t>G</w:t>
            </w:r>
            <w:r w:rsidR="00030760" w:rsidRPr="00030760">
              <w:t>overnment on 27</w:t>
            </w:r>
            <w:r w:rsidR="00AB0B5D">
              <w:t> </w:t>
            </w:r>
            <w:r w:rsidR="00030760" w:rsidRPr="00030760">
              <w:t>February</w:t>
            </w:r>
            <w:r w:rsidR="00875725">
              <w:t> </w:t>
            </w:r>
            <w:r w:rsidR="00030760" w:rsidRPr="00030760">
              <w:t>2014</w:t>
            </w:r>
            <w:r w:rsidR="00AB0B5D">
              <w:t>.</w:t>
            </w:r>
            <w:r w:rsidR="005933BC">
              <w:t xml:space="preserve"> The Authority’s role in advising the </w:t>
            </w:r>
            <w:r w:rsidR="002D1226">
              <w:t>M</w:t>
            </w:r>
            <w:r w:rsidR="005933BC">
              <w:t>inister on emissions reduction targets has been repealed.</w:t>
            </w:r>
          </w:p>
        </w:tc>
      </w:tr>
    </w:tbl>
    <w:p w:rsidR="009032A2" w:rsidRDefault="009032A2" w:rsidP="009032A2">
      <w:pPr>
        <w:pStyle w:val="Headingnon-numbered"/>
      </w:pPr>
      <w:bookmarkStart w:id="59" w:name="_Toc430464441"/>
      <w:r>
        <w:lastRenderedPageBreak/>
        <w:t>ABBREVIATIONS</w:t>
      </w:r>
      <w:bookmarkEnd w:id="59"/>
    </w:p>
    <w:tbl>
      <w:tblPr>
        <w:tblStyle w:val="CCATable"/>
        <w:tblW w:w="0" w:type="auto"/>
        <w:tblLook w:val="04A0" w:firstRow="1" w:lastRow="0" w:firstColumn="1" w:lastColumn="0" w:noHBand="0" w:noVBand="1"/>
      </w:tblPr>
      <w:tblGrid>
        <w:gridCol w:w="2218"/>
        <w:gridCol w:w="7411"/>
      </w:tblGrid>
      <w:tr w:rsidR="00463E1E" w:rsidTr="00521939">
        <w:trPr>
          <w:cnfStyle w:val="100000000000" w:firstRow="1" w:lastRow="0" w:firstColumn="0" w:lastColumn="0" w:oddVBand="0" w:evenVBand="0" w:oddHBand="0" w:evenHBand="0" w:firstRowFirstColumn="0" w:firstRowLastColumn="0" w:lastRowFirstColumn="0" w:lastRowLastColumn="0"/>
        </w:trPr>
        <w:tc>
          <w:tcPr>
            <w:tcW w:w="2235" w:type="dxa"/>
          </w:tcPr>
          <w:p w:rsidR="00463E1E" w:rsidRDefault="00463E1E" w:rsidP="00463E1E">
            <w:pPr>
              <w:pStyle w:val="TableHeading"/>
            </w:pPr>
            <w:r>
              <w:t>ABBREVIATION</w:t>
            </w:r>
          </w:p>
        </w:tc>
        <w:tc>
          <w:tcPr>
            <w:tcW w:w="7620" w:type="dxa"/>
          </w:tcPr>
          <w:p w:rsidR="00463E1E" w:rsidRDefault="00463E1E" w:rsidP="00463E1E">
            <w:pPr>
              <w:pStyle w:val="TableHeading"/>
            </w:pPr>
          </w:p>
        </w:tc>
      </w:tr>
      <w:tr w:rsidR="00265079"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265079" w:rsidRDefault="00265079" w:rsidP="00463E1E">
            <w:pPr>
              <w:pStyle w:val="TableText"/>
            </w:pPr>
            <w:r>
              <w:t>Authority</w:t>
            </w:r>
          </w:p>
        </w:tc>
        <w:tc>
          <w:tcPr>
            <w:tcW w:w="7620" w:type="dxa"/>
          </w:tcPr>
          <w:p w:rsidR="00265079" w:rsidRDefault="00265079" w:rsidP="00F50E1A">
            <w:pPr>
              <w:pStyle w:val="TableText"/>
            </w:pPr>
            <w:r>
              <w:t xml:space="preserve">Climate </w:t>
            </w:r>
            <w:r w:rsidR="00F50E1A">
              <w:t>C</w:t>
            </w:r>
            <w:r>
              <w:t>hange Authority</w:t>
            </w:r>
          </w:p>
        </w:tc>
      </w:tr>
      <w:tr w:rsidR="001F6D63" w:rsidTr="00463E1E">
        <w:tc>
          <w:tcPr>
            <w:tcW w:w="2235" w:type="dxa"/>
          </w:tcPr>
          <w:p w:rsidR="001F6D63" w:rsidRDefault="001F6D63" w:rsidP="00463E1E">
            <w:pPr>
              <w:pStyle w:val="TableText"/>
            </w:pPr>
            <w:r>
              <w:t>ANU</w:t>
            </w:r>
          </w:p>
        </w:tc>
        <w:tc>
          <w:tcPr>
            <w:tcW w:w="7620" w:type="dxa"/>
          </w:tcPr>
          <w:p w:rsidR="001F6D63" w:rsidRDefault="001F6D63" w:rsidP="00F50E1A">
            <w:pPr>
              <w:pStyle w:val="TableText"/>
            </w:pPr>
            <w:r>
              <w:t>Australian National University</w:t>
            </w:r>
          </w:p>
        </w:tc>
      </w:tr>
      <w:tr w:rsidR="002F3488"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2F3488" w:rsidRDefault="002F3488" w:rsidP="00463E1E">
            <w:pPr>
              <w:pStyle w:val="TableText"/>
            </w:pPr>
            <w:r>
              <w:t>APS</w:t>
            </w:r>
          </w:p>
        </w:tc>
        <w:tc>
          <w:tcPr>
            <w:tcW w:w="7620" w:type="dxa"/>
          </w:tcPr>
          <w:p w:rsidR="002F3488" w:rsidRDefault="002F3488" w:rsidP="00463E1E">
            <w:pPr>
              <w:pStyle w:val="TableText"/>
            </w:pPr>
            <w:r>
              <w:t>Australian Public Service</w:t>
            </w:r>
          </w:p>
        </w:tc>
      </w:tr>
      <w:tr w:rsidR="002F3488" w:rsidTr="00463E1E">
        <w:tc>
          <w:tcPr>
            <w:tcW w:w="2235" w:type="dxa"/>
          </w:tcPr>
          <w:p w:rsidR="002F3488" w:rsidRDefault="002F3488" w:rsidP="00463E1E">
            <w:pPr>
              <w:pStyle w:val="TableText"/>
            </w:pPr>
            <w:r>
              <w:t>CEO</w:t>
            </w:r>
          </w:p>
        </w:tc>
        <w:tc>
          <w:tcPr>
            <w:tcW w:w="7620" w:type="dxa"/>
          </w:tcPr>
          <w:p w:rsidR="002F3488" w:rsidRDefault="002F3488" w:rsidP="00463E1E">
            <w:pPr>
              <w:pStyle w:val="TableText"/>
            </w:pPr>
            <w:r>
              <w:t>Chief Executive Officer of the Climate Change Authority</w:t>
            </w:r>
          </w:p>
        </w:tc>
      </w:tr>
      <w:tr w:rsidR="00265079"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265079" w:rsidRDefault="00265079" w:rsidP="00463E1E">
            <w:pPr>
              <w:pStyle w:val="TableText"/>
            </w:pPr>
            <w:r>
              <w:t>CER</w:t>
            </w:r>
          </w:p>
        </w:tc>
        <w:tc>
          <w:tcPr>
            <w:tcW w:w="7620" w:type="dxa"/>
          </w:tcPr>
          <w:p w:rsidR="00265079" w:rsidRDefault="00265079" w:rsidP="00463E1E">
            <w:pPr>
              <w:pStyle w:val="TableText"/>
            </w:pPr>
            <w:r>
              <w:t>Clean Energy Regulator</w:t>
            </w:r>
          </w:p>
        </w:tc>
      </w:tr>
      <w:tr w:rsidR="002C4332" w:rsidTr="00463E1E">
        <w:tc>
          <w:tcPr>
            <w:tcW w:w="2235" w:type="dxa"/>
          </w:tcPr>
          <w:p w:rsidR="002C4332" w:rsidRDefault="002C4332" w:rsidP="00463E1E">
            <w:pPr>
              <w:pStyle w:val="TableText"/>
            </w:pPr>
            <w:r>
              <w:t>CFI</w:t>
            </w:r>
          </w:p>
        </w:tc>
        <w:tc>
          <w:tcPr>
            <w:tcW w:w="7620" w:type="dxa"/>
          </w:tcPr>
          <w:p w:rsidR="002C4332" w:rsidRDefault="002C4332" w:rsidP="00463E1E">
            <w:pPr>
              <w:pStyle w:val="TableText"/>
            </w:pPr>
            <w:r>
              <w:t>Carbon Farming Initiative</w:t>
            </w:r>
          </w:p>
        </w:tc>
      </w:tr>
      <w:tr w:rsidR="002200D3"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2200D3" w:rsidRDefault="002200D3" w:rsidP="00463E1E">
            <w:pPr>
              <w:pStyle w:val="TableText"/>
            </w:pPr>
            <w:r>
              <w:t>CTH</w:t>
            </w:r>
          </w:p>
        </w:tc>
        <w:tc>
          <w:tcPr>
            <w:tcW w:w="7620" w:type="dxa"/>
          </w:tcPr>
          <w:p w:rsidR="002200D3" w:rsidRDefault="002200D3" w:rsidP="00463E1E">
            <w:pPr>
              <w:pStyle w:val="TableText"/>
            </w:pPr>
            <w:r>
              <w:t>Commonwealth</w:t>
            </w:r>
          </w:p>
        </w:tc>
      </w:tr>
      <w:tr w:rsidR="00463E1E" w:rsidTr="00463E1E">
        <w:tc>
          <w:tcPr>
            <w:tcW w:w="2235" w:type="dxa"/>
          </w:tcPr>
          <w:p w:rsidR="00463E1E" w:rsidRDefault="00030760" w:rsidP="00463E1E">
            <w:pPr>
              <w:pStyle w:val="TableText"/>
            </w:pPr>
            <w:r>
              <w:t>DoE</w:t>
            </w:r>
          </w:p>
        </w:tc>
        <w:tc>
          <w:tcPr>
            <w:tcW w:w="7620" w:type="dxa"/>
          </w:tcPr>
          <w:p w:rsidR="00463E1E" w:rsidRDefault="00265079" w:rsidP="00030760">
            <w:pPr>
              <w:pStyle w:val="TableText"/>
            </w:pPr>
            <w:r>
              <w:t xml:space="preserve">Department of </w:t>
            </w:r>
            <w:r w:rsidR="00030760">
              <w:t>the Environment</w:t>
            </w:r>
          </w:p>
        </w:tc>
      </w:tr>
      <w:tr w:rsidR="00463E1E"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463E1E" w:rsidRDefault="006D324E" w:rsidP="00463E1E">
            <w:pPr>
              <w:pStyle w:val="TableText"/>
            </w:pPr>
            <w:r>
              <w:t>EEGO</w:t>
            </w:r>
          </w:p>
        </w:tc>
        <w:tc>
          <w:tcPr>
            <w:tcW w:w="7620" w:type="dxa"/>
          </w:tcPr>
          <w:p w:rsidR="00463E1E" w:rsidRDefault="00265079" w:rsidP="00463E1E">
            <w:pPr>
              <w:pStyle w:val="TableText"/>
            </w:pPr>
            <w:r>
              <w:t>Commonwealth</w:t>
            </w:r>
            <w:r w:rsidR="00B2156A">
              <w:t>’</w:t>
            </w:r>
            <w:r>
              <w:t>s Energy Efficiency in Government Operations</w:t>
            </w:r>
          </w:p>
        </w:tc>
      </w:tr>
      <w:tr w:rsidR="00033973" w:rsidTr="00463E1E">
        <w:tc>
          <w:tcPr>
            <w:tcW w:w="2235" w:type="dxa"/>
          </w:tcPr>
          <w:p w:rsidR="00033973" w:rsidRPr="00896A6A" w:rsidRDefault="00033973" w:rsidP="00463E1E">
            <w:pPr>
              <w:pStyle w:val="TableText"/>
            </w:pPr>
            <w:r>
              <w:t>ERF</w:t>
            </w:r>
          </w:p>
        </w:tc>
        <w:tc>
          <w:tcPr>
            <w:tcW w:w="7620" w:type="dxa"/>
          </w:tcPr>
          <w:p w:rsidR="00033973" w:rsidRPr="00033973" w:rsidRDefault="00033973" w:rsidP="00F50E1A">
            <w:pPr>
              <w:pStyle w:val="TableText"/>
              <w:rPr>
                <w:rStyle w:val="Textitalic"/>
                <w:i w:val="0"/>
              </w:rPr>
            </w:pPr>
            <w:r>
              <w:rPr>
                <w:rStyle w:val="Textitalic"/>
                <w:i w:val="0"/>
              </w:rPr>
              <w:t>Em</w:t>
            </w:r>
            <w:r w:rsidRPr="00033973">
              <w:rPr>
                <w:rStyle w:val="Textitalic"/>
                <w:i w:val="0"/>
              </w:rPr>
              <w:t>issions Reduction Fund</w:t>
            </w:r>
          </w:p>
        </w:tc>
      </w:tr>
      <w:tr w:rsidR="007F7A66"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7F7A66" w:rsidRDefault="007F7A66" w:rsidP="00463E1E">
            <w:pPr>
              <w:pStyle w:val="TableText"/>
            </w:pPr>
            <w:r w:rsidRPr="00896A6A">
              <w:t>FOI Act</w:t>
            </w:r>
          </w:p>
        </w:tc>
        <w:tc>
          <w:tcPr>
            <w:tcW w:w="7620" w:type="dxa"/>
          </w:tcPr>
          <w:p w:rsidR="007F7A66" w:rsidRPr="00F50E1A" w:rsidRDefault="00F50E1A" w:rsidP="00041046">
            <w:pPr>
              <w:pStyle w:val="TableText"/>
              <w:rPr>
                <w:rStyle w:val="Textitalic"/>
              </w:rPr>
            </w:pPr>
            <w:r w:rsidRPr="00F50E1A">
              <w:rPr>
                <w:rStyle w:val="Textitalic"/>
              </w:rPr>
              <w:t>Freedom of Information Act 1982</w:t>
            </w:r>
            <w:r>
              <w:rPr>
                <w:rStyle w:val="Textitalic"/>
              </w:rPr>
              <w:t xml:space="preserve"> </w:t>
            </w:r>
          </w:p>
        </w:tc>
      </w:tr>
      <w:tr w:rsidR="00763C4B" w:rsidTr="00463E1E">
        <w:tc>
          <w:tcPr>
            <w:tcW w:w="2235" w:type="dxa"/>
          </w:tcPr>
          <w:p w:rsidR="00763C4B" w:rsidRDefault="00C07437" w:rsidP="00463E1E">
            <w:pPr>
              <w:pStyle w:val="TableText"/>
            </w:pPr>
            <w:r>
              <w:t>GST</w:t>
            </w:r>
          </w:p>
        </w:tc>
        <w:tc>
          <w:tcPr>
            <w:tcW w:w="7620" w:type="dxa"/>
          </w:tcPr>
          <w:p w:rsidR="00763C4B" w:rsidRDefault="00C06509" w:rsidP="004366BA">
            <w:pPr>
              <w:pStyle w:val="TableText"/>
            </w:pPr>
            <w:r>
              <w:t>g</w:t>
            </w:r>
            <w:r w:rsidR="00763C4B">
              <w:t xml:space="preserve">oods and </w:t>
            </w:r>
            <w:r>
              <w:t>s</w:t>
            </w:r>
            <w:r w:rsidR="00763C4B">
              <w:t xml:space="preserve">ervices </w:t>
            </w:r>
            <w:r>
              <w:t>t</w:t>
            </w:r>
            <w:r w:rsidR="00763C4B">
              <w:t>ax</w:t>
            </w:r>
          </w:p>
        </w:tc>
      </w:tr>
      <w:tr w:rsidR="00C07437"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C07437" w:rsidRDefault="00C07437" w:rsidP="00463E1E">
            <w:pPr>
              <w:pStyle w:val="TableText"/>
            </w:pPr>
            <w:r w:rsidRPr="00896A6A">
              <w:t>IPS</w:t>
            </w:r>
          </w:p>
        </w:tc>
        <w:tc>
          <w:tcPr>
            <w:tcW w:w="7620" w:type="dxa"/>
          </w:tcPr>
          <w:p w:rsidR="00C07437" w:rsidRDefault="00C07437" w:rsidP="00463E1E">
            <w:pPr>
              <w:pStyle w:val="TableText"/>
            </w:pPr>
            <w:r w:rsidRPr="00896A6A">
              <w:t>Informat</w:t>
            </w:r>
            <w:r>
              <w:t xml:space="preserve">ion Publication Scheme </w:t>
            </w:r>
          </w:p>
        </w:tc>
      </w:tr>
      <w:tr w:rsidR="005F77CA" w:rsidTr="00463E1E">
        <w:tc>
          <w:tcPr>
            <w:tcW w:w="2235" w:type="dxa"/>
          </w:tcPr>
          <w:p w:rsidR="005F77CA" w:rsidRDefault="005F77CA" w:rsidP="00265079">
            <w:pPr>
              <w:pStyle w:val="TableText"/>
            </w:pPr>
            <w:r>
              <w:t>LRET</w:t>
            </w:r>
          </w:p>
        </w:tc>
        <w:tc>
          <w:tcPr>
            <w:tcW w:w="7620" w:type="dxa"/>
          </w:tcPr>
          <w:p w:rsidR="005F77CA" w:rsidRPr="00F50E1A" w:rsidRDefault="005F77CA" w:rsidP="00265079">
            <w:pPr>
              <w:pStyle w:val="TableText"/>
            </w:pPr>
            <w:r>
              <w:t>Large-scale Renewable Energy Act</w:t>
            </w:r>
          </w:p>
        </w:tc>
      </w:tr>
      <w:tr w:rsidR="007F7A66"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7F7A66" w:rsidRPr="00D50803" w:rsidRDefault="007F7A66" w:rsidP="00265079">
            <w:pPr>
              <w:pStyle w:val="TableText"/>
            </w:pPr>
            <w:r>
              <w:t>NGER</w:t>
            </w:r>
          </w:p>
        </w:tc>
        <w:tc>
          <w:tcPr>
            <w:tcW w:w="7620" w:type="dxa"/>
          </w:tcPr>
          <w:p w:rsidR="007F7A66" w:rsidRPr="00D50803" w:rsidRDefault="00F50E1A" w:rsidP="00265079">
            <w:pPr>
              <w:pStyle w:val="TableText"/>
            </w:pPr>
            <w:r w:rsidRPr="00F50E1A">
              <w:t>National Greenhouse and En</w:t>
            </w:r>
            <w:r>
              <w:t>ergy Reporting s</w:t>
            </w:r>
            <w:r w:rsidRPr="00F50E1A">
              <w:t>ystem</w:t>
            </w:r>
          </w:p>
        </w:tc>
      </w:tr>
      <w:tr w:rsidR="001F6D63" w:rsidTr="00463E1E">
        <w:tc>
          <w:tcPr>
            <w:tcW w:w="2235" w:type="dxa"/>
          </w:tcPr>
          <w:p w:rsidR="001F6D63" w:rsidRDefault="001F6D63" w:rsidP="00265079">
            <w:pPr>
              <w:pStyle w:val="TableText"/>
            </w:pPr>
            <w:r>
              <w:t>RBA</w:t>
            </w:r>
          </w:p>
        </w:tc>
        <w:tc>
          <w:tcPr>
            <w:tcW w:w="7620" w:type="dxa"/>
          </w:tcPr>
          <w:p w:rsidR="001F6D63" w:rsidRPr="00821948" w:rsidRDefault="001F6D63" w:rsidP="001F6D63">
            <w:pPr>
              <w:pStyle w:val="TableText"/>
              <w:keepNext w:val="0"/>
              <w:keepLines w:val="0"/>
              <w:rPr>
                <w:rStyle w:val="Textitalic"/>
                <w:i w:val="0"/>
              </w:rPr>
            </w:pPr>
            <w:r w:rsidRPr="00E80FD5">
              <w:rPr>
                <w:rStyle w:val="Textitalic"/>
                <w:i w:val="0"/>
              </w:rPr>
              <w:t>Reserve Bank of Australia</w:t>
            </w:r>
          </w:p>
        </w:tc>
      </w:tr>
      <w:tr w:rsidR="00265079"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265079" w:rsidRPr="00265079" w:rsidRDefault="00265079" w:rsidP="00265079">
            <w:pPr>
              <w:pStyle w:val="TableText"/>
            </w:pPr>
            <w:r>
              <w:t>REE</w:t>
            </w:r>
            <w:r w:rsidRPr="00265079">
              <w:t xml:space="preserve"> Act</w:t>
            </w:r>
          </w:p>
        </w:tc>
        <w:tc>
          <w:tcPr>
            <w:tcW w:w="7620" w:type="dxa"/>
          </w:tcPr>
          <w:p w:rsidR="00265079" w:rsidRPr="00F50E1A" w:rsidRDefault="00265079" w:rsidP="00041046">
            <w:pPr>
              <w:pStyle w:val="TableText"/>
              <w:rPr>
                <w:rStyle w:val="Textitalic"/>
              </w:rPr>
            </w:pPr>
            <w:r w:rsidRPr="00F50E1A">
              <w:rPr>
                <w:rStyle w:val="Textitalic"/>
              </w:rPr>
              <w:t xml:space="preserve">Renewable Energy (Electricity) Act 2000 </w:t>
            </w:r>
          </w:p>
        </w:tc>
      </w:tr>
      <w:tr w:rsidR="00265079" w:rsidTr="00463E1E">
        <w:tc>
          <w:tcPr>
            <w:tcW w:w="2235" w:type="dxa"/>
          </w:tcPr>
          <w:p w:rsidR="00265079" w:rsidRPr="00265079" w:rsidRDefault="00265079" w:rsidP="00265079">
            <w:pPr>
              <w:pStyle w:val="TableText"/>
            </w:pPr>
            <w:r w:rsidRPr="00D50803">
              <w:t>REE Regulations</w:t>
            </w:r>
          </w:p>
        </w:tc>
        <w:tc>
          <w:tcPr>
            <w:tcW w:w="7620" w:type="dxa"/>
          </w:tcPr>
          <w:p w:rsidR="00265079" w:rsidRPr="00DD1A80" w:rsidRDefault="00265079" w:rsidP="00041046">
            <w:pPr>
              <w:pStyle w:val="TableText"/>
              <w:rPr>
                <w:rStyle w:val="Textitalic"/>
                <w:i w:val="0"/>
              </w:rPr>
            </w:pPr>
            <w:r w:rsidRPr="00DD1A80">
              <w:rPr>
                <w:rStyle w:val="Textitalic"/>
                <w:i w:val="0"/>
              </w:rPr>
              <w:t>Renewable Energy (</w:t>
            </w:r>
            <w:r w:rsidR="00B2156A" w:rsidRPr="00DD1A80">
              <w:rPr>
                <w:rStyle w:val="Textitalic"/>
                <w:i w:val="0"/>
              </w:rPr>
              <w:t>E</w:t>
            </w:r>
            <w:r w:rsidRPr="00DD1A80">
              <w:rPr>
                <w:rStyle w:val="Textitalic"/>
                <w:i w:val="0"/>
              </w:rPr>
              <w:t xml:space="preserve">lectricity) Regulations 2000 </w:t>
            </w:r>
          </w:p>
        </w:tc>
      </w:tr>
      <w:tr w:rsidR="00265079"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265079" w:rsidRPr="00265079" w:rsidRDefault="00265079" w:rsidP="00265079">
            <w:pPr>
              <w:pStyle w:val="TableText"/>
              <w:tabs>
                <w:tab w:val="center" w:pos="1009"/>
              </w:tabs>
            </w:pPr>
            <w:r>
              <w:t>RET</w:t>
            </w:r>
          </w:p>
        </w:tc>
        <w:tc>
          <w:tcPr>
            <w:tcW w:w="7620" w:type="dxa"/>
          </w:tcPr>
          <w:p w:rsidR="00265079" w:rsidRPr="00265079" w:rsidRDefault="00265079" w:rsidP="00265079">
            <w:pPr>
              <w:pStyle w:val="TableText"/>
            </w:pPr>
            <w:r>
              <w:t>Renewable Energy Target</w:t>
            </w:r>
          </w:p>
        </w:tc>
      </w:tr>
      <w:tr w:rsidR="002F3488" w:rsidTr="00463E1E">
        <w:tc>
          <w:tcPr>
            <w:tcW w:w="2235" w:type="dxa"/>
          </w:tcPr>
          <w:p w:rsidR="002F3488" w:rsidRPr="00D50803" w:rsidRDefault="002F3488" w:rsidP="00265079">
            <w:pPr>
              <w:pStyle w:val="TableText"/>
            </w:pPr>
            <w:r>
              <w:t>SES</w:t>
            </w:r>
          </w:p>
        </w:tc>
        <w:tc>
          <w:tcPr>
            <w:tcW w:w="7620" w:type="dxa"/>
          </w:tcPr>
          <w:p w:rsidR="002F3488" w:rsidRPr="00D50803" w:rsidRDefault="002F3488" w:rsidP="002319AB">
            <w:pPr>
              <w:pStyle w:val="TableText"/>
            </w:pPr>
            <w:r>
              <w:t xml:space="preserve">Senior </w:t>
            </w:r>
            <w:r w:rsidR="002319AB">
              <w:t>E</w:t>
            </w:r>
            <w:r>
              <w:t>xecutive Service</w:t>
            </w:r>
          </w:p>
        </w:tc>
      </w:tr>
      <w:tr w:rsidR="002C4332" w:rsidTr="00463E1E">
        <w:trPr>
          <w:cnfStyle w:val="000000100000" w:firstRow="0" w:lastRow="0" w:firstColumn="0" w:lastColumn="0" w:oddVBand="0" w:evenVBand="0" w:oddHBand="1" w:evenHBand="0" w:firstRowFirstColumn="0" w:firstRowLastColumn="0" w:lastRowFirstColumn="0" w:lastRowLastColumn="0"/>
        </w:trPr>
        <w:tc>
          <w:tcPr>
            <w:tcW w:w="2235" w:type="dxa"/>
          </w:tcPr>
          <w:p w:rsidR="002C4332" w:rsidRDefault="002C4332" w:rsidP="00265079">
            <w:pPr>
              <w:pStyle w:val="TableText"/>
            </w:pPr>
            <w:r>
              <w:t>SRES</w:t>
            </w:r>
          </w:p>
        </w:tc>
        <w:tc>
          <w:tcPr>
            <w:tcW w:w="7620" w:type="dxa"/>
          </w:tcPr>
          <w:p w:rsidR="002C4332" w:rsidRDefault="002C4332" w:rsidP="00265079">
            <w:pPr>
              <w:pStyle w:val="TableText"/>
            </w:pPr>
            <w:r>
              <w:t>Small-scale Renewable Energy Scheme</w:t>
            </w:r>
          </w:p>
        </w:tc>
      </w:tr>
      <w:tr w:rsidR="00265079" w:rsidTr="00463E1E">
        <w:tc>
          <w:tcPr>
            <w:tcW w:w="2235" w:type="dxa"/>
          </w:tcPr>
          <w:p w:rsidR="00265079" w:rsidRPr="00D50803" w:rsidRDefault="00265079" w:rsidP="00265079">
            <w:pPr>
              <w:pStyle w:val="TableText"/>
            </w:pPr>
            <w:r>
              <w:t>WHS</w:t>
            </w:r>
          </w:p>
        </w:tc>
        <w:tc>
          <w:tcPr>
            <w:tcW w:w="7620" w:type="dxa"/>
          </w:tcPr>
          <w:p w:rsidR="00265079" w:rsidRPr="00D50803" w:rsidRDefault="00265079" w:rsidP="00265079">
            <w:pPr>
              <w:pStyle w:val="TableText"/>
            </w:pPr>
            <w:r>
              <w:t>Work Health Safety</w:t>
            </w:r>
          </w:p>
        </w:tc>
      </w:tr>
    </w:tbl>
    <w:p w:rsidR="009032A2" w:rsidRDefault="009032A2" w:rsidP="009032A2">
      <w:pPr>
        <w:pStyle w:val="BodyText"/>
      </w:pPr>
    </w:p>
    <w:p w:rsidR="009032A2" w:rsidRDefault="009032A2" w:rsidP="009032A2">
      <w:pPr>
        <w:pStyle w:val="BodyText"/>
      </w:pPr>
    </w:p>
    <w:p w:rsidR="009032A2" w:rsidRDefault="009032A2">
      <w:pPr>
        <w:spacing w:after="200" w:line="276" w:lineRule="auto"/>
      </w:pPr>
    </w:p>
    <w:sectPr w:rsidR="009032A2" w:rsidSect="007B50DF">
      <w:headerReference w:type="even" r:id="rId46"/>
      <w:headerReference w:type="default" r:id="rId47"/>
      <w:footerReference w:type="even" r:id="rId48"/>
      <w:footerReference w:type="default" r:id="rId49"/>
      <w:headerReference w:type="first" r:id="rId5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25" w:rsidRDefault="00875725" w:rsidP="00057F62">
      <w:pPr>
        <w:spacing w:after="0" w:line="240" w:lineRule="auto"/>
      </w:pPr>
      <w:r>
        <w:separator/>
      </w:r>
    </w:p>
  </w:endnote>
  <w:endnote w:type="continuationSeparator" w:id="0">
    <w:p w:rsidR="00875725" w:rsidRDefault="00875725" w:rsidP="00057F62">
      <w:pPr>
        <w:spacing w:after="0" w:line="240" w:lineRule="auto"/>
      </w:pPr>
      <w:r>
        <w:continuationSeparator/>
      </w:r>
    </w:p>
  </w:endnote>
  <w:endnote w:type="continuationNotice" w:id="1">
    <w:p w:rsidR="00875725" w:rsidRDefault="00875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altName w:val="Times New Roman"/>
    <w:panose1 w:val="020B0704020202020204"/>
    <w:charset w:val="00"/>
    <w:family w:val="auto"/>
    <w:notTrueType/>
    <w:pitch w:val="default"/>
    <w:sig w:usb0="00000003" w:usb1="00000000" w:usb2="00000000" w:usb3="00000000" w:csb0="00000001" w:csb1="00000000"/>
  </w:font>
  <w:font w:name="HGMinchoB">
    <w:altName w:val="HG明朝B"/>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4E664C" w:rsidP="0007666B">
    <w:pPr>
      <w:pStyle w:val="Footer"/>
    </w:pPr>
    <w:sdt>
      <w:sdtPr>
        <w:id w:val="305598230"/>
        <w:docPartObj>
          <w:docPartGallery w:val="Page Numbers (Bottom of Page)"/>
          <w:docPartUnique/>
        </w:docPartObj>
      </w:sdtPr>
      <w:sdtEndPr>
        <w:rPr>
          <w:noProof/>
        </w:rPr>
      </w:sdtEndPr>
      <w:sdtContent>
        <w:r w:rsidR="00875725" w:rsidRPr="00C7310E">
          <w:rPr>
            <w:rStyle w:val="Textbold"/>
          </w:rPr>
          <w:fldChar w:fldCharType="begin"/>
        </w:r>
        <w:r w:rsidR="00875725" w:rsidRPr="00C7310E">
          <w:rPr>
            <w:rStyle w:val="Textbold"/>
          </w:rPr>
          <w:instrText xml:space="preserve"> PAGE   \* MERGEFORMAT </w:instrText>
        </w:r>
        <w:r w:rsidR="00875725" w:rsidRPr="00C7310E">
          <w:rPr>
            <w:rStyle w:val="Textbold"/>
          </w:rPr>
          <w:fldChar w:fldCharType="separate"/>
        </w:r>
        <w:r>
          <w:rPr>
            <w:rStyle w:val="Textbold"/>
            <w:noProof/>
          </w:rPr>
          <w:t>ii</w:t>
        </w:r>
        <w:r w:rsidR="00875725" w:rsidRPr="00C7310E">
          <w:rPr>
            <w:rStyle w:val="Textbold"/>
          </w:rPr>
          <w:fldChar w:fldCharType="end"/>
        </w:r>
      </w:sdtContent>
    </w:sdt>
    <w:r w:rsidR="00875725">
      <w:t xml:space="preserve"> |</w:t>
    </w:r>
    <w:r w:rsidR="00875725">
      <w:tab/>
      <w:t>CLIMATE CHANGE AUTHORITY ANNUAL REPORT 2012/13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4E664C">
    <w:pPr>
      <w:pStyle w:val="Footer"/>
    </w:pPr>
    <w:sdt>
      <w:sdtPr>
        <w:id w:val="1175148797"/>
        <w:docPartObj>
          <w:docPartGallery w:val="Page Numbers (Bottom of Page)"/>
          <w:docPartUnique/>
        </w:docPartObj>
      </w:sdtPr>
      <w:sdtEndPr>
        <w:rPr>
          <w:noProof/>
        </w:rPr>
      </w:sdtEndPr>
      <w:sdtContent>
        <w:r w:rsidR="00875725" w:rsidRPr="008B030A">
          <w:rPr>
            <w:rStyle w:val="Textbold"/>
          </w:rPr>
          <w:fldChar w:fldCharType="begin"/>
        </w:r>
        <w:r w:rsidR="00875725" w:rsidRPr="008B030A">
          <w:rPr>
            <w:rStyle w:val="Textbold"/>
          </w:rPr>
          <w:instrText xml:space="preserve"> PAGE   \* MERGEFORMAT </w:instrText>
        </w:r>
        <w:r w:rsidR="00875725" w:rsidRPr="008B030A">
          <w:rPr>
            <w:rStyle w:val="Textbold"/>
          </w:rPr>
          <w:fldChar w:fldCharType="separate"/>
        </w:r>
        <w:r w:rsidR="00875725">
          <w:rPr>
            <w:rStyle w:val="Textbold"/>
            <w:noProof/>
          </w:rPr>
          <w:t>3</w:t>
        </w:r>
        <w:r w:rsidR="00875725" w:rsidRPr="008B030A">
          <w:rPr>
            <w:rStyle w:val="Textbold"/>
          </w:rPr>
          <w:fldChar w:fldCharType="end"/>
        </w:r>
        <w:r w:rsidR="00875725">
          <w:rPr>
            <w:noProof/>
          </w:rPr>
          <w:t xml:space="preserve"> |</w:t>
        </w:r>
      </w:sdtContent>
    </w:sdt>
    <w:r w:rsidR="00875725">
      <w:rPr>
        <w:noProof/>
      </w:rPr>
      <w:t xml:space="preserve"> </w:t>
    </w:r>
    <w:r w:rsidR="00875725">
      <w:tab/>
    </w:r>
    <w:r w:rsidR="00875725">
      <w:rPr>
        <w:noProof/>
      </w:rPr>
      <w:tab/>
    </w:r>
    <w:r>
      <w:fldChar w:fldCharType="begin"/>
    </w:r>
    <w:r>
      <w:instrText xml:space="preserve"> DOCPROPERTY  "CCA Document Type"  \* MERGEFORMAT </w:instrText>
    </w:r>
    <w:r>
      <w:fldChar w:fldCharType="separate"/>
    </w:r>
    <w:r>
      <w:t>{CCA Document Type}</w:t>
    </w:r>
    <w:r>
      <w:fldChar w:fldCharType="end"/>
    </w:r>
    <w:r w:rsidR="00875725">
      <w:rPr>
        <w:noProof/>
      </w:rPr>
      <w:t xml:space="preserve">: </w:t>
    </w:r>
    <w:r>
      <w:fldChar w:fldCharType="begin"/>
    </w:r>
    <w:r>
      <w:instrText xml:space="preserve"> DOCPROPERTY  "CCA Document Title"  \* MERGEFORMAT </w:instrText>
    </w:r>
    <w:r>
      <w:fldChar w:fldCharType="separate"/>
    </w:r>
    <w:r>
      <w:t>{CCA Document Title}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624CD3">
    <w:pPr>
      <w:pStyle w:val="Footeroddpage"/>
    </w:pPr>
    <w:r>
      <w:tab/>
    </w:r>
    <w:r>
      <w:tab/>
      <w:t xml:space="preserve">| </w:t>
    </w:r>
    <w:r w:rsidRPr="008B030A">
      <w:rPr>
        <w:rStyle w:val="Textbold"/>
      </w:rPr>
      <w:fldChar w:fldCharType="begin"/>
    </w:r>
    <w:r w:rsidRPr="008B030A">
      <w:rPr>
        <w:rStyle w:val="Textbold"/>
      </w:rPr>
      <w:instrText xml:space="preserve"> PAGE   \* MERGEFORMAT </w:instrText>
    </w:r>
    <w:r w:rsidRPr="008B030A">
      <w:rPr>
        <w:rStyle w:val="Textbold"/>
      </w:rPr>
      <w:fldChar w:fldCharType="separate"/>
    </w:r>
    <w:r w:rsidR="004E664C">
      <w:rPr>
        <w:rStyle w:val="Textbold"/>
      </w:rPr>
      <w:t>iii</w:t>
    </w:r>
    <w:r w:rsidRPr="008B030A">
      <w:rPr>
        <w:rStyle w:val="Textbol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4E664C" w:rsidP="00D97E76">
    <w:pPr>
      <w:pStyle w:val="Footer"/>
    </w:pPr>
    <w:sdt>
      <w:sdtPr>
        <w:id w:val="327103665"/>
        <w:docPartObj>
          <w:docPartGallery w:val="Page Numbers (Bottom of Page)"/>
          <w:docPartUnique/>
        </w:docPartObj>
      </w:sdtPr>
      <w:sdtEndPr/>
      <w:sdtContent>
        <w:r w:rsidR="00875725" w:rsidRPr="00C7310E">
          <w:rPr>
            <w:rStyle w:val="Textbold"/>
          </w:rPr>
          <w:fldChar w:fldCharType="begin"/>
        </w:r>
        <w:r w:rsidR="00875725" w:rsidRPr="00C7310E">
          <w:rPr>
            <w:rStyle w:val="Textbold"/>
          </w:rPr>
          <w:instrText xml:space="preserve"> PAGE   \* MERGEFORMAT </w:instrText>
        </w:r>
        <w:r w:rsidR="00875725" w:rsidRPr="00C7310E">
          <w:rPr>
            <w:rStyle w:val="Textbold"/>
          </w:rPr>
          <w:fldChar w:fldCharType="separate"/>
        </w:r>
        <w:r>
          <w:rPr>
            <w:rStyle w:val="Textbold"/>
            <w:noProof/>
          </w:rPr>
          <w:t>16</w:t>
        </w:r>
        <w:r w:rsidR="00875725" w:rsidRPr="00C7310E">
          <w:rPr>
            <w:rStyle w:val="Textbold"/>
          </w:rPr>
          <w:fldChar w:fldCharType="end"/>
        </w:r>
      </w:sdtContent>
    </w:sdt>
    <w:r w:rsidR="00875725">
      <w:t xml:space="preserve"> |</w:t>
    </w:r>
    <w:r w:rsidR="00875725">
      <w:tab/>
      <w:t>CLIMATE CHANGE AUTHORITY ANNUAL REPORT 2014–15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624CD3">
    <w:pPr>
      <w:pStyle w:val="Footeroddpage"/>
    </w:pPr>
    <w:r>
      <w:tab/>
    </w:r>
    <w:r w:rsidR="004E664C">
      <w:fldChar w:fldCharType="begin"/>
    </w:r>
    <w:r w:rsidR="004E664C">
      <w:instrText xml:space="preserve"> STYLEREF  "Heading 1"  \* MERGEFORMAT </w:instrText>
    </w:r>
    <w:r w:rsidR="004E664C">
      <w:fldChar w:fldCharType="separate"/>
    </w:r>
    <w:r w:rsidR="004E664C">
      <w:t>MANAGEMENT AND ACCOUNTABILITY</w:t>
    </w:r>
    <w:r w:rsidR="004E664C">
      <w:fldChar w:fldCharType="end"/>
    </w:r>
    <w:r w:rsidRPr="00264F40">
      <w:tab/>
      <w:t xml:space="preserve">| </w:t>
    </w:r>
    <w:r w:rsidRPr="00264F40">
      <w:rPr>
        <w:rStyle w:val="Textbold"/>
      </w:rPr>
      <w:fldChar w:fldCharType="begin"/>
    </w:r>
    <w:r w:rsidRPr="00264F40">
      <w:rPr>
        <w:rStyle w:val="Textbold"/>
      </w:rPr>
      <w:instrText xml:space="preserve"> PAGE   \* MERGEFORMAT </w:instrText>
    </w:r>
    <w:r w:rsidRPr="00264F40">
      <w:rPr>
        <w:rStyle w:val="Textbold"/>
      </w:rPr>
      <w:fldChar w:fldCharType="separate"/>
    </w:r>
    <w:r w:rsidR="004E664C">
      <w:rPr>
        <w:rStyle w:val="Textbold"/>
      </w:rPr>
      <w:t>17</w:t>
    </w:r>
    <w:r w:rsidRPr="00264F40">
      <w:rPr>
        <w:rStyle w:val="Text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4E664C" w:rsidP="00D97E76">
    <w:pPr>
      <w:pStyle w:val="Footer"/>
    </w:pPr>
    <w:sdt>
      <w:sdtPr>
        <w:id w:val="-1993930289"/>
        <w:docPartObj>
          <w:docPartGallery w:val="Page Numbers (Bottom of Page)"/>
          <w:docPartUnique/>
        </w:docPartObj>
      </w:sdtPr>
      <w:sdtEndPr/>
      <w:sdtContent>
        <w:r w:rsidR="00875725" w:rsidRPr="00C7310E">
          <w:rPr>
            <w:rStyle w:val="Textbold"/>
          </w:rPr>
          <w:fldChar w:fldCharType="begin"/>
        </w:r>
        <w:r w:rsidR="00875725" w:rsidRPr="00C7310E">
          <w:rPr>
            <w:rStyle w:val="Textbold"/>
          </w:rPr>
          <w:instrText xml:space="preserve"> PAGE   \* MERGEFORMAT </w:instrText>
        </w:r>
        <w:r w:rsidR="00875725" w:rsidRPr="00C7310E">
          <w:rPr>
            <w:rStyle w:val="Textbold"/>
          </w:rPr>
          <w:fldChar w:fldCharType="separate"/>
        </w:r>
        <w:r>
          <w:rPr>
            <w:rStyle w:val="Textbold"/>
            <w:noProof/>
          </w:rPr>
          <w:t>30</w:t>
        </w:r>
        <w:r w:rsidR="00875725" w:rsidRPr="00C7310E">
          <w:rPr>
            <w:rStyle w:val="Textbold"/>
          </w:rPr>
          <w:fldChar w:fldCharType="end"/>
        </w:r>
      </w:sdtContent>
    </w:sdt>
    <w:r w:rsidR="00875725">
      <w:t xml:space="preserve"> |</w:t>
    </w:r>
    <w:r w:rsidR="00875725">
      <w:tab/>
      <w:t>CLIMATE CHANGE AUTHORITY ANNUAL REPORT 2014-15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624CD3">
    <w:pPr>
      <w:pStyle w:val="Footeroddpage"/>
    </w:pPr>
    <w:r>
      <w:tab/>
    </w:r>
    <w:r w:rsidR="004E664C">
      <w:fldChar w:fldCharType="begin"/>
    </w:r>
    <w:r w:rsidR="004E664C">
      <w:instrText xml:space="preserve"> STYLEREF  "Appendix Heading 1"  \* MERGEFORMAT </w:instrText>
    </w:r>
    <w:r w:rsidR="004E664C">
      <w:fldChar w:fldCharType="separate"/>
    </w:r>
    <w:r w:rsidR="004E664C">
      <w:t>LIST OF REQUIREMENTS</w:t>
    </w:r>
    <w:r w:rsidR="004E664C">
      <w:fldChar w:fldCharType="end"/>
    </w:r>
    <w:r>
      <w:tab/>
      <w:t xml:space="preserve">| </w:t>
    </w:r>
    <w:r w:rsidRPr="008B030A">
      <w:rPr>
        <w:rStyle w:val="Textbold"/>
      </w:rPr>
      <w:fldChar w:fldCharType="begin"/>
    </w:r>
    <w:r w:rsidRPr="008B030A">
      <w:rPr>
        <w:rStyle w:val="Textbold"/>
      </w:rPr>
      <w:instrText xml:space="preserve"> PAGE   \* MERGEFORMAT </w:instrText>
    </w:r>
    <w:r w:rsidRPr="008B030A">
      <w:rPr>
        <w:rStyle w:val="Textbold"/>
      </w:rPr>
      <w:fldChar w:fldCharType="separate"/>
    </w:r>
    <w:r w:rsidR="004E664C">
      <w:rPr>
        <w:rStyle w:val="Textbold"/>
      </w:rPr>
      <w:t>29</w:t>
    </w:r>
    <w:r w:rsidRPr="008B030A">
      <w:rPr>
        <w:rStyle w:val="Text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25" w:rsidRDefault="00875725" w:rsidP="00057F62">
      <w:pPr>
        <w:spacing w:after="0" w:line="240" w:lineRule="auto"/>
      </w:pPr>
      <w:r>
        <w:separator/>
      </w:r>
    </w:p>
  </w:footnote>
  <w:footnote w:type="continuationSeparator" w:id="0">
    <w:p w:rsidR="00875725" w:rsidRDefault="00875725" w:rsidP="00057F62">
      <w:pPr>
        <w:spacing w:after="0" w:line="240" w:lineRule="auto"/>
      </w:pPr>
      <w:r>
        <w:continuationSeparator/>
      </w:r>
    </w:p>
  </w:footnote>
  <w:footnote w:type="continuationNotice" w:id="1">
    <w:p w:rsidR="00875725" w:rsidRDefault="008757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600B6F">
    <w:pPr>
      <w:pStyle w:val="Header"/>
    </w:pPr>
    <w:r>
      <w:rPr>
        <w:noProof/>
        <w:lang w:eastAsia="en-AU"/>
      </w:rPr>
      <mc:AlternateContent>
        <mc:Choice Requires="wps">
          <w:drawing>
            <wp:anchor distT="0" distB="0" distL="114300" distR="114300" simplePos="0" relativeHeight="251656704" behindDoc="0" locked="0" layoutInCell="1" allowOverlap="1" wp14:anchorId="2EB4C46E" wp14:editId="67E08501">
              <wp:simplePos x="0" y="0"/>
              <wp:positionH relativeFrom="column">
                <wp:posOffset>2351405</wp:posOffset>
              </wp:positionH>
              <wp:positionV relativeFrom="paragraph">
                <wp:posOffset>3478530</wp:posOffset>
              </wp:positionV>
              <wp:extent cx="5531485" cy="52070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2958" id="Rectangle 4" o:spid="_x0000_s1026" style="position:absolute;margin-left:185.15pt;margin-top:273.9pt;width:435.55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" fillcolor="#00b0f0" stroked="f"/>
          </w:pict>
        </mc:Fallback>
      </mc:AlternateContent>
    </w:r>
    <w:r>
      <w:rPr>
        <w:noProof/>
        <w:lang w:eastAsia="en-AU"/>
      </w:rPr>
      <mc:AlternateContent>
        <mc:Choice Requires="wps">
          <w:drawing>
            <wp:anchor distT="0" distB="0" distL="114300" distR="114300" simplePos="0" relativeHeight="251655680" behindDoc="0" locked="0" layoutInCell="1" allowOverlap="1" wp14:anchorId="2B5B576C" wp14:editId="6A359ED3">
              <wp:simplePos x="0" y="0"/>
              <wp:positionH relativeFrom="column">
                <wp:posOffset>2157095</wp:posOffset>
              </wp:positionH>
              <wp:positionV relativeFrom="paragraph">
                <wp:posOffset>3478530</wp:posOffset>
              </wp:positionV>
              <wp:extent cx="201295" cy="520700"/>
              <wp:effectExtent l="0" t="0" r="8255" b="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73556" id="Rectangle 11" o:spid="_x0000_s1026" style="position:absolute;margin-left:169.85pt;margin-top:273.9pt;width:15.85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" fillcolor="#92d050" stroked="f"/>
          </w:pict>
        </mc:Fallback>
      </mc:AlternateContent>
    </w:r>
    <w:r w:rsidRPr="00A64C17">
      <w:rPr>
        <w:noProof/>
        <w:lang w:eastAsia="en-AU"/>
      </w:rPr>
      <w:drawing>
        <wp:anchor distT="0" distB="0" distL="114300" distR="114300" simplePos="0" relativeHeight="251654656" behindDoc="1" locked="0" layoutInCell="1" allowOverlap="1" wp14:anchorId="261B07A1" wp14:editId="76007271">
          <wp:simplePos x="0" y="0"/>
          <wp:positionH relativeFrom="column">
            <wp:posOffset>-416560</wp:posOffset>
          </wp:positionH>
          <wp:positionV relativeFrom="paragraph">
            <wp:posOffset>-121285</wp:posOffset>
          </wp:positionV>
          <wp:extent cx="2933700" cy="914400"/>
          <wp:effectExtent l="0" t="0" r="0" b="0"/>
          <wp:wrapNone/>
          <wp:docPr id="33" name="Picture 33" descr="G:\ASCD\Communications &amp; Public Affairs\Toolbox\6. Tools and Resources\Design\PRINT\Climate Change Authority\logos\CCA crest_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Climate Change Authority\logos\CCA crest_inline-01.png"/>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r w:rsidRPr="00A64C17">
      <w:rPr>
        <w:noProof/>
        <w:lang w:eastAsia="en-AU"/>
      </w:rPr>
      <w:drawing>
        <wp:anchor distT="0" distB="0" distL="114300" distR="114300" simplePos="0" relativeHeight="251653632" behindDoc="1" locked="0" layoutInCell="1" allowOverlap="1" wp14:anchorId="0A3359C8" wp14:editId="6F080387">
          <wp:simplePos x="0" y="0"/>
          <wp:positionH relativeFrom="column">
            <wp:posOffset>-2580005</wp:posOffset>
          </wp:positionH>
          <wp:positionV relativeFrom="paragraph">
            <wp:posOffset>4491355</wp:posOffset>
          </wp:positionV>
          <wp:extent cx="9114318" cy="9112102"/>
          <wp:effectExtent l="19050" t="0" r="0" b="0"/>
          <wp:wrapNone/>
          <wp:docPr id="34" name="Picture 1" descr="G:\ASCD\Communications &amp; Public Affairs\Toolbox\6. Tools and Resources\Design\PRINT\Climate Change Authority\ID concepts\Big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CD\Communications &amp; Public Affairs\Toolbox\6. Tools and Resources\Design\PRINT\Climate Change Authority\ID concepts\BigC-01.png"/>
                  <pic:cNvPicPr>
                    <a:picLocks noChangeAspect="1" noChangeArrowheads="1"/>
                  </pic:cNvPicPr>
                </pic:nvPicPr>
                <pic:blipFill>
                  <a:blip r:embed="rId2" cstate="print"/>
                  <a:srcRect/>
                  <a:stretch>
                    <a:fillRect/>
                  </a:stretch>
                </pic:blipFill>
                <pic:spPr bwMode="auto">
                  <a:xfrm>
                    <a:off x="0" y="0"/>
                    <a:ext cx="9114318" cy="9112102"/>
                  </a:xfrm>
                  <a:prstGeom prst="rect">
                    <a:avLst/>
                  </a:prstGeom>
                  <a:noFill/>
                  <a:ln w="9525">
                    <a:noFill/>
                    <a:miter lim="800000"/>
                    <a:headEnd/>
                    <a:tailEnd/>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Pr="00DF2DB3" w:rsidRDefault="00875725" w:rsidP="00DF2DB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600B6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pPr>
      <w:pStyle w:val="Header"/>
    </w:pPr>
    <w:r>
      <w:t>UNCLASSIFIED: FOR OFFICIAL USE ONLY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pPr>
      <w:pStyle w:val="Header"/>
    </w:pPr>
    <w:r>
      <w:t>UNCLASSIFED: FOR OFFICIAL USE ONLY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Pr="001E5FDF" w:rsidRDefault="00875725" w:rsidP="001E5FDF">
    <w:pPr>
      <w:pStyle w:val="Header"/>
    </w:pPr>
    <w:r w:rsidRPr="001E5FDF">
      <w:t xml:space="preserve"> </w:t>
    </w:r>
  </w:p>
  <w:p w:rsidR="00875725" w:rsidRDefault="00875725" w:rsidP="007B6E21">
    <w:pPr>
      <w:pStyle w:val="Header"/>
      <w:jc w:val="left"/>
    </w:pPr>
    <w:r>
      <w:rPr>
        <w:noProof/>
        <w:lang w:eastAsia="en-AU"/>
      </w:rPr>
      <mc:AlternateContent>
        <mc:Choice Requires="wps">
          <w:drawing>
            <wp:anchor distT="0" distB="0" distL="114300" distR="114300" simplePos="0" relativeHeight="251660800" behindDoc="0" locked="0" layoutInCell="1" allowOverlap="1" wp14:anchorId="217C42E3" wp14:editId="371EC739">
              <wp:simplePos x="0" y="0"/>
              <wp:positionH relativeFrom="column">
                <wp:posOffset>2351405</wp:posOffset>
              </wp:positionH>
              <wp:positionV relativeFrom="paragraph">
                <wp:posOffset>3478530</wp:posOffset>
              </wp:positionV>
              <wp:extent cx="5531485" cy="520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CA42" id="Rectangle 4" o:spid="_x0000_s1026" style="position:absolute;margin-left:185.15pt;margin-top:273.9pt;width:435.55pt;height: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" fillcolor="#00b0f0" stroked="f"/>
          </w:pict>
        </mc:Fallback>
      </mc:AlternateContent>
    </w:r>
    <w:r>
      <w:rPr>
        <w:noProof/>
        <w:lang w:eastAsia="en-AU"/>
      </w:rPr>
      <mc:AlternateContent>
        <mc:Choice Requires="wps">
          <w:drawing>
            <wp:anchor distT="0" distB="0" distL="114300" distR="114300" simplePos="0" relativeHeight="251659776" behindDoc="0" locked="0" layoutInCell="1" allowOverlap="1" wp14:anchorId="32CD977F" wp14:editId="1439A90C">
              <wp:simplePos x="0" y="0"/>
              <wp:positionH relativeFrom="column">
                <wp:posOffset>2157095</wp:posOffset>
              </wp:positionH>
              <wp:positionV relativeFrom="paragraph">
                <wp:posOffset>3478530</wp:posOffset>
              </wp:positionV>
              <wp:extent cx="201295" cy="520700"/>
              <wp:effectExtent l="0" t="0" r="825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3C18" id="Rectangle 11" o:spid="_x0000_s1026" style="position:absolute;margin-left:169.85pt;margin-top:273.9pt;width:15.85pt;height: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" fillcolor="#92d050" stroked="f"/>
          </w:pict>
        </mc:Fallback>
      </mc:AlternateContent>
    </w:r>
    <w:r w:rsidRPr="00A64C17">
      <w:rPr>
        <w:noProof/>
        <w:lang w:eastAsia="en-AU"/>
      </w:rPr>
      <w:drawing>
        <wp:anchor distT="0" distB="0" distL="114300" distR="114300" simplePos="0" relativeHeight="251658752" behindDoc="1" locked="0" layoutInCell="1" allowOverlap="1" wp14:anchorId="0316F6E6" wp14:editId="230A7840">
          <wp:simplePos x="0" y="0"/>
          <wp:positionH relativeFrom="column">
            <wp:posOffset>-416560</wp:posOffset>
          </wp:positionH>
          <wp:positionV relativeFrom="paragraph">
            <wp:posOffset>-121285</wp:posOffset>
          </wp:positionV>
          <wp:extent cx="2933700" cy="914400"/>
          <wp:effectExtent l="0" t="0" r="0" b="0"/>
          <wp:wrapNone/>
          <wp:docPr id="38" name="Picture 38" descr="G:\ASCD\Communications &amp; Public Affairs\Toolbox\6. Tools and Resources\Design\PRINT\Climate Change Authority\logos\CCA crest_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Climate Change Authority\logos\CCA crest_inline-01.png"/>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r w:rsidRPr="00A64C17">
      <w:rPr>
        <w:noProof/>
        <w:lang w:eastAsia="en-AU"/>
      </w:rPr>
      <w:drawing>
        <wp:anchor distT="0" distB="0" distL="114300" distR="114300" simplePos="0" relativeHeight="251657728" behindDoc="1" locked="0" layoutInCell="1" allowOverlap="1" wp14:anchorId="63B3E68C" wp14:editId="07A07BA7">
          <wp:simplePos x="0" y="0"/>
          <wp:positionH relativeFrom="column">
            <wp:posOffset>-2580005</wp:posOffset>
          </wp:positionH>
          <wp:positionV relativeFrom="paragraph">
            <wp:posOffset>4491355</wp:posOffset>
          </wp:positionV>
          <wp:extent cx="9114318" cy="9112102"/>
          <wp:effectExtent l="19050" t="0" r="0" b="0"/>
          <wp:wrapNone/>
          <wp:docPr id="39" name="Picture 1" descr="G:\ASCD\Communications &amp; Public Affairs\Toolbox\6. Tools and Resources\Design\PRINT\Climate Change Authority\ID concepts\Big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CD\Communications &amp; Public Affairs\Toolbox\6. Tools and Resources\Design\PRINT\Climate Change Authority\ID concepts\BigC-01.png"/>
                  <pic:cNvPicPr>
                    <a:picLocks noChangeAspect="1" noChangeArrowheads="1"/>
                  </pic:cNvPicPr>
                </pic:nvPicPr>
                <pic:blipFill>
                  <a:blip r:embed="rId2" cstate="print"/>
                  <a:srcRect/>
                  <a:stretch>
                    <a:fillRect/>
                  </a:stretch>
                </pic:blipFill>
                <pic:spPr bwMode="auto">
                  <a:xfrm>
                    <a:off x="0" y="0"/>
                    <a:ext cx="9114318" cy="9112102"/>
                  </a:xfrm>
                  <a:prstGeom prst="rect">
                    <a:avLst/>
                  </a:prstGeom>
                  <a:noFill/>
                  <a:ln w="9525">
                    <a:noFill/>
                    <a:miter lim="800000"/>
                    <a:headEnd/>
                    <a:tailEnd/>
                  </a:ln>
                </pic:spPr>
              </pic:pic>
            </a:graphicData>
          </a:graphic>
        </wp:anchor>
      </w:drawing>
    </w:r>
  </w:p>
  <w:p w:rsidR="00875725" w:rsidRDefault="00875725" w:rsidP="00600B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600B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4E664C" w:rsidP="00600B6F">
    <w:pPr>
      <w:pStyle w:val="Header"/>
    </w:pPr>
    <w:r>
      <w:fldChar w:fldCharType="begin"/>
    </w:r>
    <w:r>
      <w:instrText xml:space="preserve"> DOCPROPERTY  "Security Classification"  \* MERGEFORMAT </w:instrText>
    </w:r>
    <w:r>
      <w:fldChar w:fldCharType="separate"/>
    </w:r>
    <w:r>
      <w:t>{SECURITY CLASSIFICATION}</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165111">
    <w:pPr>
      <w:pStyle w:val="Header"/>
    </w:pPr>
    <w:r>
      <w:t>UNCLASSIFIED: FOR OFFICIAL USE ONLY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165111">
    <w:pPr>
      <w:pStyle w:val="Header"/>
    </w:pPr>
    <w:r>
      <w:t>UNCLASSIFIED</w:t>
    </w:r>
    <w:r>
      <w:rPr>
        <w:noProof/>
        <w:lang w:eastAsia="en-AU"/>
      </w:rPr>
      <mc:AlternateContent>
        <mc:Choice Requires="wps">
          <w:drawing>
            <wp:anchor distT="0" distB="0" distL="114300" distR="114300" simplePos="0" relativeHeight="251661824" behindDoc="1" locked="0" layoutInCell="0" allowOverlap="1" wp14:anchorId="32B473A3" wp14:editId="27F85D55">
              <wp:simplePos x="0" y="0"/>
              <wp:positionH relativeFrom="margin">
                <wp:align>center</wp:align>
              </wp:positionH>
              <wp:positionV relativeFrom="margin">
                <wp:align>center</wp:align>
              </wp:positionV>
              <wp:extent cx="5732145" cy="2292350"/>
              <wp:effectExtent l="0" t="0" r="0" b="0"/>
              <wp:wrapNone/>
              <wp:docPr id="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2145" cy="2292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5725" w:rsidRDefault="00875725" w:rsidP="00F50E3F">
                          <w:pPr>
                            <w:pStyle w:val="NormalWeb"/>
                            <w:spacing w:after="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B473A3" id="_x0000_t202" coordsize="21600,21600" o:spt="202" path="m,l,21600r21600,l21600,xe">
              <v:stroke joinstyle="miter"/>
              <v:path gradientshapeok="t" o:connecttype="rect"/>
            </v:shapetype>
            <v:shape id="WordArt 20" o:spid="_x0000_s1029" type="#_x0000_t202" style="position:absolute;left:0;text-align:left;margin-left:0;margin-top:0;width:451.35pt;height:180.5pt;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" o:allowincell="f" filled="f" stroked="f">
              <v:stroke joinstyle="round"/>
              <o:lock v:ext="edit" shapetype="t"/>
              <v:textbox style="mso-fit-shape-to-text:t">
                <w:txbxContent>
                  <w:p w:rsidR="00875725" w:rsidRDefault="00875725" w:rsidP="00F50E3F">
                    <w:pPr>
                      <w:pStyle w:val="NormalWeb"/>
                      <w:spacing w:after="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t>: 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5D471F">
    <w:pPr>
      <w:pStyle w:val="Header"/>
      <w:jc w:val="left"/>
    </w:pPr>
    <w:r>
      <w:t xml:space="preserve">                          UNCLASSIFIED: </w:t>
    </w:r>
    <w:r w:rsidRPr="005D471F">
      <w:t>FOR OFFICIAL USE ONLY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Default="00875725" w:rsidP="00600B6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25" w:rsidRPr="00DF2DB3" w:rsidRDefault="00875725" w:rsidP="00DF2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214"/>
    <w:multiLevelType w:val="multilevel"/>
    <w:tmpl w:val="904AEB3A"/>
    <w:numStyleLink w:val="TableListNumbermaster"/>
  </w:abstractNum>
  <w:abstractNum w:abstractNumId="1" w15:restartNumberingAfterBreak="0">
    <w:nsid w:val="0A981600"/>
    <w:multiLevelType w:val="hybridMultilevel"/>
    <w:tmpl w:val="53D2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54C96"/>
    <w:multiLevelType w:val="multilevel"/>
    <w:tmpl w:val="E8D621D4"/>
    <w:numStyleLink w:val="AppendixHeadingmaster"/>
  </w:abstractNum>
  <w:abstractNum w:abstractNumId="3" w15:restartNumberingAfterBreak="0">
    <w:nsid w:val="0F167765"/>
    <w:multiLevelType w:val="multilevel"/>
    <w:tmpl w:val="E8D621D4"/>
    <w:styleLink w:val="AppendixHeadingmaster"/>
    <w:lvl w:ilvl="0">
      <w:start w:val="1"/>
      <w:numFmt w:val="upperLetter"/>
      <w:pStyle w:val="AppendixHeading1"/>
      <w:lvlText w:val="Appendix %1"/>
      <w:lvlJc w:val="left"/>
      <w:pPr>
        <w:ind w:left="360" w:hanging="360"/>
      </w:pPr>
      <w:rPr>
        <w:rFonts w:ascii="Arial" w:hAnsi="Arial" w:hint="default"/>
        <w:color w:val="0C9FCD"/>
        <w:sz w:val="40"/>
      </w:rPr>
    </w:lvl>
    <w:lvl w:ilvl="1">
      <w:start w:val="1"/>
      <w:numFmt w:val="decimal"/>
      <w:pStyle w:val="AppendixHeading2"/>
      <w:lvlText w:val="Appendix %1.%2"/>
      <w:lvlJc w:val="left"/>
      <w:pPr>
        <w:ind w:left="357" w:hanging="357"/>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476DF0"/>
    <w:multiLevelType w:val="multilevel"/>
    <w:tmpl w:val="3BEA0C4A"/>
    <w:styleLink w:val="ListQuestionsMaster"/>
    <w:lvl w:ilvl="0">
      <w:start w:val="1"/>
      <w:numFmt w:val="decimal"/>
      <w:pStyle w:val="ListQuestions"/>
      <w:lvlText w:val="Q.%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 w15:restartNumberingAfterBreak="0">
    <w:nsid w:val="1A753D77"/>
    <w:multiLevelType w:val="multilevel"/>
    <w:tmpl w:val="F6A0E3C4"/>
    <w:styleLink w:val="Headingsmaster"/>
    <w:lvl w:ilvl="0">
      <w:start w:val="1"/>
      <w:numFmt w:val="decimal"/>
      <w:pStyle w:val="Heading1"/>
      <w:lvlText w:val="%1."/>
      <w:lvlJc w:val="left"/>
      <w:pPr>
        <w:tabs>
          <w:tab w:val="num" w:pos="2268"/>
        </w:tabs>
        <w:ind w:left="1021" w:hanging="1021"/>
      </w:pPr>
      <w:rPr>
        <w:rFonts w:hint="default"/>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0C9FCD"/>
      </w:rPr>
    </w:lvl>
    <w:lvl w:ilvl="1">
      <w:start w:val="1"/>
      <w:numFmt w:val="lowerLetter"/>
      <w:pStyle w:val="TableListNumber2"/>
      <w:lvlText w:val="%2."/>
      <w:lvlJc w:val="left"/>
      <w:pPr>
        <w:ind w:left="720" w:hanging="360"/>
      </w:pPr>
      <w:rPr>
        <w:rFonts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8350B3"/>
    <w:multiLevelType w:val="hybridMultilevel"/>
    <w:tmpl w:val="4B78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0C9FCD"/>
        <w:sz w:val="20"/>
      </w:rPr>
    </w:lvl>
    <w:lvl w:ilvl="1">
      <w:start w:val="1"/>
      <w:numFmt w:val="lowerLetter"/>
      <w:pStyle w:val="ListNumber2"/>
      <w:lvlText w:val="%2."/>
      <w:lvlJc w:val="left"/>
      <w:pPr>
        <w:ind w:left="720" w:hanging="360"/>
      </w:pPr>
      <w:rPr>
        <w:rFonts w:ascii="Arial" w:hAnsi="Arial" w:hint="default"/>
        <w:color w:val="0C9FCD"/>
        <w:sz w:val="20"/>
      </w:rPr>
    </w:lvl>
    <w:lvl w:ilvl="2">
      <w:start w:val="1"/>
      <w:numFmt w:val="lowerRoman"/>
      <w:pStyle w:val="ListNumber3"/>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243717"/>
    <w:multiLevelType w:val="hybridMultilevel"/>
    <w:tmpl w:val="67BC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CA3F89"/>
    <w:multiLevelType w:val="multilevel"/>
    <w:tmpl w:val="AA4479C8"/>
    <w:numStyleLink w:val="TableListBulletmaster"/>
  </w:abstractNum>
  <w:abstractNum w:abstractNumId="11" w15:restartNumberingAfterBreak="0">
    <w:nsid w:val="43C474DC"/>
    <w:multiLevelType w:val="multilevel"/>
    <w:tmpl w:val="38DCA378"/>
    <w:styleLink w:val="ChapterHeadingsmaster"/>
    <w:lvl w:ilvl="0">
      <w:start w:val="1"/>
      <w:numFmt w:val="decimal"/>
      <w:pStyle w:val="ChapterHeading1"/>
      <w:lvlText w:val="Chapter %1."/>
      <w:lvlJc w:val="left"/>
      <w:pPr>
        <w:ind w:left="2268" w:hanging="2268"/>
      </w:pPr>
      <w:rPr>
        <w:rFonts w:hint="default"/>
      </w:rPr>
    </w:lvl>
    <w:lvl w:ilvl="1">
      <w:start w:val="1"/>
      <w:numFmt w:val="decimal"/>
      <w:pStyle w:val="ChapterHeading2"/>
      <w:lvlText w:val="%1.%2."/>
      <w:lvlJc w:val="left"/>
      <w:pPr>
        <w:ind w:left="1021" w:hanging="1021"/>
      </w:pPr>
      <w:rPr>
        <w:rFonts w:hint="default"/>
      </w:rPr>
    </w:lvl>
    <w:lvl w:ilvl="2">
      <w:start w:val="1"/>
      <w:numFmt w:val="decimal"/>
      <w:pStyle w:val="ChapterHeading3"/>
      <w:lvlText w:val="%1.%2.%3."/>
      <w:lvlJc w:val="left"/>
      <w:pPr>
        <w:ind w:left="1021" w:hanging="1021"/>
      </w:pPr>
      <w:rPr>
        <w:rFonts w:hint="default"/>
      </w:rPr>
    </w:lvl>
    <w:lvl w:ilvl="3">
      <w:start w:val="1"/>
      <w:numFmt w:val="none"/>
      <w:pStyle w:val="ChapterHeading4"/>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A51FC2"/>
    <w:multiLevelType w:val="multilevel"/>
    <w:tmpl w:val="AA4479C8"/>
    <w:styleLink w:val="TableListBulletmaster"/>
    <w:lvl w:ilvl="0">
      <w:start w:val="1"/>
      <w:numFmt w:val="bullet"/>
      <w:pStyle w:val="TableListBullet"/>
      <w:lvlText w:val=""/>
      <w:lvlJc w:val="left"/>
      <w:pPr>
        <w:ind w:left="340" w:hanging="283"/>
      </w:pPr>
      <w:rPr>
        <w:rFonts w:ascii="Symbol" w:hAnsi="Symbol" w:hint="default"/>
        <w:color w:val="0C9FCD"/>
      </w:rPr>
    </w:lvl>
    <w:lvl w:ilvl="1">
      <w:start w:val="1"/>
      <w:numFmt w:val="bullet"/>
      <w:pStyle w:val="TableListBullet2"/>
      <w:lvlText w:val=""/>
      <w:lvlJc w:val="left"/>
      <w:pPr>
        <w:ind w:left="567" w:hanging="227"/>
      </w:pPr>
      <w:rPr>
        <w:rFonts w:ascii="Symbol" w:hAnsi="Symbol"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48E6CBA"/>
    <w:multiLevelType w:val="multilevel"/>
    <w:tmpl w:val="A0042134"/>
    <w:styleLink w:val="ListBulletmaster"/>
    <w:lvl w:ilvl="0">
      <w:start w:val="1"/>
      <w:numFmt w:val="bullet"/>
      <w:pStyle w:val="ListBullet"/>
      <w:lvlText w:val=""/>
      <w:lvlJc w:val="left"/>
      <w:pPr>
        <w:tabs>
          <w:tab w:val="num" w:pos="360"/>
        </w:tabs>
        <w:ind w:left="360" w:hanging="360"/>
      </w:pPr>
      <w:rPr>
        <w:rFonts w:ascii="Symbol" w:hAnsi="Symbol" w:hint="default"/>
        <w:color w:val="0C9FCD"/>
      </w:rPr>
    </w:lvl>
    <w:lvl w:ilvl="1">
      <w:start w:val="1"/>
      <w:numFmt w:val="bullet"/>
      <w:pStyle w:val="ListBullet2"/>
      <w:lvlText w:val=""/>
      <w:lvlJc w:val="left"/>
      <w:pPr>
        <w:ind w:left="714" w:hanging="357"/>
      </w:pPr>
      <w:rPr>
        <w:rFonts w:ascii="Symbol" w:hAnsi="Symbol" w:hint="default"/>
        <w:color w:val="0C9FCD"/>
      </w:rPr>
    </w:lvl>
    <w:lvl w:ilvl="2">
      <w:start w:val="1"/>
      <w:numFmt w:val="bullet"/>
      <w:pStyle w:val="ListBullet3"/>
      <w:lvlText w:val=""/>
      <w:lvlJc w:val="left"/>
      <w:pPr>
        <w:ind w:left="1072" w:hanging="358"/>
      </w:pPr>
      <w:rPr>
        <w:rFonts w:ascii="Symbol" w:hAnsi="Symbol" w:hint="default"/>
        <w:color w:val="0C9FC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FB2ED5"/>
    <w:multiLevelType w:val="multilevel"/>
    <w:tmpl w:val="62864B92"/>
    <w:lvl w:ilvl="0">
      <w:start w:val="1"/>
      <w:numFmt w:val="decimal"/>
      <w:pStyle w:val="Headingnumberedbox"/>
      <w:lvlText w:val="Box %1"/>
      <w:lvlJc w:val="left"/>
      <w:pPr>
        <w:tabs>
          <w:tab w:val="num" w:pos="851"/>
        </w:tabs>
        <w:ind w:left="851" w:hanging="851"/>
      </w:p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7905870"/>
    <w:multiLevelType w:val="hybridMultilevel"/>
    <w:tmpl w:val="0AAA8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3413C5"/>
    <w:multiLevelType w:val="multilevel"/>
    <w:tmpl w:val="8266E9DA"/>
    <w:styleLink w:val="ListRecommendationsMaster"/>
    <w:lvl w:ilvl="0">
      <w:start w:val="1"/>
      <w:numFmt w:val="decimal"/>
      <w:pStyle w:val="ListRecommendations"/>
      <w:lvlText w:val="R.%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8" w15:restartNumberingAfterBreak="0">
    <w:nsid w:val="76572CB7"/>
    <w:multiLevelType w:val="multilevel"/>
    <w:tmpl w:val="A0042134"/>
    <w:numStyleLink w:val="ListBulletmaster"/>
  </w:abstractNum>
  <w:abstractNum w:abstractNumId="19" w15:restartNumberingAfterBreak="0">
    <w:nsid w:val="76974AE4"/>
    <w:multiLevelType w:val="hybridMultilevel"/>
    <w:tmpl w:val="7D92C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E8631E"/>
    <w:multiLevelType w:val="multilevel"/>
    <w:tmpl w:val="3BEA0C4A"/>
    <w:numStyleLink w:val="ListQuestionsMaster"/>
  </w:abstractNum>
  <w:abstractNum w:abstractNumId="21" w15:restartNumberingAfterBreak="0">
    <w:nsid w:val="78CD1E29"/>
    <w:multiLevelType w:val="multilevel"/>
    <w:tmpl w:val="8266E9DA"/>
    <w:numStyleLink w:val="ListRecommendationsMaster"/>
  </w:abstractNum>
  <w:abstractNum w:abstractNumId="22" w15:restartNumberingAfterBreak="0">
    <w:nsid w:val="7C674E5B"/>
    <w:multiLevelType w:val="hybridMultilevel"/>
    <w:tmpl w:val="98043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6"/>
  </w:num>
  <w:num w:numId="5">
    <w:abstractNumId w:val="15"/>
  </w:num>
  <w:num w:numId="6">
    <w:abstractNumId w:val="3"/>
  </w:num>
  <w:num w:numId="7">
    <w:abstractNumId w:val="2"/>
  </w:num>
  <w:num w:numId="8">
    <w:abstractNumId w:val="5"/>
  </w:num>
  <w:num w:numId="9">
    <w:abstractNumId w:val="10"/>
  </w:num>
  <w:num w:numId="10">
    <w:abstractNumId w:val="0"/>
  </w:num>
  <w:num w:numId="11">
    <w:abstractNumId w:val="17"/>
  </w:num>
  <w:num w:numId="12">
    <w:abstractNumId w:val="4"/>
  </w:num>
  <w:num w:numId="13">
    <w:abstractNumId w:val="21"/>
  </w:num>
  <w:num w:numId="14">
    <w:abstractNumId w:val="20"/>
  </w:num>
  <w:num w:numId="15">
    <w:abstractNumId w:val="11"/>
  </w:num>
  <w:num w:numId="16">
    <w:abstractNumId w:val="11"/>
    <w:lvlOverride w:ilvl="0">
      <w:lvl w:ilvl="0">
        <w:start w:val="1"/>
        <w:numFmt w:val="decimal"/>
        <w:pStyle w:val="ChapterHeading1"/>
        <w:lvlText w:val="Chapter %1."/>
        <w:lvlJc w:val="left"/>
        <w:pPr>
          <w:ind w:left="2268" w:hanging="2268"/>
        </w:pPr>
        <w:rPr>
          <w:rFonts w:hint="default"/>
        </w:rPr>
      </w:lvl>
    </w:lvlOverride>
  </w:num>
  <w:num w:numId="17">
    <w:abstractNumId w:val="13"/>
  </w:num>
  <w:num w:numId="18">
    <w:abstractNumId w:val="5"/>
    <w:lvlOverride w:ilvl="0">
      <w:lvl w:ilvl="0">
        <w:start w:val="1"/>
        <w:numFmt w:val="decimal"/>
        <w:pStyle w:val="Heading1"/>
        <w:lvlText w:val="%1."/>
        <w:lvlJc w:val="left"/>
        <w:pPr>
          <w:tabs>
            <w:tab w:val="num" w:pos="2268"/>
          </w:tabs>
          <w:ind w:left="1021" w:hanging="1021"/>
        </w:pPr>
        <w:rPr>
          <w:rFonts w:hint="default"/>
        </w:rPr>
      </w:lvl>
    </w:lvlOverride>
    <w:lvlOverride w:ilvl="1">
      <w:lvl w:ilvl="1">
        <w:start w:val="1"/>
        <w:numFmt w:val="decimal"/>
        <w:pStyle w:val="Heading2"/>
        <w:lvlText w:val="%1.%2."/>
        <w:lvlJc w:val="left"/>
        <w:pPr>
          <w:tabs>
            <w:tab w:val="num" w:pos="1021"/>
          </w:tabs>
          <w:ind w:left="1021" w:hanging="1021"/>
        </w:pPr>
        <w:rPr>
          <w:rFonts w:hint="default"/>
        </w:rPr>
      </w:lvl>
    </w:lvlOverride>
    <w:lvlOverride w:ilvl="2">
      <w:lvl w:ilvl="2">
        <w:start w:val="1"/>
        <w:numFmt w:val="decimal"/>
        <w:pStyle w:val="Heading3"/>
        <w:lvlText w:val="%1.%2.%3."/>
        <w:lvlJc w:val="left"/>
        <w:pPr>
          <w:tabs>
            <w:tab w:val="num" w:pos="1021"/>
          </w:tabs>
          <w:ind w:left="1021" w:hanging="1021"/>
        </w:pPr>
        <w:rPr>
          <w:rFonts w:hint="default"/>
        </w:rPr>
      </w:lvl>
    </w:lvlOverride>
    <w:lvlOverride w:ilvl="3">
      <w:lvl w:ilvl="3">
        <w:start w:val="1"/>
        <w:numFmt w:val="decimal"/>
        <w:lvlText w:val="%1.%2.%3.%4."/>
        <w:lvlJc w:val="left"/>
        <w:pPr>
          <w:tabs>
            <w:tab w:val="num" w:pos="1021"/>
          </w:tabs>
          <w:ind w:left="1021" w:hanging="1021"/>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19"/>
  </w:num>
  <w:num w:numId="24">
    <w:abstractNumId w:val="9"/>
  </w:num>
  <w:num w:numId="25">
    <w:abstractNumId w:val="7"/>
  </w:num>
  <w:num w:numId="26">
    <w:abstractNumId w:val="1"/>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0F"/>
    <w:rsid w:val="00002977"/>
    <w:rsid w:val="00004672"/>
    <w:rsid w:val="00007B5A"/>
    <w:rsid w:val="00013AF8"/>
    <w:rsid w:val="00013C22"/>
    <w:rsid w:val="000149A7"/>
    <w:rsid w:val="00014D12"/>
    <w:rsid w:val="0001554E"/>
    <w:rsid w:val="00015FCC"/>
    <w:rsid w:val="00017622"/>
    <w:rsid w:val="00021E47"/>
    <w:rsid w:val="000229F6"/>
    <w:rsid w:val="00024327"/>
    <w:rsid w:val="00026469"/>
    <w:rsid w:val="00030760"/>
    <w:rsid w:val="00030FBD"/>
    <w:rsid w:val="00033973"/>
    <w:rsid w:val="00035A6E"/>
    <w:rsid w:val="000365DF"/>
    <w:rsid w:val="00037F4D"/>
    <w:rsid w:val="00041046"/>
    <w:rsid w:val="000432E1"/>
    <w:rsid w:val="000451D5"/>
    <w:rsid w:val="00047E0A"/>
    <w:rsid w:val="0005102F"/>
    <w:rsid w:val="00052673"/>
    <w:rsid w:val="00053839"/>
    <w:rsid w:val="00053F88"/>
    <w:rsid w:val="00056848"/>
    <w:rsid w:val="00057F62"/>
    <w:rsid w:val="000741C6"/>
    <w:rsid w:val="000745D8"/>
    <w:rsid w:val="0007601B"/>
    <w:rsid w:val="0007657E"/>
    <w:rsid w:val="0007666B"/>
    <w:rsid w:val="00081B42"/>
    <w:rsid w:val="00081CB4"/>
    <w:rsid w:val="00082A93"/>
    <w:rsid w:val="00084261"/>
    <w:rsid w:val="00086C43"/>
    <w:rsid w:val="00091F32"/>
    <w:rsid w:val="00093021"/>
    <w:rsid w:val="00093139"/>
    <w:rsid w:val="00094638"/>
    <w:rsid w:val="000946AA"/>
    <w:rsid w:val="00094EFE"/>
    <w:rsid w:val="000A0C64"/>
    <w:rsid w:val="000A315C"/>
    <w:rsid w:val="000A33EB"/>
    <w:rsid w:val="000A526C"/>
    <w:rsid w:val="000A55D7"/>
    <w:rsid w:val="000B04CE"/>
    <w:rsid w:val="000B21EF"/>
    <w:rsid w:val="000B3144"/>
    <w:rsid w:val="000B7260"/>
    <w:rsid w:val="000C0A57"/>
    <w:rsid w:val="000C192C"/>
    <w:rsid w:val="000C58EC"/>
    <w:rsid w:val="000D0D25"/>
    <w:rsid w:val="000D410C"/>
    <w:rsid w:val="000D57BE"/>
    <w:rsid w:val="000D658C"/>
    <w:rsid w:val="000E1FC8"/>
    <w:rsid w:val="000E296B"/>
    <w:rsid w:val="000E71E0"/>
    <w:rsid w:val="000F089F"/>
    <w:rsid w:val="000F22AD"/>
    <w:rsid w:val="000F2B63"/>
    <w:rsid w:val="001006E3"/>
    <w:rsid w:val="00112238"/>
    <w:rsid w:val="0011361F"/>
    <w:rsid w:val="00117CEF"/>
    <w:rsid w:val="00120756"/>
    <w:rsid w:val="00121D88"/>
    <w:rsid w:val="00122326"/>
    <w:rsid w:val="00124DFB"/>
    <w:rsid w:val="00131F0D"/>
    <w:rsid w:val="0013346F"/>
    <w:rsid w:val="001351F3"/>
    <w:rsid w:val="001352FA"/>
    <w:rsid w:val="00135F76"/>
    <w:rsid w:val="00136AAF"/>
    <w:rsid w:val="00142359"/>
    <w:rsid w:val="00142F08"/>
    <w:rsid w:val="00143062"/>
    <w:rsid w:val="00143172"/>
    <w:rsid w:val="001439CC"/>
    <w:rsid w:val="0014504F"/>
    <w:rsid w:val="0015123E"/>
    <w:rsid w:val="0015448A"/>
    <w:rsid w:val="00161A77"/>
    <w:rsid w:val="0016341C"/>
    <w:rsid w:val="00163729"/>
    <w:rsid w:val="00164425"/>
    <w:rsid w:val="00164B0F"/>
    <w:rsid w:val="00165111"/>
    <w:rsid w:val="00167CAA"/>
    <w:rsid w:val="00171F5D"/>
    <w:rsid w:val="00172327"/>
    <w:rsid w:val="00175C6E"/>
    <w:rsid w:val="00177193"/>
    <w:rsid w:val="0017793C"/>
    <w:rsid w:val="00181014"/>
    <w:rsid w:val="001827B4"/>
    <w:rsid w:val="001851A1"/>
    <w:rsid w:val="0018630F"/>
    <w:rsid w:val="001865C2"/>
    <w:rsid w:val="00186A3D"/>
    <w:rsid w:val="0019102B"/>
    <w:rsid w:val="00191E1B"/>
    <w:rsid w:val="001925A4"/>
    <w:rsid w:val="001933D1"/>
    <w:rsid w:val="0019531C"/>
    <w:rsid w:val="00195E5B"/>
    <w:rsid w:val="001A5DF3"/>
    <w:rsid w:val="001A6703"/>
    <w:rsid w:val="001A772F"/>
    <w:rsid w:val="001A7B8B"/>
    <w:rsid w:val="001B333E"/>
    <w:rsid w:val="001B4606"/>
    <w:rsid w:val="001B60CF"/>
    <w:rsid w:val="001B6860"/>
    <w:rsid w:val="001C02C8"/>
    <w:rsid w:val="001C1EEB"/>
    <w:rsid w:val="001C2FCF"/>
    <w:rsid w:val="001C4F95"/>
    <w:rsid w:val="001D52EF"/>
    <w:rsid w:val="001D58C1"/>
    <w:rsid w:val="001D7163"/>
    <w:rsid w:val="001D753C"/>
    <w:rsid w:val="001E0BF9"/>
    <w:rsid w:val="001E5FDF"/>
    <w:rsid w:val="001E60DD"/>
    <w:rsid w:val="001F0BD3"/>
    <w:rsid w:val="001F52BD"/>
    <w:rsid w:val="001F54E4"/>
    <w:rsid w:val="001F5E97"/>
    <w:rsid w:val="001F62EA"/>
    <w:rsid w:val="001F6D63"/>
    <w:rsid w:val="0020100F"/>
    <w:rsid w:val="00201FFA"/>
    <w:rsid w:val="00203E20"/>
    <w:rsid w:val="002063DF"/>
    <w:rsid w:val="00210F2D"/>
    <w:rsid w:val="00214382"/>
    <w:rsid w:val="00214D09"/>
    <w:rsid w:val="0021550B"/>
    <w:rsid w:val="002200D3"/>
    <w:rsid w:val="002222DC"/>
    <w:rsid w:val="00222FDD"/>
    <w:rsid w:val="0022551A"/>
    <w:rsid w:val="002267C5"/>
    <w:rsid w:val="0022723B"/>
    <w:rsid w:val="002319AB"/>
    <w:rsid w:val="002328FC"/>
    <w:rsid w:val="0023480E"/>
    <w:rsid w:val="002358F7"/>
    <w:rsid w:val="002423AB"/>
    <w:rsid w:val="00243EE8"/>
    <w:rsid w:val="00245760"/>
    <w:rsid w:val="002471C1"/>
    <w:rsid w:val="00252784"/>
    <w:rsid w:val="00252E49"/>
    <w:rsid w:val="00253409"/>
    <w:rsid w:val="002546CD"/>
    <w:rsid w:val="0025518B"/>
    <w:rsid w:val="00255A9E"/>
    <w:rsid w:val="0025626B"/>
    <w:rsid w:val="00256D9B"/>
    <w:rsid w:val="0026251D"/>
    <w:rsid w:val="00262F3F"/>
    <w:rsid w:val="00262FCE"/>
    <w:rsid w:val="00264F40"/>
    <w:rsid w:val="00265079"/>
    <w:rsid w:val="002674AF"/>
    <w:rsid w:val="002676EE"/>
    <w:rsid w:val="002706D9"/>
    <w:rsid w:val="00271EB1"/>
    <w:rsid w:val="002728A7"/>
    <w:rsid w:val="00272A73"/>
    <w:rsid w:val="00275F65"/>
    <w:rsid w:val="0027618D"/>
    <w:rsid w:val="002775F8"/>
    <w:rsid w:val="00277BD6"/>
    <w:rsid w:val="00282ABF"/>
    <w:rsid w:val="002848E3"/>
    <w:rsid w:val="0028539D"/>
    <w:rsid w:val="0028663E"/>
    <w:rsid w:val="00291174"/>
    <w:rsid w:val="0029175C"/>
    <w:rsid w:val="0029544B"/>
    <w:rsid w:val="002B2DB0"/>
    <w:rsid w:val="002B3BEE"/>
    <w:rsid w:val="002B42A7"/>
    <w:rsid w:val="002B56BF"/>
    <w:rsid w:val="002B63E0"/>
    <w:rsid w:val="002B666A"/>
    <w:rsid w:val="002C01A5"/>
    <w:rsid w:val="002C0BF0"/>
    <w:rsid w:val="002C2D51"/>
    <w:rsid w:val="002C350C"/>
    <w:rsid w:val="002C4332"/>
    <w:rsid w:val="002C6469"/>
    <w:rsid w:val="002C702A"/>
    <w:rsid w:val="002D0728"/>
    <w:rsid w:val="002D1226"/>
    <w:rsid w:val="002D1C32"/>
    <w:rsid w:val="002E2DDE"/>
    <w:rsid w:val="002F0822"/>
    <w:rsid w:val="002F1862"/>
    <w:rsid w:val="002F1D3F"/>
    <w:rsid w:val="002F1F75"/>
    <w:rsid w:val="002F3488"/>
    <w:rsid w:val="002F49DA"/>
    <w:rsid w:val="002F5FAB"/>
    <w:rsid w:val="002F714C"/>
    <w:rsid w:val="00300AE9"/>
    <w:rsid w:val="003138AA"/>
    <w:rsid w:val="00315FD5"/>
    <w:rsid w:val="00316523"/>
    <w:rsid w:val="003251BA"/>
    <w:rsid w:val="0033053E"/>
    <w:rsid w:val="00330A0E"/>
    <w:rsid w:val="00332247"/>
    <w:rsid w:val="003360CE"/>
    <w:rsid w:val="0034141D"/>
    <w:rsid w:val="0034184A"/>
    <w:rsid w:val="00342FFE"/>
    <w:rsid w:val="003455AE"/>
    <w:rsid w:val="00350CF3"/>
    <w:rsid w:val="00351F64"/>
    <w:rsid w:val="00352B6F"/>
    <w:rsid w:val="003532F4"/>
    <w:rsid w:val="003539A9"/>
    <w:rsid w:val="00362266"/>
    <w:rsid w:val="00364AEC"/>
    <w:rsid w:val="00366E60"/>
    <w:rsid w:val="00371026"/>
    <w:rsid w:val="00373695"/>
    <w:rsid w:val="003744F6"/>
    <w:rsid w:val="00375664"/>
    <w:rsid w:val="00376060"/>
    <w:rsid w:val="00377B48"/>
    <w:rsid w:val="003841FA"/>
    <w:rsid w:val="003859A5"/>
    <w:rsid w:val="00391B07"/>
    <w:rsid w:val="00393862"/>
    <w:rsid w:val="0039485A"/>
    <w:rsid w:val="00394961"/>
    <w:rsid w:val="00397D65"/>
    <w:rsid w:val="003A04A9"/>
    <w:rsid w:val="003A1F14"/>
    <w:rsid w:val="003A54D3"/>
    <w:rsid w:val="003B13FA"/>
    <w:rsid w:val="003B44D6"/>
    <w:rsid w:val="003B64E4"/>
    <w:rsid w:val="003C2690"/>
    <w:rsid w:val="003C4869"/>
    <w:rsid w:val="003C4BEE"/>
    <w:rsid w:val="003C60BA"/>
    <w:rsid w:val="003C62D4"/>
    <w:rsid w:val="003C711A"/>
    <w:rsid w:val="003D54E3"/>
    <w:rsid w:val="003D67C9"/>
    <w:rsid w:val="003D6A45"/>
    <w:rsid w:val="003E224F"/>
    <w:rsid w:val="003E3771"/>
    <w:rsid w:val="003E4167"/>
    <w:rsid w:val="003E63ED"/>
    <w:rsid w:val="003F1034"/>
    <w:rsid w:val="003F77FA"/>
    <w:rsid w:val="004013D9"/>
    <w:rsid w:val="004015C8"/>
    <w:rsid w:val="0040399C"/>
    <w:rsid w:val="0040593F"/>
    <w:rsid w:val="00410293"/>
    <w:rsid w:val="004105A1"/>
    <w:rsid w:val="004114F3"/>
    <w:rsid w:val="0041287A"/>
    <w:rsid w:val="0041337C"/>
    <w:rsid w:val="004138B8"/>
    <w:rsid w:val="00414835"/>
    <w:rsid w:val="00422686"/>
    <w:rsid w:val="00423A36"/>
    <w:rsid w:val="0042420D"/>
    <w:rsid w:val="00425F52"/>
    <w:rsid w:val="00426F72"/>
    <w:rsid w:val="004316C6"/>
    <w:rsid w:val="00431EAC"/>
    <w:rsid w:val="00433B57"/>
    <w:rsid w:val="00434A68"/>
    <w:rsid w:val="004366BA"/>
    <w:rsid w:val="00436B0C"/>
    <w:rsid w:val="00437E90"/>
    <w:rsid w:val="00440326"/>
    <w:rsid w:val="00445077"/>
    <w:rsid w:val="00445DD3"/>
    <w:rsid w:val="00445F29"/>
    <w:rsid w:val="00445F2F"/>
    <w:rsid w:val="00446443"/>
    <w:rsid w:val="00452014"/>
    <w:rsid w:val="00453041"/>
    <w:rsid w:val="004531C0"/>
    <w:rsid w:val="00456FA4"/>
    <w:rsid w:val="004619B2"/>
    <w:rsid w:val="004620BB"/>
    <w:rsid w:val="00462CD7"/>
    <w:rsid w:val="00462CFA"/>
    <w:rsid w:val="00463586"/>
    <w:rsid w:val="00463DD5"/>
    <w:rsid w:val="00463E1E"/>
    <w:rsid w:val="00464126"/>
    <w:rsid w:val="00465BA7"/>
    <w:rsid w:val="004676CD"/>
    <w:rsid w:val="004678C2"/>
    <w:rsid w:val="00467D68"/>
    <w:rsid w:val="00471C47"/>
    <w:rsid w:val="00472AF3"/>
    <w:rsid w:val="004816CA"/>
    <w:rsid w:val="00482A12"/>
    <w:rsid w:val="00482A6A"/>
    <w:rsid w:val="00486D31"/>
    <w:rsid w:val="00492FDC"/>
    <w:rsid w:val="0049725A"/>
    <w:rsid w:val="004A14FF"/>
    <w:rsid w:val="004A1D36"/>
    <w:rsid w:val="004A1FD3"/>
    <w:rsid w:val="004A2A54"/>
    <w:rsid w:val="004A42FD"/>
    <w:rsid w:val="004B5E22"/>
    <w:rsid w:val="004C424D"/>
    <w:rsid w:val="004D0614"/>
    <w:rsid w:val="004D08A0"/>
    <w:rsid w:val="004D1BC1"/>
    <w:rsid w:val="004D21ED"/>
    <w:rsid w:val="004D6DD2"/>
    <w:rsid w:val="004D6FDD"/>
    <w:rsid w:val="004D742B"/>
    <w:rsid w:val="004E29AD"/>
    <w:rsid w:val="004E48EB"/>
    <w:rsid w:val="004E664C"/>
    <w:rsid w:val="004E6EB7"/>
    <w:rsid w:val="004F066B"/>
    <w:rsid w:val="004F1BDC"/>
    <w:rsid w:val="004F70AA"/>
    <w:rsid w:val="00504BC0"/>
    <w:rsid w:val="00505738"/>
    <w:rsid w:val="005070DA"/>
    <w:rsid w:val="00510ADA"/>
    <w:rsid w:val="00510AE2"/>
    <w:rsid w:val="00511198"/>
    <w:rsid w:val="00515669"/>
    <w:rsid w:val="00517C36"/>
    <w:rsid w:val="00521939"/>
    <w:rsid w:val="0052247C"/>
    <w:rsid w:val="005236BA"/>
    <w:rsid w:val="00523DDC"/>
    <w:rsid w:val="00526072"/>
    <w:rsid w:val="005262C3"/>
    <w:rsid w:val="005301F9"/>
    <w:rsid w:val="00530C25"/>
    <w:rsid w:val="00531E7D"/>
    <w:rsid w:val="00534DB6"/>
    <w:rsid w:val="00540F11"/>
    <w:rsid w:val="0054158F"/>
    <w:rsid w:val="00543174"/>
    <w:rsid w:val="0055163E"/>
    <w:rsid w:val="00555E87"/>
    <w:rsid w:val="0055694F"/>
    <w:rsid w:val="005569BB"/>
    <w:rsid w:val="00560C33"/>
    <w:rsid w:val="00561D1D"/>
    <w:rsid w:val="0056200C"/>
    <w:rsid w:val="0056484A"/>
    <w:rsid w:val="0056593A"/>
    <w:rsid w:val="00565E49"/>
    <w:rsid w:val="00571965"/>
    <w:rsid w:val="00572E29"/>
    <w:rsid w:val="005777B1"/>
    <w:rsid w:val="005849DC"/>
    <w:rsid w:val="00587F8E"/>
    <w:rsid w:val="0059323E"/>
    <w:rsid w:val="005933BC"/>
    <w:rsid w:val="00593492"/>
    <w:rsid w:val="005941D5"/>
    <w:rsid w:val="00596772"/>
    <w:rsid w:val="00596F13"/>
    <w:rsid w:val="00597994"/>
    <w:rsid w:val="005A16C6"/>
    <w:rsid w:val="005A27C4"/>
    <w:rsid w:val="005A308E"/>
    <w:rsid w:val="005A314E"/>
    <w:rsid w:val="005A4934"/>
    <w:rsid w:val="005A780D"/>
    <w:rsid w:val="005B0893"/>
    <w:rsid w:val="005B31CC"/>
    <w:rsid w:val="005B3AB6"/>
    <w:rsid w:val="005B6A43"/>
    <w:rsid w:val="005B6C65"/>
    <w:rsid w:val="005B70E1"/>
    <w:rsid w:val="005C558E"/>
    <w:rsid w:val="005C656E"/>
    <w:rsid w:val="005C68F0"/>
    <w:rsid w:val="005D1510"/>
    <w:rsid w:val="005D30D3"/>
    <w:rsid w:val="005D4127"/>
    <w:rsid w:val="005D471F"/>
    <w:rsid w:val="005D67DA"/>
    <w:rsid w:val="005D7072"/>
    <w:rsid w:val="005E2E63"/>
    <w:rsid w:val="005E336B"/>
    <w:rsid w:val="005E63D3"/>
    <w:rsid w:val="005E7DE0"/>
    <w:rsid w:val="005F19CE"/>
    <w:rsid w:val="005F1F9F"/>
    <w:rsid w:val="005F26B3"/>
    <w:rsid w:val="005F2727"/>
    <w:rsid w:val="005F373A"/>
    <w:rsid w:val="005F5CA7"/>
    <w:rsid w:val="005F6CA3"/>
    <w:rsid w:val="005F77CA"/>
    <w:rsid w:val="00600389"/>
    <w:rsid w:val="00600B6F"/>
    <w:rsid w:val="00601F3B"/>
    <w:rsid w:val="0060334F"/>
    <w:rsid w:val="00603DFA"/>
    <w:rsid w:val="00604DE0"/>
    <w:rsid w:val="006072BB"/>
    <w:rsid w:val="006077B9"/>
    <w:rsid w:val="00610163"/>
    <w:rsid w:val="00610D38"/>
    <w:rsid w:val="006110CB"/>
    <w:rsid w:val="006201A4"/>
    <w:rsid w:val="00622A1C"/>
    <w:rsid w:val="00624109"/>
    <w:rsid w:val="00624CD3"/>
    <w:rsid w:val="00625129"/>
    <w:rsid w:val="00627ACD"/>
    <w:rsid w:val="00635993"/>
    <w:rsid w:val="0063658E"/>
    <w:rsid w:val="00636A7F"/>
    <w:rsid w:val="00641A11"/>
    <w:rsid w:val="00642A53"/>
    <w:rsid w:val="00642B24"/>
    <w:rsid w:val="00644204"/>
    <w:rsid w:val="006462B8"/>
    <w:rsid w:val="00653735"/>
    <w:rsid w:val="00657B68"/>
    <w:rsid w:val="00660DE8"/>
    <w:rsid w:val="00661850"/>
    <w:rsid w:val="00664D0B"/>
    <w:rsid w:val="006722AE"/>
    <w:rsid w:val="006722C0"/>
    <w:rsid w:val="00673182"/>
    <w:rsid w:val="0067598D"/>
    <w:rsid w:val="00677AC9"/>
    <w:rsid w:val="0068094F"/>
    <w:rsid w:val="00681914"/>
    <w:rsid w:val="006848AD"/>
    <w:rsid w:val="006853A8"/>
    <w:rsid w:val="0069208A"/>
    <w:rsid w:val="00693161"/>
    <w:rsid w:val="00693F95"/>
    <w:rsid w:val="00696787"/>
    <w:rsid w:val="006971DB"/>
    <w:rsid w:val="006A0BC8"/>
    <w:rsid w:val="006A79A3"/>
    <w:rsid w:val="006A7A36"/>
    <w:rsid w:val="006B1E97"/>
    <w:rsid w:val="006B48EB"/>
    <w:rsid w:val="006B6D61"/>
    <w:rsid w:val="006B72D0"/>
    <w:rsid w:val="006C0401"/>
    <w:rsid w:val="006C0DBA"/>
    <w:rsid w:val="006C74AA"/>
    <w:rsid w:val="006D0347"/>
    <w:rsid w:val="006D0B1D"/>
    <w:rsid w:val="006D1EA2"/>
    <w:rsid w:val="006D1F32"/>
    <w:rsid w:val="006D2421"/>
    <w:rsid w:val="006D264A"/>
    <w:rsid w:val="006D26C3"/>
    <w:rsid w:val="006D26D8"/>
    <w:rsid w:val="006D2AC1"/>
    <w:rsid w:val="006D324E"/>
    <w:rsid w:val="006D4F00"/>
    <w:rsid w:val="006D68B1"/>
    <w:rsid w:val="006D6DAF"/>
    <w:rsid w:val="006E0F52"/>
    <w:rsid w:val="006E106D"/>
    <w:rsid w:val="006E12BC"/>
    <w:rsid w:val="006E1F82"/>
    <w:rsid w:val="006E4ABB"/>
    <w:rsid w:val="006E6282"/>
    <w:rsid w:val="006E793F"/>
    <w:rsid w:val="006F3BA1"/>
    <w:rsid w:val="006F3D23"/>
    <w:rsid w:val="006F4AD6"/>
    <w:rsid w:val="00704A8B"/>
    <w:rsid w:val="00704E85"/>
    <w:rsid w:val="00705BC8"/>
    <w:rsid w:val="00705CA8"/>
    <w:rsid w:val="00710184"/>
    <w:rsid w:val="00715918"/>
    <w:rsid w:val="00716FCB"/>
    <w:rsid w:val="00722E33"/>
    <w:rsid w:val="00723F10"/>
    <w:rsid w:val="00726A8D"/>
    <w:rsid w:val="00726DB1"/>
    <w:rsid w:val="007277AD"/>
    <w:rsid w:val="0073137E"/>
    <w:rsid w:val="00731CE8"/>
    <w:rsid w:val="007350EB"/>
    <w:rsid w:val="00741C97"/>
    <w:rsid w:val="007446C9"/>
    <w:rsid w:val="00744B0A"/>
    <w:rsid w:val="0074525D"/>
    <w:rsid w:val="00746713"/>
    <w:rsid w:val="00747095"/>
    <w:rsid w:val="00747333"/>
    <w:rsid w:val="00747437"/>
    <w:rsid w:val="00754B00"/>
    <w:rsid w:val="007618DA"/>
    <w:rsid w:val="00762A51"/>
    <w:rsid w:val="00763C4B"/>
    <w:rsid w:val="0076471F"/>
    <w:rsid w:val="00765BED"/>
    <w:rsid w:val="00772582"/>
    <w:rsid w:val="00774FE7"/>
    <w:rsid w:val="007753F1"/>
    <w:rsid w:val="00776374"/>
    <w:rsid w:val="007771FC"/>
    <w:rsid w:val="00780F31"/>
    <w:rsid w:val="00781765"/>
    <w:rsid w:val="00781D64"/>
    <w:rsid w:val="00783B38"/>
    <w:rsid w:val="00794274"/>
    <w:rsid w:val="0079549C"/>
    <w:rsid w:val="007A19AC"/>
    <w:rsid w:val="007A30C7"/>
    <w:rsid w:val="007A6CE7"/>
    <w:rsid w:val="007B483C"/>
    <w:rsid w:val="007B4DC9"/>
    <w:rsid w:val="007B50DF"/>
    <w:rsid w:val="007B5992"/>
    <w:rsid w:val="007B5E36"/>
    <w:rsid w:val="007B6E21"/>
    <w:rsid w:val="007C3D3A"/>
    <w:rsid w:val="007C43E8"/>
    <w:rsid w:val="007C7D2F"/>
    <w:rsid w:val="007D1875"/>
    <w:rsid w:val="007D2DA9"/>
    <w:rsid w:val="007D6C70"/>
    <w:rsid w:val="007D743F"/>
    <w:rsid w:val="007E67D9"/>
    <w:rsid w:val="007F10D9"/>
    <w:rsid w:val="007F17CF"/>
    <w:rsid w:val="007F29A2"/>
    <w:rsid w:val="007F5CE8"/>
    <w:rsid w:val="007F7A66"/>
    <w:rsid w:val="008023E9"/>
    <w:rsid w:val="00811598"/>
    <w:rsid w:val="008121D0"/>
    <w:rsid w:val="00815950"/>
    <w:rsid w:val="008215E1"/>
    <w:rsid w:val="00821948"/>
    <w:rsid w:val="00823E80"/>
    <w:rsid w:val="00826900"/>
    <w:rsid w:val="00832234"/>
    <w:rsid w:val="00832A13"/>
    <w:rsid w:val="008353DB"/>
    <w:rsid w:val="0083604E"/>
    <w:rsid w:val="00837DBB"/>
    <w:rsid w:val="008429FA"/>
    <w:rsid w:val="00843FAC"/>
    <w:rsid w:val="00845867"/>
    <w:rsid w:val="00852697"/>
    <w:rsid w:val="00852E3E"/>
    <w:rsid w:val="0085469A"/>
    <w:rsid w:val="00854A1D"/>
    <w:rsid w:val="00855636"/>
    <w:rsid w:val="00857070"/>
    <w:rsid w:val="00863F1A"/>
    <w:rsid w:val="00865E0E"/>
    <w:rsid w:val="00867766"/>
    <w:rsid w:val="00875725"/>
    <w:rsid w:val="0087636C"/>
    <w:rsid w:val="00881C63"/>
    <w:rsid w:val="00884B57"/>
    <w:rsid w:val="00885473"/>
    <w:rsid w:val="00890E17"/>
    <w:rsid w:val="00891473"/>
    <w:rsid w:val="008943E9"/>
    <w:rsid w:val="00894F8F"/>
    <w:rsid w:val="00896A6A"/>
    <w:rsid w:val="008A438D"/>
    <w:rsid w:val="008A5233"/>
    <w:rsid w:val="008A7B56"/>
    <w:rsid w:val="008B030A"/>
    <w:rsid w:val="008B2014"/>
    <w:rsid w:val="008B29C1"/>
    <w:rsid w:val="008B41A4"/>
    <w:rsid w:val="008B47F3"/>
    <w:rsid w:val="008B6420"/>
    <w:rsid w:val="008B6AC6"/>
    <w:rsid w:val="008B77CD"/>
    <w:rsid w:val="008C0125"/>
    <w:rsid w:val="008C0799"/>
    <w:rsid w:val="008C2F91"/>
    <w:rsid w:val="008C4F21"/>
    <w:rsid w:val="008C6171"/>
    <w:rsid w:val="008C6DD4"/>
    <w:rsid w:val="008D02DF"/>
    <w:rsid w:val="008D34DA"/>
    <w:rsid w:val="008D4B3D"/>
    <w:rsid w:val="008E0FCE"/>
    <w:rsid w:val="008E1868"/>
    <w:rsid w:val="008E195F"/>
    <w:rsid w:val="008E36AD"/>
    <w:rsid w:val="008E537A"/>
    <w:rsid w:val="008E688D"/>
    <w:rsid w:val="008F2574"/>
    <w:rsid w:val="009000B7"/>
    <w:rsid w:val="00901A04"/>
    <w:rsid w:val="009032A2"/>
    <w:rsid w:val="00903CA2"/>
    <w:rsid w:val="0091186D"/>
    <w:rsid w:val="00913A69"/>
    <w:rsid w:val="0091598D"/>
    <w:rsid w:val="00915BD3"/>
    <w:rsid w:val="00923CA1"/>
    <w:rsid w:val="0092434A"/>
    <w:rsid w:val="0092480F"/>
    <w:rsid w:val="00930AC0"/>
    <w:rsid w:val="00932D70"/>
    <w:rsid w:val="00934298"/>
    <w:rsid w:val="00936E65"/>
    <w:rsid w:val="00937C35"/>
    <w:rsid w:val="009406A8"/>
    <w:rsid w:val="00952268"/>
    <w:rsid w:val="00953254"/>
    <w:rsid w:val="0095502F"/>
    <w:rsid w:val="0095506D"/>
    <w:rsid w:val="009555FB"/>
    <w:rsid w:val="009565F2"/>
    <w:rsid w:val="0096123D"/>
    <w:rsid w:val="00962D25"/>
    <w:rsid w:val="00967071"/>
    <w:rsid w:val="0097471F"/>
    <w:rsid w:val="00976169"/>
    <w:rsid w:val="009810C7"/>
    <w:rsid w:val="009819BA"/>
    <w:rsid w:val="00986DB0"/>
    <w:rsid w:val="00986FE1"/>
    <w:rsid w:val="00990DD0"/>
    <w:rsid w:val="00997025"/>
    <w:rsid w:val="009975E5"/>
    <w:rsid w:val="009A01B1"/>
    <w:rsid w:val="009A09E4"/>
    <w:rsid w:val="009A2DF4"/>
    <w:rsid w:val="009A3664"/>
    <w:rsid w:val="009A744F"/>
    <w:rsid w:val="009B389F"/>
    <w:rsid w:val="009B5925"/>
    <w:rsid w:val="009B6311"/>
    <w:rsid w:val="009C41D7"/>
    <w:rsid w:val="009C551F"/>
    <w:rsid w:val="009C7868"/>
    <w:rsid w:val="009D44C8"/>
    <w:rsid w:val="009D77B4"/>
    <w:rsid w:val="009D79F8"/>
    <w:rsid w:val="009E592E"/>
    <w:rsid w:val="009E60EC"/>
    <w:rsid w:val="009E7617"/>
    <w:rsid w:val="009F215C"/>
    <w:rsid w:val="009F2B5F"/>
    <w:rsid w:val="009F4260"/>
    <w:rsid w:val="009F45FB"/>
    <w:rsid w:val="00A00122"/>
    <w:rsid w:val="00A00151"/>
    <w:rsid w:val="00A03269"/>
    <w:rsid w:val="00A04003"/>
    <w:rsid w:val="00A062A3"/>
    <w:rsid w:val="00A07BF4"/>
    <w:rsid w:val="00A17062"/>
    <w:rsid w:val="00A22063"/>
    <w:rsid w:val="00A230B9"/>
    <w:rsid w:val="00A30B1E"/>
    <w:rsid w:val="00A31523"/>
    <w:rsid w:val="00A334B9"/>
    <w:rsid w:val="00A33C33"/>
    <w:rsid w:val="00A427A7"/>
    <w:rsid w:val="00A42B96"/>
    <w:rsid w:val="00A43EE7"/>
    <w:rsid w:val="00A443BF"/>
    <w:rsid w:val="00A4702C"/>
    <w:rsid w:val="00A520EB"/>
    <w:rsid w:val="00A5523B"/>
    <w:rsid w:val="00A624D3"/>
    <w:rsid w:val="00A64A2A"/>
    <w:rsid w:val="00A70B32"/>
    <w:rsid w:val="00A7252B"/>
    <w:rsid w:val="00A75CCA"/>
    <w:rsid w:val="00A766F5"/>
    <w:rsid w:val="00A809F4"/>
    <w:rsid w:val="00A813A8"/>
    <w:rsid w:val="00A84903"/>
    <w:rsid w:val="00A861AF"/>
    <w:rsid w:val="00A867E6"/>
    <w:rsid w:val="00A878E9"/>
    <w:rsid w:val="00A92373"/>
    <w:rsid w:val="00A95549"/>
    <w:rsid w:val="00AA1791"/>
    <w:rsid w:val="00AA4383"/>
    <w:rsid w:val="00AA6FB2"/>
    <w:rsid w:val="00AB0354"/>
    <w:rsid w:val="00AB0B5D"/>
    <w:rsid w:val="00AB0FD2"/>
    <w:rsid w:val="00AB3C23"/>
    <w:rsid w:val="00AB5F27"/>
    <w:rsid w:val="00AC0464"/>
    <w:rsid w:val="00AC04EF"/>
    <w:rsid w:val="00AC1C34"/>
    <w:rsid w:val="00AC6500"/>
    <w:rsid w:val="00AD15BF"/>
    <w:rsid w:val="00AD3B22"/>
    <w:rsid w:val="00AE0F4B"/>
    <w:rsid w:val="00AE39E8"/>
    <w:rsid w:val="00AF42E8"/>
    <w:rsid w:val="00B009DD"/>
    <w:rsid w:val="00B054D8"/>
    <w:rsid w:val="00B07A85"/>
    <w:rsid w:val="00B1058D"/>
    <w:rsid w:val="00B15473"/>
    <w:rsid w:val="00B15749"/>
    <w:rsid w:val="00B2156A"/>
    <w:rsid w:val="00B220AB"/>
    <w:rsid w:val="00B22F82"/>
    <w:rsid w:val="00B31E3B"/>
    <w:rsid w:val="00B44CE4"/>
    <w:rsid w:val="00B44E1E"/>
    <w:rsid w:val="00B50B59"/>
    <w:rsid w:val="00B51913"/>
    <w:rsid w:val="00B539BA"/>
    <w:rsid w:val="00B53AF5"/>
    <w:rsid w:val="00B5616A"/>
    <w:rsid w:val="00B57158"/>
    <w:rsid w:val="00B64430"/>
    <w:rsid w:val="00B64502"/>
    <w:rsid w:val="00B72E68"/>
    <w:rsid w:val="00B76D92"/>
    <w:rsid w:val="00B81F48"/>
    <w:rsid w:val="00B853AA"/>
    <w:rsid w:val="00B92854"/>
    <w:rsid w:val="00B939A9"/>
    <w:rsid w:val="00B93DD3"/>
    <w:rsid w:val="00B94C04"/>
    <w:rsid w:val="00BA0063"/>
    <w:rsid w:val="00BA0785"/>
    <w:rsid w:val="00BA0BD5"/>
    <w:rsid w:val="00BA1105"/>
    <w:rsid w:val="00BA3C83"/>
    <w:rsid w:val="00BA6AD2"/>
    <w:rsid w:val="00BB19C8"/>
    <w:rsid w:val="00BC0E72"/>
    <w:rsid w:val="00BC22AC"/>
    <w:rsid w:val="00BC72B1"/>
    <w:rsid w:val="00BD145D"/>
    <w:rsid w:val="00BD6311"/>
    <w:rsid w:val="00BE237F"/>
    <w:rsid w:val="00BE5D59"/>
    <w:rsid w:val="00BF401F"/>
    <w:rsid w:val="00BF5366"/>
    <w:rsid w:val="00BF5F5B"/>
    <w:rsid w:val="00BF605D"/>
    <w:rsid w:val="00C0132E"/>
    <w:rsid w:val="00C0142D"/>
    <w:rsid w:val="00C02878"/>
    <w:rsid w:val="00C03D6D"/>
    <w:rsid w:val="00C06150"/>
    <w:rsid w:val="00C06509"/>
    <w:rsid w:val="00C07437"/>
    <w:rsid w:val="00C0785E"/>
    <w:rsid w:val="00C11886"/>
    <w:rsid w:val="00C13E47"/>
    <w:rsid w:val="00C14371"/>
    <w:rsid w:val="00C15576"/>
    <w:rsid w:val="00C176D5"/>
    <w:rsid w:val="00C17F1C"/>
    <w:rsid w:val="00C20BFB"/>
    <w:rsid w:val="00C21D05"/>
    <w:rsid w:val="00C260C3"/>
    <w:rsid w:val="00C2628D"/>
    <w:rsid w:val="00C26966"/>
    <w:rsid w:val="00C279FD"/>
    <w:rsid w:val="00C35D50"/>
    <w:rsid w:val="00C37FE0"/>
    <w:rsid w:val="00C408B8"/>
    <w:rsid w:val="00C415E9"/>
    <w:rsid w:val="00C42A35"/>
    <w:rsid w:val="00C46849"/>
    <w:rsid w:val="00C502EE"/>
    <w:rsid w:val="00C54C5C"/>
    <w:rsid w:val="00C54EAA"/>
    <w:rsid w:val="00C55516"/>
    <w:rsid w:val="00C57241"/>
    <w:rsid w:val="00C6076A"/>
    <w:rsid w:val="00C64DE2"/>
    <w:rsid w:val="00C6707D"/>
    <w:rsid w:val="00C71AA6"/>
    <w:rsid w:val="00C7310E"/>
    <w:rsid w:val="00C802B4"/>
    <w:rsid w:val="00C80B96"/>
    <w:rsid w:val="00C84D99"/>
    <w:rsid w:val="00C857D0"/>
    <w:rsid w:val="00C866E4"/>
    <w:rsid w:val="00C902D9"/>
    <w:rsid w:val="00C92F6A"/>
    <w:rsid w:val="00C96295"/>
    <w:rsid w:val="00C9659E"/>
    <w:rsid w:val="00CA126E"/>
    <w:rsid w:val="00CA1D6A"/>
    <w:rsid w:val="00CA360A"/>
    <w:rsid w:val="00CA5346"/>
    <w:rsid w:val="00CA7950"/>
    <w:rsid w:val="00CB0A43"/>
    <w:rsid w:val="00CB17E3"/>
    <w:rsid w:val="00CC1CE8"/>
    <w:rsid w:val="00CC3B3A"/>
    <w:rsid w:val="00CC5A48"/>
    <w:rsid w:val="00CC70AA"/>
    <w:rsid w:val="00CC7703"/>
    <w:rsid w:val="00CD0B65"/>
    <w:rsid w:val="00CD2404"/>
    <w:rsid w:val="00CD6B99"/>
    <w:rsid w:val="00CD7D46"/>
    <w:rsid w:val="00CE0D62"/>
    <w:rsid w:val="00CE3E9E"/>
    <w:rsid w:val="00CE4571"/>
    <w:rsid w:val="00CF078C"/>
    <w:rsid w:val="00CF2067"/>
    <w:rsid w:val="00CF2915"/>
    <w:rsid w:val="00CF5372"/>
    <w:rsid w:val="00CF5A3C"/>
    <w:rsid w:val="00CF660D"/>
    <w:rsid w:val="00D03818"/>
    <w:rsid w:val="00D03FA7"/>
    <w:rsid w:val="00D06A2A"/>
    <w:rsid w:val="00D107B5"/>
    <w:rsid w:val="00D150E5"/>
    <w:rsid w:val="00D17818"/>
    <w:rsid w:val="00D27711"/>
    <w:rsid w:val="00D31916"/>
    <w:rsid w:val="00D323F1"/>
    <w:rsid w:val="00D362C2"/>
    <w:rsid w:val="00D40747"/>
    <w:rsid w:val="00D40978"/>
    <w:rsid w:val="00D4227F"/>
    <w:rsid w:val="00D42FE0"/>
    <w:rsid w:val="00D43956"/>
    <w:rsid w:val="00D45ADF"/>
    <w:rsid w:val="00D461A9"/>
    <w:rsid w:val="00D5095D"/>
    <w:rsid w:val="00D51A30"/>
    <w:rsid w:val="00D54015"/>
    <w:rsid w:val="00D54403"/>
    <w:rsid w:val="00D55832"/>
    <w:rsid w:val="00D566D8"/>
    <w:rsid w:val="00D57C23"/>
    <w:rsid w:val="00D6086A"/>
    <w:rsid w:val="00D60E5B"/>
    <w:rsid w:val="00D61F54"/>
    <w:rsid w:val="00D648EF"/>
    <w:rsid w:val="00D67CAB"/>
    <w:rsid w:val="00D71507"/>
    <w:rsid w:val="00D71C3D"/>
    <w:rsid w:val="00D71CA3"/>
    <w:rsid w:val="00D725D5"/>
    <w:rsid w:val="00D740C7"/>
    <w:rsid w:val="00D7538E"/>
    <w:rsid w:val="00D85BDD"/>
    <w:rsid w:val="00D90890"/>
    <w:rsid w:val="00D92994"/>
    <w:rsid w:val="00D92ACB"/>
    <w:rsid w:val="00D9395B"/>
    <w:rsid w:val="00D94011"/>
    <w:rsid w:val="00D96138"/>
    <w:rsid w:val="00D97E76"/>
    <w:rsid w:val="00DA23FD"/>
    <w:rsid w:val="00DA35C2"/>
    <w:rsid w:val="00DC0B3E"/>
    <w:rsid w:val="00DC538E"/>
    <w:rsid w:val="00DC5B93"/>
    <w:rsid w:val="00DC6D8F"/>
    <w:rsid w:val="00DC6F92"/>
    <w:rsid w:val="00DD1A80"/>
    <w:rsid w:val="00DD27E5"/>
    <w:rsid w:val="00DD52C0"/>
    <w:rsid w:val="00DD55F5"/>
    <w:rsid w:val="00DD776A"/>
    <w:rsid w:val="00DD7A2C"/>
    <w:rsid w:val="00DD7E27"/>
    <w:rsid w:val="00DE2062"/>
    <w:rsid w:val="00DE4393"/>
    <w:rsid w:val="00DE5487"/>
    <w:rsid w:val="00DE558B"/>
    <w:rsid w:val="00DE5F39"/>
    <w:rsid w:val="00DF2DB3"/>
    <w:rsid w:val="00DF412C"/>
    <w:rsid w:val="00E02DD4"/>
    <w:rsid w:val="00E07CF2"/>
    <w:rsid w:val="00E11478"/>
    <w:rsid w:val="00E12C34"/>
    <w:rsid w:val="00E134E0"/>
    <w:rsid w:val="00E16A2A"/>
    <w:rsid w:val="00E1743F"/>
    <w:rsid w:val="00E211BD"/>
    <w:rsid w:val="00E22506"/>
    <w:rsid w:val="00E240FF"/>
    <w:rsid w:val="00E27189"/>
    <w:rsid w:val="00E27B29"/>
    <w:rsid w:val="00E31448"/>
    <w:rsid w:val="00E3461E"/>
    <w:rsid w:val="00E36549"/>
    <w:rsid w:val="00E40D4E"/>
    <w:rsid w:val="00E44A68"/>
    <w:rsid w:val="00E47F4F"/>
    <w:rsid w:val="00E5099D"/>
    <w:rsid w:val="00E54E8B"/>
    <w:rsid w:val="00E55F6F"/>
    <w:rsid w:val="00E5703B"/>
    <w:rsid w:val="00E57245"/>
    <w:rsid w:val="00E57829"/>
    <w:rsid w:val="00E61D47"/>
    <w:rsid w:val="00E627B5"/>
    <w:rsid w:val="00E62F39"/>
    <w:rsid w:val="00E63A30"/>
    <w:rsid w:val="00E6406E"/>
    <w:rsid w:val="00E6482A"/>
    <w:rsid w:val="00E6560C"/>
    <w:rsid w:val="00E678C7"/>
    <w:rsid w:val="00E7640F"/>
    <w:rsid w:val="00E77625"/>
    <w:rsid w:val="00E80FD5"/>
    <w:rsid w:val="00E832F1"/>
    <w:rsid w:val="00E83EA7"/>
    <w:rsid w:val="00E83EE8"/>
    <w:rsid w:val="00E8559B"/>
    <w:rsid w:val="00E86B97"/>
    <w:rsid w:val="00E906DB"/>
    <w:rsid w:val="00E90708"/>
    <w:rsid w:val="00E91F1B"/>
    <w:rsid w:val="00E93022"/>
    <w:rsid w:val="00E950EA"/>
    <w:rsid w:val="00E957CD"/>
    <w:rsid w:val="00E95F66"/>
    <w:rsid w:val="00EA14BE"/>
    <w:rsid w:val="00EA56DD"/>
    <w:rsid w:val="00EA64DA"/>
    <w:rsid w:val="00EA67C3"/>
    <w:rsid w:val="00EA7B64"/>
    <w:rsid w:val="00EB1EC0"/>
    <w:rsid w:val="00EC21CF"/>
    <w:rsid w:val="00EC41E3"/>
    <w:rsid w:val="00EC5465"/>
    <w:rsid w:val="00EC7BC3"/>
    <w:rsid w:val="00ED57BB"/>
    <w:rsid w:val="00EE3556"/>
    <w:rsid w:val="00EE5FF3"/>
    <w:rsid w:val="00EF0521"/>
    <w:rsid w:val="00EF0C83"/>
    <w:rsid w:val="00EF1366"/>
    <w:rsid w:val="00EF43A1"/>
    <w:rsid w:val="00EF43BF"/>
    <w:rsid w:val="00EF49C5"/>
    <w:rsid w:val="00EF4F5B"/>
    <w:rsid w:val="00EF76E0"/>
    <w:rsid w:val="00F01840"/>
    <w:rsid w:val="00F0427A"/>
    <w:rsid w:val="00F052D0"/>
    <w:rsid w:val="00F06177"/>
    <w:rsid w:val="00F06362"/>
    <w:rsid w:val="00F07960"/>
    <w:rsid w:val="00F07C8C"/>
    <w:rsid w:val="00F10254"/>
    <w:rsid w:val="00F1094B"/>
    <w:rsid w:val="00F116AA"/>
    <w:rsid w:val="00F125A2"/>
    <w:rsid w:val="00F13C2E"/>
    <w:rsid w:val="00F149AB"/>
    <w:rsid w:val="00F222FF"/>
    <w:rsid w:val="00F237D3"/>
    <w:rsid w:val="00F24CA3"/>
    <w:rsid w:val="00F254F5"/>
    <w:rsid w:val="00F30585"/>
    <w:rsid w:val="00F31E01"/>
    <w:rsid w:val="00F32F7C"/>
    <w:rsid w:val="00F338FC"/>
    <w:rsid w:val="00F33A62"/>
    <w:rsid w:val="00F3470D"/>
    <w:rsid w:val="00F35C0E"/>
    <w:rsid w:val="00F37097"/>
    <w:rsid w:val="00F41829"/>
    <w:rsid w:val="00F41DEA"/>
    <w:rsid w:val="00F43E39"/>
    <w:rsid w:val="00F50E1A"/>
    <w:rsid w:val="00F50E3F"/>
    <w:rsid w:val="00F57F77"/>
    <w:rsid w:val="00F6022C"/>
    <w:rsid w:val="00F6257E"/>
    <w:rsid w:val="00F63CCF"/>
    <w:rsid w:val="00F66739"/>
    <w:rsid w:val="00F70445"/>
    <w:rsid w:val="00F7400A"/>
    <w:rsid w:val="00F76F67"/>
    <w:rsid w:val="00F77595"/>
    <w:rsid w:val="00F853CE"/>
    <w:rsid w:val="00F9031B"/>
    <w:rsid w:val="00F90B91"/>
    <w:rsid w:val="00F91438"/>
    <w:rsid w:val="00F93A77"/>
    <w:rsid w:val="00F9635C"/>
    <w:rsid w:val="00F968B1"/>
    <w:rsid w:val="00FA02F5"/>
    <w:rsid w:val="00FA190F"/>
    <w:rsid w:val="00FA26F1"/>
    <w:rsid w:val="00FA69AF"/>
    <w:rsid w:val="00FB0A7C"/>
    <w:rsid w:val="00FB4E9E"/>
    <w:rsid w:val="00FB5D88"/>
    <w:rsid w:val="00FB67E5"/>
    <w:rsid w:val="00FB7782"/>
    <w:rsid w:val="00FC3D51"/>
    <w:rsid w:val="00FC5351"/>
    <w:rsid w:val="00FD1F27"/>
    <w:rsid w:val="00FD6328"/>
    <w:rsid w:val="00FD72F8"/>
    <w:rsid w:val="00FE0837"/>
    <w:rsid w:val="00FE275F"/>
    <w:rsid w:val="00FE3BBB"/>
    <w:rsid w:val="00FE3E7F"/>
    <w:rsid w:val="00FE4414"/>
    <w:rsid w:val="00FE44B7"/>
    <w:rsid w:val="00FE7178"/>
    <w:rsid w:val="00FF01C8"/>
    <w:rsid w:val="00FF124E"/>
    <w:rsid w:val="00FF2727"/>
    <w:rsid w:val="00FF41A7"/>
    <w:rsid w:val="00FF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406131AC-7201-4364-A007-370DF02D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qFormat="1"/>
    <w:lsdException w:name="heading 7" w:semiHidden="1" w:uiPriority="4" w:qFormat="1"/>
    <w:lsdException w:name="heading 8" w:semiHidden="1" w:uiPriority="4" w:qFormat="1"/>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nhideWhenUsed="1"/>
    <w:lsdException w:name="footnote text" w:semiHidden="1" w:uiPriority="19"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1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locked="1"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5"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15"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5"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30760"/>
    <w:pPr>
      <w:spacing w:after="120" w:line="312" w:lineRule="auto"/>
    </w:pPr>
    <w:rPr>
      <w:rFonts w:ascii="Arial" w:hAnsi="Arial"/>
      <w:color w:val="414141"/>
      <w:sz w:val="21"/>
      <w:lang w:val="en-AU"/>
    </w:rPr>
  </w:style>
  <w:style w:type="paragraph" w:styleId="Heading1">
    <w:name w:val="heading 1"/>
    <w:basedOn w:val="BodyText"/>
    <w:next w:val="BodyText"/>
    <w:link w:val="Heading1Char"/>
    <w:uiPriority w:val="4"/>
    <w:qFormat/>
    <w:rsid w:val="007C3D3A"/>
    <w:pPr>
      <w:keepNext/>
      <w:pageBreakBefore/>
      <w:numPr>
        <w:numId w:val="18"/>
      </w:numPr>
      <w:spacing w:before="800" w:after="800" w:line="240" w:lineRule="auto"/>
      <w:contextualSpacing/>
      <w:outlineLvl w:val="0"/>
    </w:pPr>
    <w:rPr>
      <w:rFonts w:eastAsia="Times New Roman" w:cs="Arial"/>
      <w:bCs/>
      <w:caps/>
      <w:color w:val="0C9FCD"/>
      <w:sz w:val="40"/>
      <w:szCs w:val="32"/>
      <w:lang w:val="en-GB" w:eastAsia="en-AU"/>
    </w:rPr>
  </w:style>
  <w:style w:type="paragraph" w:styleId="Heading2">
    <w:name w:val="heading 2"/>
    <w:basedOn w:val="Heading1"/>
    <w:next w:val="BodyText"/>
    <w:link w:val="Heading2Char"/>
    <w:uiPriority w:val="4"/>
    <w:qFormat/>
    <w:rsid w:val="007C3D3A"/>
    <w:pPr>
      <w:pageBreakBefore w:val="0"/>
      <w:numPr>
        <w:ilvl w:val="1"/>
      </w:numPr>
      <w:spacing w:before="200" w:after="120"/>
      <w:outlineLvl w:val="1"/>
    </w:pPr>
    <w:rPr>
      <w:bCs w:val="0"/>
      <w:iCs/>
      <w:caps w:val="0"/>
      <w:sz w:val="28"/>
      <w:szCs w:val="28"/>
    </w:rPr>
  </w:style>
  <w:style w:type="paragraph" w:styleId="Heading3">
    <w:name w:val="heading 3"/>
    <w:basedOn w:val="Heading1"/>
    <w:next w:val="BodyText"/>
    <w:link w:val="Heading3Char"/>
    <w:uiPriority w:val="4"/>
    <w:qFormat/>
    <w:rsid w:val="007C3D3A"/>
    <w:pPr>
      <w:pageBreakBefore w:val="0"/>
      <w:numPr>
        <w:ilvl w:val="2"/>
      </w:numPr>
      <w:spacing w:before="200" w:after="120" w:line="312" w:lineRule="auto"/>
      <w:outlineLvl w:val="2"/>
    </w:pPr>
    <w:rPr>
      <w:bCs w:val="0"/>
      <w:caps w:val="0"/>
      <w:spacing w:val="-10"/>
      <w:sz w:val="26"/>
      <w:szCs w:val="26"/>
    </w:rPr>
  </w:style>
  <w:style w:type="paragraph" w:styleId="Heading4">
    <w:name w:val="heading 4"/>
    <w:basedOn w:val="Heading1"/>
    <w:next w:val="BodyText"/>
    <w:link w:val="Heading4Char"/>
    <w:uiPriority w:val="4"/>
    <w:qFormat/>
    <w:rsid w:val="007C3D3A"/>
    <w:pPr>
      <w:pageBreakBefore w:val="0"/>
      <w:numPr>
        <w:numId w:val="0"/>
      </w:numPr>
      <w:spacing w:before="120" w:after="120" w:line="312" w:lineRule="auto"/>
      <w:outlineLvl w:val="3"/>
    </w:pPr>
    <w:rPr>
      <w:bCs w:val="0"/>
      <w:caps w:val="0"/>
      <w:spacing w:val="-5"/>
      <w:sz w:val="22"/>
      <w:szCs w:val="21"/>
    </w:rPr>
  </w:style>
  <w:style w:type="paragraph" w:styleId="Heading5">
    <w:name w:val="heading 5"/>
    <w:basedOn w:val="Normal"/>
    <w:next w:val="Normal"/>
    <w:link w:val="Heading5Char"/>
    <w:uiPriority w:val="4"/>
    <w:semiHidden/>
    <w:qFormat/>
    <w:rsid w:val="007C3D3A"/>
    <w:pPr>
      <w:numPr>
        <w:ilvl w:val="4"/>
        <w:numId w:val="17"/>
      </w:numPr>
      <w:spacing w:after="60"/>
      <w:outlineLvl w:val="4"/>
    </w:pPr>
    <w:rPr>
      <w:rFonts w:eastAsia="Times New Roman" w:cs="Times New Roman"/>
      <w:b/>
      <w:bCs/>
      <w:iCs/>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9"/>
    <w:rsid w:val="00252784"/>
    <w:pPr>
      <w:numPr>
        <w:numId w:val="19"/>
      </w:numPr>
      <w:spacing w:after="80"/>
    </w:pPr>
    <w:rPr>
      <w:rFonts w:eastAsia="Times New Roman" w:cs="Times New Roman"/>
      <w:szCs w:val="24"/>
      <w:lang w:eastAsia="en-GB"/>
    </w:rPr>
  </w:style>
  <w:style w:type="numbering" w:customStyle="1" w:styleId="ListBulletmaster">
    <w:name w:val="List Bullet (master)"/>
    <w:rsid w:val="00252784"/>
    <w:pPr>
      <w:numPr>
        <w:numId w:val="1"/>
      </w:numPr>
    </w:pPr>
  </w:style>
  <w:style w:type="paragraph" w:styleId="ListBullet2">
    <w:name w:val="List Bullet 2"/>
    <w:basedOn w:val="Normal"/>
    <w:uiPriority w:val="8"/>
    <w:rsid w:val="00252784"/>
    <w:pPr>
      <w:numPr>
        <w:ilvl w:val="1"/>
        <w:numId w:val="19"/>
      </w:numPr>
      <w:spacing w:after="80"/>
    </w:pPr>
    <w:rPr>
      <w:rFonts w:eastAsia="Times New Roman" w:cs="Times New Roman"/>
      <w:sz w:val="20"/>
      <w:szCs w:val="24"/>
      <w:lang w:eastAsia="en-GB"/>
    </w:rPr>
  </w:style>
  <w:style w:type="paragraph" w:styleId="ListBullet3">
    <w:name w:val="List Bullet 3"/>
    <w:basedOn w:val="Normal"/>
    <w:uiPriority w:val="8"/>
    <w:semiHidden/>
    <w:rsid w:val="00252784"/>
    <w:pPr>
      <w:numPr>
        <w:ilvl w:val="2"/>
        <w:numId w:val="19"/>
      </w:numPr>
      <w:spacing w:before="80" w:after="160" w:line="288" w:lineRule="auto"/>
      <w:contextualSpacing/>
    </w:pPr>
    <w:rPr>
      <w:rFonts w:eastAsia="Times New Roman" w:cs="Times New Roman"/>
      <w:sz w:val="20"/>
      <w:szCs w:val="24"/>
      <w:lang w:eastAsia="en-GB"/>
    </w:rPr>
  </w:style>
  <w:style w:type="numbering" w:customStyle="1" w:styleId="ListNumbermaster">
    <w:name w:val="List Number (master)"/>
    <w:rsid w:val="001B60CF"/>
    <w:pPr>
      <w:numPr>
        <w:numId w:val="2"/>
      </w:numPr>
    </w:pPr>
  </w:style>
  <w:style w:type="paragraph" w:styleId="ListNumber2">
    <w:name w:val="List Number 2"/>
    <w:basedOn w:val="Normal"/>
    <w:uiPriority w:val="8"/>
    <w:rsid w:val="001B60CF"/>
    <w:pPr>
      <w:numPr>
        <w:ilvl w:val="1"/>
        <w:numId w:val="2"/>
      </w:numPr>
      <w:spacing w:after="80"/>
    </w:pPr>
    <w:rPr>
      <w:rFonts w:eastAsia="Times New Roman" w:cs="Times New Roman"/>
      <w:sz w:val="20"/>
      <w:szCs w:val="24"/>
      <w:lang w:eastAsia="en-GB"/>
    </w:rPr>
  </w:style>
  <w:style w:type="paragraph" w:styleId="ListNumber3">
    <w:name w:val="List Number 3"/>
    <w:basedOn w:val="Normal"/>
    <w:uiPriority w:val="8"/>
    <w:semiHidden/>
    <w:rsid w:val="001B60CF"/>
    <w:pPr>
      <w:numPr>
        <w:ilvl w:val="2"/>
        <w:numId w:val="2"/>
      </w:numPr>
      <w:spacing w:before="80" w:after="160" w:line="288" w:lineRule="auto"/>
      <w:contextualSpacing/>
    </w:pPr>
    <w:rPr>
      <w:rFonts w:eastAsia="Times New Roman" w:cs="Times New Roman"/>
      <w:sz w:val="20"/>
      <w:szCs w:val="24"/>
      <w:lang w:eastAsia="en-GB"/>
    </w:rPr>
  </w:style>
  <w:style w:type="paragraph" w:styleId="ListNumber">
    <w:name w:val="List Number"/>
    <w:basedOn w:val="Normal"/>
    <w:uiPriority w:val="8"/>
    <w:rsid w:val="001B60CF"/>
    <w:pPr>
      <w:numPr>
        <w:numId w:val="2"/>
      </w:numPr>
      <w:spacing w:after="80"/>
    </w:pPr>
    <w:rPr>
      <w:rFonts w:eastAsia="Times New Roman" w:cs="Times New Roman"/>
      <w:sz w:val="20"/>
      <w:szCs w:val="24"/>
      <w:lang w:eastAsia="en-GB"/>
    </w:rPr>
  </w:style>
  <w:style w:type="paragraph" w:styleId="NoSpacing">
    <w:name w:val="No Spacing"/>
    <w:uiPriority w:val="15"/>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
    <w:name w:val="Table Heading"/>
    <w:basedOn w:val="Normal"/>
    <w:uiPriority w:val="11"/>
    <w:qFormat/>
    <w:rsid w:val="008C4F21"/>
    <w:pPr>
      <w:keepNext/>
      <w:spacing w:before="80" w:after="40" w:line="240" w:lineRule="auto"/>
    </w:pPr>
    <w:rPr>
      <w:rFonts w:eastAsia="Times New Roman" w:cs="Times New Roman"/>
      <w:b/>
      <w:bCs/>
      <w:color w:val="FFFFFF"/>
      <w:spacing w:val="6"/>
      <w:sz w:val="19"/>
      <w:szCs w:val="24"/>
      <w:lang w:eastAsia="en-GB"/>
    </w:rPr>
  </w:style>
  <w:style w:type="paragraph" w:customStyle="1" w:styleId="TableListBullet">
    <w:name w:val="Table List Bullet"/>
    <w:basedOn w:val="Normal"/>
    <w:uiPriority w:val="12"/>
    <w:qFormat/>
    <w:rsid w:val="00E211BD"/>
    <w:pPr>
      <w:numPr>
        <w:numId w:val="9"/>
      </w:numPr>
      <w:spacing w:before="40" w:after="80" w:line="240" w:lineRule="auto"/>
    </w:pPr>
    <w:rPr>
      <w:rFonts w:eastAsia="Times New Roman" w:cs="Times New Roman"/>
      <w:bCs/>
      <w:sz w:val="18"/>
      <w:szCs w:val="24"/>
      <w:lang w:eastAsia="en-GB"/>
    </w:rPr>
  </w:style>
  <w:style w:type="numbering" w:customStyle="1" w:styleId="TableListBulletmaster">
    <w:name w:val="Table List Bullet (master)"/>
    <w:rsid w:val="00E211BD"/>
    <w:pPr>
      <w:numPr>
        <w:numId w:val="3"/>
      </w:numPr>
    </w:pPr>
  </w:style>
  <w:style w:type="paragraph" w:customStyle="1" w:styleId="TableListBullet2">
    <w:name w:val="Table List Bullet 2"/>
    <w:basedOn w:val="TableListBullet"/>
    <w:uiPriority w:val="12"/>
    <w:qFormat/>
    <w:rsid w:val="006722C0"/>
    <w:pPr>
      <w:numPr>
        <w:ilvl w:val="1"/>
      </w:numPr>
    </w:pPr>
  </w:style>
  <w:style w:type="paragraph" w:customStyle="1" w:styleId="TableListNumber">
    <w:name w:val="Table List Number"/>
    <w:basedOn w:val="Normal"/>
    <w:uiPriority w:val="12"/>
    <w:qFormat/>
    <w:rsid w:val="00394961"/>
    <w:pPr>
      <w:numPr>
        <w:numId w:val="10"/>
      </w:numPr>
      <w:spacing w:before="40" w:after="80" w:line="240" w:lineRule="auto"/>
    </w:pPr>
    <w:rPr>
      <w:rFonts w:eastAsia="Times New Roman" w:cs="Times New Roman"/>
      <w:bCs/>
      <w:sz w:val="18"/>
      <w:szCs w:val="24"/>
      <w:lang w:eastAsia="en-GB"/>
    </w:rPr>
  </w:style>
  <w:style w:type="numbering" w:customStyle="1" w:styleId="TableListNumbermaster">
    <w:name w:val="Table List Number (master)"/>
    <w:rsid w:val="006722C0"/>
    <w:pPr>
      <w:numPr>
        <w:numId w:val="4"/>
      </w:numPr>
    </w:pPr>
  </w:style>
  <w:style w:type="paragraph" w:customStyle="1" w:styleId="TableListNumber2">
    <w:name w:val="Table List Number 2"/>
    <w:basedOn w:val="TableListNumber"/>
    <w:uiPriority w:val="12"/>
    <w:qFormat/>
    <w:rsid w:val="006722C0"/>
    <w:pPr>
      <w:numPr>
        <w:ilvl w:val="1"/>
      </w:numPr>
    </w:pPr>
  </w:style>
  <w:style w:type="paragraph" w:customStyle="1" w:styleId="TableText">
    <w:name w:val="Table Text"/>
    <w:basedOn w:val="Normal"/>
    <w:qFormat/>
    <w:rsid w:val="00364AEC"/>
    <w:pPr>
      <w:spacing w:before="40" w:after="80" w:line="240" w:lineRule="auto"/>
    </w:pPr>
    <w:rPr>
      <w:rFonts w:eastAsia="Times New Roman" w:cs="Times New Roman"/>
      <w:bCs/>
      <w:sz w:val="18"/>
      <w:szCs w:val="24"/>
      <w:lang w:eastAsia="en-GB"/>
    </w:rPr>
  </w:style>
  <w:style w:type="paragraph" w:customStyle="1" w:styleId="TableTextsmall">
    <w:name w:val="Table Text (small)"/>
    <w:basedOn w:val="TableText"/>
    <w:uiPriority w:val="13"/>
    <w:qFormat/>
    <w:rsid w:val="006722C0"/>
    <w:rPr>
      <w:sz w:val="15"/>
    </w:rPr>
  </w:style>
  <w:style w:type="character" w:customStyle="1" w:styleId="Textbold">
    <w:name w:val="Text (bold)"/>
    <w:basedOn w:val="DefaultParagraphFont"/>
    <w:uiPriority w:val="1"/>
    <w:qFormat/>
    <w:rsid w:val="006722C0"/>
    <w:rPr>
      <w:b/>
    </w:rPr>
  </w:style>
  <w:style w:type="character" w:customStyle="1" w:styleId="Textitalic">
    <w:name w:val="Text (italic)"/>
    <w:basedOn w:val="DefaultParagraphFont"/>
    <w:uiPriority w:val="1"/>
    <w:qFormat/>
    <w:rsid w:val="006722C0"/>
    <w:rPr>
      <w:i/>
    </w:rPr>
  </w:style>
  <w:style w:type="character" w:customStyle="1" w:styleId="Textsubscript">
    <w:name w:val="Text (subscript)"/>
    <w:basedOn w:val="DefaultParagraphFont"/>
    <w:uiPriority w:val="2"/>
    <w:qFormat/>
    <w:rsid w:val="006722C0"/>
    <w:rPr>
      <w:vertAlign w:val="subscript"/>
    </w:rPr>
  </w:style>
  <w:style w:type="character" w:customStyle="1" w:styleId="Textsuperscript">
    <w:name w:val="Text (superscript)"/>
    <w:basedOn w:val="DefaultParagraphFont"/>
    <w:uiPriority w:val="2"/>
    <w:qFormat/>
    <w:rsid w:val="006722C0"/>
    <w:rPr>
      <w:vertAlign w:val="superscript"/>
    </w:rPr>
  </w:style>
  <w:style w:type="character" w:customStyle="1" w:styleId="Textunderline">
    <w:name w:val="Text (underline)"/>
    <w:basedOn w:val="DefaultParagraphFont"/>
    <w:uiPriority w:val="1"/>
    <w:qFormat/>
    <w:rsid w:val="006722C0"/>
    <w:rPr>
      <w:u w:val="single"/>
    </w:rPr>
  </w:style>
  <w:style w:type="paragraph" w:styleId="BodyText">
    <w:name w:val="Body Text"/>
    <w:basedOn w:val="Normal"/>
    <w:link w:val="BodyTextChar"/>
    <w:uiPriority w:val="1"/>
    <w:rsid w:val="00E950EA"/>
  </w:style>
  <w:style w:type="character" w:customStyle="1" w:styleId="BodyTextChar">
    <w:name w:val="Body Text Char"/>
    <w:basedOn w:val="DefaultParagraphFont"/>
    <w:link w:val="BodyText"/>
    <w:uiPriority w:val="1"/>
    <w:rsid w:val="00E950EA"/>
    <w:rPr>
      <w:rFonts w:ascii="Arial" w:hAnsi="Arial"/>
      <w:color w:val="414141"/>
      <w:sz w:val="21"/>
      <w:lang w:val="en-AU"/>
    </w:rPr>
  </w:style>
  <w:style w:type="paragraph" w:styleId="Caption">
    <w:name w:val="caption"/>
    <w:basedOn w:val="Normal"/>
    <w:next w:val="Normal"/>
    <w:uiPriority w:val="15"/>
    <w:qFormat/>
    <w:rsid w:val="00B53AF5"/>
    <w:pPr>
      <w:keepNext/>
      <w:tabs>
        <w:tab w:val="left" w:pos="1418"/>
      </w:tabs>
      <w:spacing w:line="240" w:lineRule="auto"/>
      <w:ind w:left="1418" w:hanging="1418"/>
    </w:pPr>
    <w:rPr>
      <w:b/>
      <w:bCs/>
      <w:sz w:val="24"/>
      <w:szCs w:val="18"/>
    </w:rPr>
  </w:style>
  <w:style w:type="paragraph" w:customStyle="1" w:styleId="Image">
    <w:name w:val="Image"/>
    <w:basedOn w:val="Normal"/>
    <w:uiPriority w:val="15"/>
    <w:qFormat/>
    <w:rsid w:val="00262FCE"/>
    <w:pPr>
      <w:spacing w:before="60" w:after="60" w:line="240" w:lineRule="auto"/>
    </w:pPr>
    <w:rPr>
      <w:rFonts w:eastAsia="Times New Roman" w:cs="Times New Roman"/>
      <w:sz w:val="20"/>
      <w:szCs w:val="24"/>
      <w:lang w:val="en-GB" w:eastAsia="en-AU"/>
    </w:rPr>
  </w:style>
  <w:style w:type="character" w:customStyle="1" w:styleId="Heading1Char">
    <w:name w:val="Heading 1 Char"/>
    <w:basedOn w:val="DefaultParagraphFont"/>
    <w:link w:val="Heading1"/>
    <w:uiPriority w:val="4"/>
    <w:rsid w:val="007C3D3A"/>
    <w:rPr>
      <w:rFonts w:ascii="Arial" w:eastAsia="Times New Roman" w:hAnsi="Arial" w:cs="Arial"/>
      <w:bCs/>
      <w:caps/>
      <w:color w:val="0C9FCD"/>
      <w:sz w:val="40"/>
      <w:szCs w:val="32"/>
      <w:lang w:val="en-GB" w:eastAsia="en-AU"/>
    </w:rPr>
  </w:style>
  <w:style w:type="paragraph" w:styleId="Header">
    <w:name w:val="header"/>
    <w:basedOn w:val="Normal"/>
    <w:link w:val="HeaderChar"/>
    <w:uiPriority w:val="19"/>
    <w:rsid w:val="00600B6F"/>
    <w:pPr>
      <w:tabs>
        <w:tab w:val="center" w:pos="4680"/>
        <w:tab w:val="right" w:pos="9360"/>
      </w:tabs>
      <w:spacing w:line="240" w:lineRule="auto"/>
      <w:jc w:val="center"/>
    </w:pPr>
    <w:rPr>
      <w:rFonts w:ascii="Times New Roman" w:hAnsi="Times New Roman" w:cs="Times New Roman"/>
      <w:sz w:val="32"/>
      <w:szCs w:val="32"/>
    </w:rPr>
  </w:style>
  <w:style w:type="character" w:customStyle="1" w:styleId="HeaderChar">
    <w:name w:val="Header Char"/>
    <w:basedOn w:val="DefaultParagraphFont"/>
    <w:link w:val="Header"/>
    <w:uiPriority w:val="19"/>
    <w:rsid w:val="00600B6F"/>
    <w:rPr>
      <w:rFonts w:ascii="Times New Roman" w:hAnsi="Times New Roman" w:cs="Times New Roman"/>
      <w:color w:val="414141"/>
      <w:sz w:val="32"/>
      <w:szCs w:val="32"/>
      <w:lang w:val="en-AU"/>
    </w:rPr>
  </w:style>
  <w:style w:type="paragraph" w:styleId="Footer">
    <w:name w:val="footer"/>
    <w:basedOn w:val="Normal"/>
    <w:link w:val="FooterChar"/>
    <w:uiPriority w:val="19"/>
    <w:rsid w:val="002F1862"/>
    <w:pPr>
      <w:tabs>
        <w:tab w:val="left" w:pos="397"/>
      </w:tabs>
      <w:spacing w:after="0" w:line="240" w:lineRule="auto"/>
    </w:pPr>
    <w:rPr>
      <w:sz w:val="16"/>
    </w:rPr>
  </w:style>
  <w:style w:type="character" w:customStyle="1" w:styleId="FooterChar">
    <w:name w:val="Footer Char"/>
    <w:basedOn w:val="DefaultParagraphFont"/>
    <w:link w:val="Footer"/>
    <w:uiPriority w:val="19"/>
    <w:rsid w:val="002F1862"/>
    <w:rPr>
      <w:rFonts w:ascii="Arial" w:hAnsi="Arial"/>
      <w:color w:val="414141"/>
      <w:sz w:val="16"/>
      <w:lang w:val="en-AU"/>
    </w:rPr>
  </w:style>
  <w:style w:type="paragraph" w:styleId="TOC1">
    <w:name w:val="toc 1"/>
    <w:basedOn w:val="Normal"/>
    <w:next w:val="Normal"/>
    <w:autoRedefine/>
    <w:uiPriority w:val="39"/>
    <w:rsid w:val="00423A36"/>
    <w:pPr>
      <w:keepNext/>
      <w:tabs>
        <w:tab w:val="left" w:pos="440"/>
        <w:tab w:val="left" w:pos="1540"/>
        <w:tab w:val="decimal" w:leader="dot" w:pos="9629"/>
      </w:tabs>
      <w:spacing w:before="60" w:after="60"/>
      <w:ind w:left="1542" w:right="567" w:hanging="1542"/>
    </w:pPr>
    <w:rPr>
      <w:b/>
      <w:caps/>
      <w:noProof/>
    </w:rPr>
  </w:style>
  <w:style w:type="paragraph" w:styleId="Subtitle">
    <w:name w:val="Subtitle"/>
    <w:basedOn w:val="Normal"/>
    <w:next w:val="Normal"/>
    <w:link w:val="SubtitleChar"/>
    <w:qFormat/>
    <w:rsid w:val="00094EFE"/>
    <w:pPr>
      <w:jc w:val="right"/>
    </w:pPr>
    <w:rPr>
      <w:rFonts w:cs="Arial"/>
      <w:color w:val="FFFFFF" w:themeColor="background1"/>
      <w:sz w:val="32"/>
      <w:szCs w:val="28"/>
    </w:rPr>
  </w:style>
  <w:style w:type="character" w:customStyle="1" w:styleId="SubtitleChar">
    <w:name w:val="Subtitle Char"/>
    <w:basedOn w:val="DefaultParagraphFont"/>
    <w:link w:val="Subtitle"/>
    <w:uiPriority w:val="19"/>
    <w:rsid w:val="009B389F"/>
    <w:rPr>
      <w:rFonts w:ascii="Arial" w:hAnsi="Arial" w:cs="Arial"/>
      <w:color w:val="FFFFFF" w:themeColor="background1"/>
      <w:sz w:val="32"/>
      <w:szCs w:val="28"/>
      <w:lang w:val="en-AU"/>
    </w:rPr>
  </w:style>
  <w:style w:type="paragraph" w:styleId="Date">
    <w:name w:val="Date"/>
    <w:basedOn w:val="Subtitle"/>
    <w:next w:val="Normal"/>
    <w:link w:val="DateChar"/>
    <w:uiPriority w:val="19"/>
    <w:rsid w:val="001B333E"/>
    <w:rPr>
      <w:caps/>
      <w:color w:val="414141"/>
      <w:sz w:val="28"/>
    </w:rPr>
  </w:style>
  <w:style w:type="character" w:customStyle="1" w:styleId="DateChar">
    <w:name w:val="Date Char"/>
    <w:basedOn w:val="DefaultParagraphFont"/>
    <w:link w:val="Date"/>
    <w:uiPriority w:val="19"/>
    <w:rsid w:val="009B389F"/>
    <w:rPr>
      <w:rFonts w:ascii="Arial" w:hAnsi="Arial" w:cs="Arial"/>
      <w:caps/>
      <w:color w:val="414141"/>
      <w:sz w:val="28"/>
      <w:szCs w:val="28"/>
      <w:lang w:val="en-AU"/>
    </w:rPr>
  </w:style>
  <w:style w:type="paragraph" w:styleId="Title">
    <w:name w:val="Title"/>
    <w:basedOn w:val="Normal"/>
    <w:link w:val="TitleChar"/>
    <w:uiPriority w:val="19"/>
    <w:qFormat/>
    <w:rsid w:val="001B333E"/>
    <w:pPr>
      <w:spacing w:after="0" w:line="240" w:lineRule="auto"/>
      <w:jc w:val="right"/>
    </w:pPr>
    <w:rPr>
      <w:caps/>
      <w:sz w:val="40"/>
    </w:rPr>
  </w:style>
  <w:style w:type="character" w:customStyle="1" w:styleId="TitleChar">
    <w:name w:val="Title Char"/>
    <w:basedOn w:val="DefaultParagraphFont"/>
    <w:link w:val="Title"/>
    <w:uiPriority w:val="19"/>
    <w:rsid w:val="009B389F"/>
    <w:rPr>
      <w:rFonts w:ascii="Arial" w:hAnsi="Arial"/>
      <w:caps/>
      <w:color w:val="414141"/>
      <w:sz w:val="40"/>
      <w:lang w:val="en-AU"/>
    </w:rPr>
  </w:style>
  <w:style w:type="paragraph" w:customStyle="1" w:styleId="AppendixHeading1">
    <w:name w:val="Appendix Heading 1"/>
    <w:basedOn w:val="Heading1"/>
    <w:next w:val="BodyText"/>
    <w:uiPriority w:val="6"/>
    <w:rsid w:val="00453041"/>
    <w:pPr>
      <w:keepNext w:val="0"/>
      <w:numPr>
        <w:numId w:val="7"/>
      </w:numPr>
      <w:tabs>
        <w:tab w:val="left" w:pos="2835"/>
      </w:tabs>
      <w:suppressAutoHyphens/>
      <w:ind w:left="2835" w:hanging="2835"/>
    </w:pPr>
    <w:rPr>
      <w:rFonts w:cs="Times New Roman"/>
      <w:szCs w:val="30"/>
    </w:rPr>
  </w:style>
  <w:style w:type="paragraph" w:customStyle="1" w:styleId="AppendixHeading2">
    <w:name w:val="Appendix Heading 2"/>
    <w:basedOn w:val="AppendixHeading1"/>
    <w:next w:val="BodyText"/>
    <w:uiPriority w:val="6"/>
    <w:rsid w:val="00E950EA"/>
    <w:pPr>
      <w:keepNext/>
      <w:pageBreakBefore w:val="0"/>
      <w:numPr>
        <w:ilvl w:val="1"/>
      </w:numPr>
      <w:spacing w:before="200" w:after="120"/>
    </w:pPr>
    <w:rPr>
      <w:caps w:val="0"/>
      <w:sz w:val="28"/>
    </w:rPr>
  </w:style>
  <w:style w:type="character" w:customStyle="1" w:styleId="Heading2Char">
    <w:name w:val="Heading 2 Char"/>
    <w:basedOn w:val="DefaultParagraphFont"/>
    <w:link w:val="Heading2"/>
    <w:uiPriority w:val="4"/>
    <w:rsid w:val="007C3D3A"/>
    <w:rPr>
      <w:rFonts w:ascii="Arial" w:eastAsia="Times New Roman" w:hAnsi="Arial" w:cs="Arial"/>
      <w:iCs/>
      <w:color w:val="0C9FCD"/>
      <w:sz w:val="28"/>
      <w:szCs w:val="28"/>
      <w:lang w:val="en-GB" w:eastAsia="en-AU"/>
    </w:rPr>
  </w:style>
  <w:style w:type="character" w:customStyle="1" w:styleId="Heading3Char">
    <w:name w:val="Heading 3 Char"/>
    <w:basedOn w:val="DefaultParagraphFont"/>
    <w:link w:val="Heading3"/>
    <w:uiPriority w:val="4"/>
    <w:rsid w:val="007C3D3A"/>
    <w:rPr>
      <w:rFonts w:ascii="Arial" w:eastAsia="Times New Roman" w:hAnsi="Arial" w:cs="Arial"/>
      <w:color w:val="0C9FCD"/>
      <w:spacing w:val="-10"/>
      <w:sz w:val="26"/>
      <w:szCs w:val="26"/>
      <w:lang w:val="en-GB" w:eastAsia="en-AU"/>
    </w:rPr>
  </w:style>
  <w:style w:type="character" w:customStyle="1" w:styleId="Heading4Char">
    <w:name w:val="Heading 4 Char"/>
    <w:basedOn w:val="DefaultParagraphFont"/>
    <w:link w:val="Heading4"/>
    <w:uiPriority w:val="4"/>
    <w:rsid w:val="007C3D3A"/>
    <w:rPr>
      <w:rFonts w:ascii="Arial" w:eastAsia="Times New Roman" w:hAnsi="Arial" w:cs="Arial"/>
      <w:color w:val="0C9FCD"/>
      <w:spacing w:val="-5"/>
      <w:szCs w:val="21"/>
      <w:lang w:val="en-GB" w:eastAsia="en-AU"/>
    </w:rPr>
  </w:style>
  <w:style w:type="character" w:customStyle="1" w:styleId="Heading5Char">
    <w:name w:val="Heading 5 Char"/>
    <w:basedOn w:val="DefaultParagraphFont"/>
    <w:link w:val="Heading5"/>
    <w:uiPriority w:val="4"/>
    <w:semiHidden/>
    <w:rsid w:val="007C3D3A"/>
    <w:rPr>
      <w:rFonts w:ascii="Arial" w:eastAsia="Times New Roman" w:hAnsi="Arial" w:cs="Times New Roman"/>
      <w:b/>
      <w:bCs/>
      <w:iCs/>
      <w:color w:val="414141"/>
      <w:sz w:val="20"/>
      <w:szCs w:val="20"/>
      <w:lang w:val="en-GB" w:eastAsia="en-AU"/>
    </w:rPr>
  </w:style>
  <w:style w:type="paragraph" w:customStyle="1" w:styleId="Headingnon-numbered">
    <w:name w:val="Heading (non-numbered)"/>
    <w:basedOn w:val="Heading1"/>
    <w:next w:val="BodyText"/>
    <w:uiPriority w:val="5"/>
    <w:qFormat/>
    <w:rsid w:val="007C3D3A"/>
    <w:pPr>
      <w:numPr>
        <w:numId w:val="0"/>
      </w:numPr>
    </w:pPr>
  </w:style>
  <w:style w:type="paragraph" w:customStyle="1" w:styleId="AppendixHeading3">
    <w:name w:val="Appendix Heading 3"/>
    <w:basedOn w:val="Heading1"/>
    <w:next w:val="BodyText"/>
    <w:uiPriority w:val="6"/>
    <w:rsid w:val="00E950EA"/>
    <w:pPr>
      <w:pageBreakBefore w:val="0"/>
      <w:numPr>
        <w:numId w:val="0"/>
      </w:numPr>
      <w:suppressAutoHyphens/>
      <w:spacing w:before="200" w:after="120" w:line="312" w:lineRule="auto"/>
    </w:pPr>
    <w:rPr>
      <w:rFonts w:cs="Times New Roman"/>
      <w:caps w:val="0"/>
      <w:sz w:val="26"/>
      <w:szCs w:val="30"/>
      <w:lang w:val="en-AU"/>
    </w:rPr>
  </w:style>
  <w:style w:type="paragraph" w:styleId="TOC2">
    <w:name w:val="toc 2"/>
    <w:basedOn w:val="Normal"/>
    <w:next w:val="Normal"/>
    <w:autoRedefine/>
    <w:uiPriority w:val="39"/>
    <w:rsid w:val="000C0A57"/>
    <w:pPr>
      <w:tabs>
        <w:tab w:val="left" w:pos="880"/>
        <w:tab w:val="left" w:pos="1378"/>
        <w:tab w:val="decimal" w:leader="dot" w:pos="9629"/>
      </w:tabs>
      <w:spacing w:before="60" w:after="60"/>
      <w:ind w:left="879" w:right="567" w:hanging="879"/>
    </w:pPr>
    <w:rPr>
      <w:noProof/>
    </w:rPr>
  </w:style>
  <w:style w:type="paragraph" w:styleId="TOC3">
    <w:name w:val="toc 3"/>
    <w:basedOn w:val="Normal"/>
    <w:next w:val="Normal"/>
    <w:autoRedefine/>
    <w:uiPriority w:val="39"/>
    <w:rsid w:val="000C0A57"/>
    <w:pPr>
      <w:tabs>
        <w:tab w:val="left" w:pos="1760"/>
        <w:tab w:val="decimal" w:leader="dot" w:pos="9629"/>
      </w:tabs>
      <w:spacing w:before="60" w:after="60"/>
      <w:ind w:left="1599" w:right="567" w:hanging="720"/>
    </w:pPr>
  </w:style>
  <w:style w:type="character" w:styleId="Hyperlink">
    <w:name w:val="Hyperlink"/>
    <w:basedOn w:val="DefaultParagraphFont"/>
    <w:uiPriority w:val="99"/>
    <w:locked/>
    <w:rsid w:val="00D61F54"/>
    <w:rPr>
      <w:color w:val="ACD1EA" w:themeColor="hyperlink"/>
      <w:u w:val="single"/>
    </w:rPr>
  </w:style>
  <w:style w:type="table" w:styleId="TableGrid">
    <w:name w:val="Table Grid"/>
    <w:basedOn w:val="TableNormal"/>
    <w:uiPriority w:val="59"/>
    <w:rsid w:val="003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CATablebox">
    <w:name w:val="CCA Table (box)"/>
    <w:basedOn w:val="TableNormal"/>
    <w:uiPriority w:val="99"/>
    <w:rsid w:val="00B94C04"/>
    <w:pPr>
      <w:keepNext/>
      <w:keepLines/>
      <w:spacing w:after="0" w:line="240" w:lineRule="auto"/>
    </w:pPr>
    <w:rPr>
      <w:rFonts w:ascii="Arial" w:hAnsi="Arial"/>
      <w:color w:val="414141"/>
      <w:sz w:val="21"/>
    </w:rPr>
    <w:tblPr/>
    <w:tcPr>
      <w:shd w:val="clear" w:color="auto" w:fill="DEECF7"/>
    </w:tcPr>
    <w:tblStylePr w:type="firstRow">
      <w:tblPr/>
      <w:trPr>
        <w:tblHeader/>
      </w:trPr>
    </w:tblStylePr>
  </w:style>
  <w:style w:type="paragraph" w:customStyle="1" w:styleId="Headingnumberedbox">
    <w:name w:val="Heading (numbered box)"/>
    <w:basedOn w:val="AppendixHeading1"/>
    <w:next w:val="BodyText"/>
    <w:uiPriority w:val="7"/>
    <w:qFormat/>
    <w:rsid w:val="00A520EB"/>
    <w:pPr>
      <w:keepNext/>
      <w:pageBreakBefore w:val="0"/>
      <w:numPr>
        <w:numId w:val="5"/>
      </w:numPr>
      <w:spacing w:before="160" w:after="120"/>
      <w:ind w:left="907" w:hanging="907"/>
    </w:pPr>
    <w:rPr>
      <w:b/>
      <w:caps w:val="0"/>
      <w:color w:val="414141"/>
      <w:sz w:val="24"/>
    </w:rPr>
  </w:style>
  <w:style w:type="paragraph" w:customStyle="1" w:styleId="Headingrecommendations">
    <w:name w:val="Heading (recommendations)"/>
    <w:basedOn w:val="Headingnumberedbox"/>
    <w:next w:val="ListRecommendations"/>
    <w:uiPriority w:val="7"/>
    <w:semiHidden/>
    <w:qFormat/>
    <w:rsid w:val="00E950EA"/>
    <w:pPr>
      <w:numPr>
        <w:numId w:val="0"/>
      </w:numPr>
    </w:pPr>
  </w:style>
  <w:style w:type="paragraph" w:customStyle="1" w:styleId="Symbol">
    <w:name w:val="Symbol"/>
    <w:basedOn w:val="Normal"/>
    <w:uiPriority w:val="15"/>
    <w:qFormat/>
    <w:rsid w:val="00D323F1"/>
    <w:pPr>
      <w:spacing w:line="240" w:lineRule="auto"/>
    </w:pPr>
    <w:rPr>
      <w:color w:val="0C9FCD"/>
      <w:sz w:val="48"/>
    </w:rPr>
  </w:style>
  <w:style w:type="table" w:customStyle="1" w:styleId="CCATable">
    <w:name w:val="CCA Table"/>
    <w:basedOn w:val="TableNormal"/>
    <w:uiPriority w:val="99"/>
    <w:rsid w:val="007B6E21"/>
    <w:pPr>
      <w:keepNext/>
      <w:keepLines/>
      <w:spacing w:before="40" w:after="80" w:line="240" w:lineRule="auto"/>
    </w:pPr>
    <w:rPr>
      <w:rFonts w:ascii="Arial" w:hAnsi="Arial"/>
      <w:color w:val="414141"/>
      <w:sz w:val="18"/>
    </w:rPr>
    <w:tblPr>
      <w:tblStyleRowBandSize w:val="1"/>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Pr>
    <w:trPr>
      <w:cantSplit/>
    </w:trPr>
    <w:tblStylePr w:type="firstRow">
      <w:pPr>
        <w:wordWrap/>
        <w:spacing w:beforeLines="0" w:beforeAutospacing="0" w:afterLines="0" w:afterAutospacing="0"/>
        <w:contextualSpacing w:val="0"/>
      </w:pPr>
      <w:rPr>
        <w:rFonts w:ascii="Arial" w:hAnsi="Arial"/>
        <w:color w:val="FFFFFF" w:themeColor="background1"/>
        <w:sz w:val="19"/>
      </w:rPr>
      <w:tblPr/>
      <w:trPr>
        <w:cantSplit w:val="0"/>
        <w:tblHeader/>
      </w:trPr>
      <w:tcPr>
        <w:shd w:val="clear" w:color="auto" w:fill="0C9FCD"/>
      </w:tcPr>
    </w:tblStylePr>
    <w:tblStylePr w:type="band1Horz">
      <w:rPr>
        <w:color w:val="DEECF7"/>
      </w:rPr>
      <w:tblPr/>
      <w:tcPr>
        <w:shd w:val="clear" w:color="auto" w:fill="DEECF7"/>
      </w:tcPr>
    </w:tblStylePr>
  </w:style>
  <w:style w:type="paragraph" w:styleId="TOCHeading">
    <w:name w:val="TOC Heading"/>
    <w:basedOn w:val="Headingnon-numbered"/>
    <w:next w:val="Normal"/>
    <w:uiPriority w:val="21"/>
    <w:qFormat/>
    <w:rsid w:val="001F62EA"/>
    <w:pPr>
      <w:pageBreakBefore w:val="0"/>
      <w:spacing w:before="240" w:after="240"/>
    </w:pPr>
  </w:style>
  <w:style w:type="numbering" w:customStyle="1" w:styleId="AppendixHeadingmaster">
    <w:name w:val="Appendix Heading (master)"/>
    <w:uiPriority w:val="99"/>
    <w:rsid w:val="00CA7950"/>
    <w:pPr>
      <w:numPr>
        <w:numId w:val="6"/>
      </w:numPr>
    </w:pPr>
  </w:style>
  <w:style w:type="character" w:styleId="PageNumber">
    <w:name w:val="page number"/>
    <w:basedOn w:val="DefaultParagraphFont"/>
    <w:uiPriority w:val="19"/>
    <w:rsid w:val="008B030A"/>
    <w:rPr>
      <w:rFonts w:ascii="Arial" w:hAnsi="Arial"/>
      <w:sz w:val="21"/>
    </w:rPr>
  </w:style>
  <w:style w:type="paragraph" w:styleId="TableofFigures">
    <w:name w:val="table of figures"/>
    <w:basedOn w:val="Normal"/>
    <w:next w:val="Normal"/>
    <w:uiPriority w:val="99"/>
    <w:locked/>
    <w:rsid w:val="003C62D4"/>
    <w:pPr>
      <w:tabs>
        <w:tab w:val="left" w:pos="1134"/>
        <w:tab w:val="decimal" w:leader="dot" w:pos="9628"/>
      </w:tabs>
      <w:spacing w:before="60" w:after="60"/>
      <w:ind w:left="1134" w:right="567" w:hanging="1134"/>
    </w:pPr>
  </w:style>
  <w:style w:type="paragraph" w:customStyle="1" w:styleId="InstructionalText">
    <w:name w:val="Instructional Text"/>
    <w:basedOn w:val="Normal"/>
    <w:uiPriority w:val="39"/>
    <w:qFormat/>
    <w:rsid w:val="00E83EE8"/>
    <w:pPr>
      <w:spacing w:before="40" w:after="80" w:line="288" w:lineRule="auto"/>
    </w:pPr>
    <w:rPr>
      <w:rFonts w:eastAsia="Times New Roman" w:cs="Times New Roman"/>
      <w:vanish/>
      <w:color w:val="FF0000"/>
      <w:sz w:val="16"/>
      <w:szCs w:val="24"/>
      <w:lang w:eastAsia="en-GB"/>
    </w:rPr>
  </w:style>
  <w:style w:type="paragraph" w:customStyle="1" w:styleId="TableNote">
    <w:name w:val="Table Note"/>
    <w:basedOn w:val="TableText"/>
    <w:uiPriority w:val="13"/>
    <w:qFormat/>
    <w:rsid w:val="00704E85"/>
    <w:pPr>
      <w:spacing w:before="120" w:after="240"/>
    </w:pPr>
    <w:rPr>
      <w:color w:val="40443F"/>
    </w:rPr>
  </w:style>
  <w:style w:type="numbering" w:customStyle="1" w:styleId="Headingsmaster">
    <w:name w:val="Headings (master)"/>
    <w:uiPriority w:val="99"/>
    <w:rsid w:val="007C3D3A"/>
    <w:pPr>
      <w:numPr>
        <w:numId w:val="8"/>
      </w:numPr>
    </w:pPr>
  </w:style>
  <w:style w:type="paragraph" w:styleId="TOC4">
    <w:name w:val="toc 4"/>
    <w:basedOn w:val="TOC1"/>
    <w:next w:val="Normal"/>
    <w:autoRedefine/>
    <w:uiPriority w:val="39"/>
    <w:rsid w:val="00423A36"/>
    <w:pPr>
      <w:tabs>
        <w:tab w:val="right" w:pos="1701"/>
      </w:tabs>
      <w:ind w:left="1418" w:hanging="1418"/>
    </w:pPr>
    <w:rPr>
      <w:b w:val="0"/>
      <w:caps w:val="0"/>
    </w:rPr>
  </w:style>
  <w:style w:type="paragraph" w:styleId="EndnoteText">
    <w:name w:val="endnote text"/>
    <w:basedOn w:val="Normal"/>
    <w:link w:val="EndnoteTextChar"/>
    <w:uiPriority w:val="99"/>
    <w:semiHidden/>
    <w:rsid w:val="003B44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44D6"/>
    <w:rPr>
      <w:rFonts w:ascii="Arial" w:hAnsi="Arial"/>
      <w:color w:val="414141"/>
      <w:sz w:val="20"/>
      <w:szCs w:val="20"/>
      <w:lang w:val="en-AU"/>
    </w:rPr>
  </w:style>
  <w:style w:type="character" w:styleId="EndnoteReference">
    <w:name w:val="endnote reference"/>
    <w:basedOn w:val="DefaultParagraphFont"/>
    <w:uiPriority w:val="99"/>
    <w:semiHidden/>
    <w:rsid w:val="003B44D6"/>
    <w:rPr>
      <w:vertAlign w:val="superscript"/>
    </w:rPr>
  </w:style>
  <w:style w:type="paragraph" w:styleId="FootnoteText">
    <w:name w:val="footnote text"/>
    <w:basedOn w:val="Normal"/>
    <w:link w:val="FootnoteTextChar"/>
    <w:uiPriority w:val="19"/>
    <w:semiHidden/>
    <w:rsid w:val="003B44D6"/>
    <w:pPr>
      <w:spacing w:after="0" w:line="240" w:lineRule="auto"/>
    </w:pPr>
    <w:rPr>
      <w:sz w:val="17"/>
      <w:szCs w:val="20"/>
    </w:rPr>
  </w:style>
  <w:style w:type="character" w:customStyle="1" w:styleId="FootnoteTextChar">
    <w:name w:val="Footnote Text Char"/>
    <w:basedOn w:val="DefaultParagraphFont"/>
    <w:link w:val="FootnoteText"/>
    <w:uiPriority w:val="19"/>
    <w:semiHidden/>
    <w:rsid w:val="005D4127"/>
    <w:rPr>
      <w:rFonts w:ascii="Arial" w:hAnsi="Arial"/>
      <w:color w:val="414141"/>
      <w:sz w:val="17"/>
      <w:szCs w:val="20"/>
      <w:lang w:val="en-AU"/>
    </w:rPr>
  </w:style>
  <w:style w:type="character" w:styleId="FootnoteReference">
    <w:name w:val="footnote reference"/>
    <w:basedOn w:val="DefaultParagraphFont"/>
    <w:uiPriority w:val="99"/>
    <w:semiHidden/>
    <w:rsid w:val="003B44D6"/>
    <w:rPr>
      <w:vertAlign w:val="superscript"/>
    </w:rPr>
  </w:style>
  <w:style w:type="paragraph" w:styleId="Bibliography">
    <w:name w:val="Bibliography"/>
    <w:basedOn w:val="Normal"/>
    <w:next w:val="Normal"/>
    <w:uiPriority w:val="15"/>
    <w:rsid w:val="00AE0F4B"/>
    <w:pPr>
      <w:autoSpaceDE w:val="0"/>
      <w:autoSpaceDN w:val="0"/>
      <w:adjustRightInd w:val="0"/>
      <w:spacing w:before="80" w:line="240" w:lineRule="auto"/>
      <w:ind w:left="454" w:hanging="454"/>
      <w:textAlignment w:val="center"/>
    </w:pPr>
    <w:rPr>
      <w:rFonts w:eastAsia="Cambria" w:cs="MinionPro-Regular"/>
      <w:noProof/>
      <w:sz w:val="19"/>
      <w:szCs w:val="24"/>
      <w:lang w:val="en-GB" w:eastAsia="en-AU"/>
    </w:rPr>
  </w:style>
  <w:style w:type="table" w:customStyle="1" w:styleId="CCATablerecommendations">
    <w:name w:val="CCA Table (recommendations)"/>
    <w:basedOn w:val="CCATablebox"/>
    <w:uiPriority w:val="99"/>
    <w:locked/>
    <w:rsid w:val="00F63CCF"/>
    <w:tblPr/>
    <w:tcPr>
      <w:shd w:val="clear" w:color="auto" w:fill="EAF5D9"/>
    </w:tcPr>
    <w:tblStylePr w:type="firstRow">
      <w:tblPr/>
      <w:trPr>
        <w:tblHeader/>
      </w:trPr>
    </w:tblStylePr>
  </w:style>
  <w:style w:type="paragraph" w:customStyle="1" w:styleId="ListRecommendations">
    <w:name w:val="List Recommendations"/>
    <w:basedOn w:val="ListNumber"/>
    <w:uiPriority w:val="10"/>
    <w:semiHidden/>
    <w:qFormat/>
    <w:rsid w:val="00CC3B3A"/>
    <w:pPr>
      <w:numPr>
        <w:numId w:val="13"/>
      </w:numPr>
    </w:pPr>
    <w:rPr>
      <w:lang w:val="en-GB"/>
    </w:rPr>
  </w:style>
  <w:style w:type="paragraph" w:customStyle="1" w:styleId="IntroParagraph">
    <w:name w:val="Intro Paragraph"/>
    <w:basedOn w:val="BodyText"/>
    <w:uiPriority w:val="3"/>
    <w:qFormat/>
    <w:rsid w:val="00362266"/>
    <w:rPr>
      <w:b/>
      <w:sz w:val="24"/>
      <w:lang w:val="en-GB" w:eastAsia="en-AU"/>
    </w:rPr>
  </w:style>
  <w:style w:type="paragraph" w:styleId="Quote">
    <w:name w:val="Quote"/>
    <w:basedOn w:val="Normal"/>
    <w:link w:val="QuoteChar"/>
    <w:uiPriority w:val="15"/>
    <w:qFormat/>
    <w:rsid w:val="00AE0F4B"/>
    <w:pPr>
      <w:ind w:left="454" w:right="454"/>
    </w:pPr>
    <w:rPr>
      <w:i/>
      <w:iCs/>
    </w:rPr>
  </w:style>
  <w:style w:type="character" w:customStyle="1" w:styleId="QuoteChar">
    <w:name w:val="Quote Char"/>
    <w:basedOn w:val="DefaultParagraphFont"/>
    <w:link w:val="Quote"/>
    <w:uiPriority w:val="15"/>
    <w:rsid w:val="006971DB"/>
    <w:rPr>
      <w:rFonts w:ascii="Arial" w:hAnsi="Arial"/>
      <w:i/>
      <w:iCs/>
      <w:color w:val="414141"/>
      <w:sz w:val="21"/>
      <w:lang w:val="en-AU"/>
    </w:rPr>
  </w:style>
  <w:style w:type="paragraph" w:customStyle="1" w:styleId="TableTextrightalignment">
    <w:name w:val="Table Text (right alignment)"/>
    <w:basedOn w:val="TableText"/>
    <w:uiPriority w:val="13"/>
    <w:qFormat/>
    <w:rsid w:val="00EF76E0"/>
    <w:pPr>
      <w:jc w:val="right"/>
    </w:pPr>
  </w:style>
  <w:style w:type="table" w:customStyle="1" w:styleId="CCATablequestions">
    <w:name w:val="CCA Table (questions)"/>
    <w:basedOn w:val="CCATablerecommendations"/>
    <w:uiPriority w:val="99"/>
    <w:locked/>
    <w:rsid w:val="008D02DF"/>
    <w:tblPr/>
    <w:tcPr>
      <w:shd w:val="clear" w:color="auto" w:fill="EAF5D9"/>
    </w:tcPr>
    <w:tblStylePr w:type="firstRow">
      <w:tblPr/>
      <w:trPr>
        <w:tblHeader/>
      </w:trPr>
    </w:tblStylePr>
  </w:style>
  <w:style w:type="paragraph" w:customStyle="1" w:styleId="Headingquestions">
    <w:name w:val="Heading (questions)"/>
    <w:basedOn w:val="Headingrecommendations"/>
    <w:next w:val="ListQuestions"/>
    <w:uiPriority w:val="7"/>
    <w:semiHidden/>
    <w:qFormat/>
    <w:rsid w:val="00543174"/>
  </w:style>
  <w:style w:type="paragraph" w:customStyle="1" w:styleId="ListQuestions">
    <w:name w:val="List Questions"/>
    <w:basedOn w:val="ListRecommendations"/>
    <w:uiPriority w:val="10"/>
    <w:semiHidden/>
    <w:qFormat/>
    <w:rsid w:val="00BA0785"/>
    <w:pPr>
      <w:numPr>
        <w:numId w:val="14"/>
      </w:numPr>
    </w:pPr>
    <w:rPr>
      <w:lang w:eastAsia="en-AU"/>
    </w:rPr>
  </w:style>
  <w:style w:type="numbering" w:customStyle="1" w:styleId="ListRecommendationsMaster">
    <w:name w:val="List Recommendations Master"/>
    <w:uiPriority w:val="99"/>
    <w:rsid w:val="00CC3B3A"/>
    <w:pPr>
      <w:numPr>
        <w:numId w:val="11"/>
      </w:numPr>
    </w:pPr>
  </w:style>
  <w:style w:type="numbering" w:customStyle="1" w:styleId="ListQuestionsMaster">
    <w:name w:val="List Questions Master"/>
    <w:uiPriority w:val="99"/>
    <w:rsid w:val="00BA0785"/>
    <w:pPr>
      <w:numPr>
        <w:numId w:val="12"/>
      </w:numPr>
    </w:pPr>
  </w:style>
  <w:style w:type="paragraph" w:customStyle="1" w:styleId="Footeroddpage">
    <w:name w:val="Footer (odd page)"/>
    <w:basedOn w:val="Footer"/>
    <w:uiPriority w:val="19"/>
    <w:qFormat/>
    <w:rsid w:val="002F1862"/>
    <w:pPr>
      <w:tabs>
        <w:tab w:val="clear" w:pos="397"/>
        <w:tab w:val="right" w:pos="8505"/>
      </w:tabs>
      <w:jc w:val="right"/>
    </w:pPr>
    <w:rPr>
      <w:noProof/>
    </w:rPr>
  </w:style>
  <w:style w:type="paragraph" w:customStyle="1" w:styleId="Headingreferences">
    <w:name w:val="Heading (references)"/>
    <w:basedOn w:val="Heading2"/>
    <w:next w:val="BodyText"/>
    <w:uiPriority w:val="5"/>
    <w:qFormat/>
    <w:rsid w:val="007B5E36"/>
    <w:pPr>
      <w:numPr>
        <w:ilvl w:val="0"/>
        <w:numId w:val="0"/>
      </w:numPr>
    </w:pPr>
  </w:style>
  <w:style w:type="paragraph" w:styleId="TOC5">
    <w:name w:val="toc 5"/>
    <w:basedOn w:val="Normal"/>
    <w:next w:val="Normal"/>
    <w:autoRedefine/>
    <w:uiPriority w:val="39"/>
    <w:rsid w:val="00CC3B3A"/>
    <w:pPr>
      <w:tabs>
        <w:tab w:val="right" w:leader="dot" w:pos="9629"/>
      </w:tabs>
      <w:spacing w:after="100"/>
    </w:pPr>
    <w:rPr>
      <w:rFonts w:ascii="Arial Bold" w:hAnsi="Arial Bold"/>
      <w:b/>
      <w:caps/>
    </w:rPr>
  </w:style>
  <w:style w:type="paragraph" w:customStyle="1" w:styleId="ChapterHeading2">
    <w:name w:val="Chapter Heading 2"/>
    <w:basedOn w:val="Heading2"/>
    <w:next w:val="BodyText"/>
    <w:uiPriority w:val="5"/>
    <w:semiHidden/>
    <w:qFormat/>
    <w:rsid w:val="007C3D3A"/>
    <w:pPr>
      <w:numPr>
        <w:numId w:val="16"/>
      </w:numPr>
    </w:pPr>
  </w:style>
  <w:style w:type="paragraph" w:customStyle="1" w:styleId="ChapterHeading3">
    <w:name w:val="Chapter Heading 3"/>
    <w:basedOn w:val="Heading3"/>
    <w:next w:val="BodyText"/>
    <w:uiPriority w:val="5"/>
    <w:semiHidden/>
    <w:qFormat/>
    <w:rsid w:val="007C3D3A"/>
    <w:pPr>
      <w:numPr>
        <w:numId w:val="16"/>
      </w:numPr>
    </w:pPr>
  </w:style>
  <w:style w:type="paragraph" w:customStyle="1" w:styleId="ChapterHeading4">
    <w:name w:val="Chapter Heading 4"/>
    <w:basedOn w:val="Heading4"/>
    <w:next w:val="BodyText"/>
    <w:uiPriority w:val="5"/>
    <w:semiHidden/>
    <w:qFormat/>
    <w:rsid w:val="007C3D3A"/>
    <w:pPr>
      <w:numPr>
        <w:ilvl w:val="3"/>
        <w:numId w:val="16"/>
      </w:numPr>
    </w:pPr>
  </w:style>
  <w:style w:type="paragraph" w:customStyle="1" w:styleId="ChapterHeading1">
    <w:name w:val="Chapter Heading 1"/>
    <w:basedOn w:val="Heading1"/>
    <w:next w:val="BodyText"/>
    <w:uiPriority w:val="5"/>
    <w:semiHidden/>
    <w:qFormat/>
    <w:rsid w:val="00EA64DA"/>
    <w:pPr>
      <w:numPr>
        <w:numId w:val="16"/>
      </w:numPr>
      <w:ind w:left="2552" w:hanging="2552"/>
    </w:pPr>
  </w:style>
  <w:style w:type="numbering" w:customStyle="1" w:styleId="ChapterHeadingsmaster">
    <w:name w:val="Chapter Headings (master)"/>
    <w:uiPriority w:val="99"/>
    <w:rsid w:val="007C3D3A"/>
    <w:pPr>
      <w:numPr>
        <w:numId w:val="15"/>
      </w:numPr>
    </w:pPr>
  </w:style>
  <w:style w:type="paragraph" w:styleId="ListParagraph">
    <w:name w:val="List Paragraph"/>
    <w:basedOn w:val="Normal"/>
    <w:uiPriority w:val="34"/>
    <w:qFormat/>
    <w:rsid w:val="002D1C32"/>
    <w:pPr>
      <w:spacing w:after="0" w:line="240" w:lineRule="auto"/>
      <w:ind w:left="720"/>
      <w:contextualSpacing/>
    </w:pPr>
    <w:rPr>
      <w:rFonts w:ascii="Times New Roman" w:eastAsiaTheme="minorEastAsia" w:hAnsi="Times New Roman" w:cs="Times New Roman"/>
      <w:color w:val="auto"/>
      <w:sz w:val="24"/>
      <w:szCs w:val="24"/>
    </w:rPr>
  </w:style>
  <w:style w:type="paragraph" w:styleId="NormalWeb">
    <w:name w:val="Normal (Web)"/>
    <w:basedOn w:val="Normal"/>
    <w:uiPriority w:val="99"/>
    <w:unhideWhenUsed/>
    <w:rsid w:val="000B04CE"/>
    <w:pPr>
      <w:spacing w:after="150"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A878E9"/>
    <w:rPr>
      <w:b/>
      <w:bCs/>
    </w:rPr>
  </w:style>
  <w:style w:type="character" w:styleId="CommentReference">
    <w:name w:val="annotation reference"/>
    <w:basedOn w:val="DefaultParagraphFont"/>
    <w:uiPriority w:val="99"/>
    <w:semiHidden/>
    <w:rsid w:val="001B4606"/>
    <w:rPr>
      <w:sz w:val="16"/>
      <w:szCs w:val="16"/>
    </w:rPr>
  </w:style>
  <w:style w:type="paragraph" w:styleId="CommentText">
    <w:name w:val="annotation text"/>
    <w:basedOn w:val="Normal"/>
    <w:link w:val="CommentTextChar"/>
    <w:uiPriority w:val="99"/>
    <w:semiHidden/>
    <w:rsid w:val="001B4606"/>
    <w:pPr>
      <w:spacing w:line="240" w:lineRule="auto"/>
    </w:pPr>
    <w:rPr>
      <w:sz w:val="20"/>
      <w:szCs w:val="20"/>
    </w:rPr>
  </w:style>
  <w:style w:type="character" w:customStyle="1" w:styleId="CommentTextChar">
    <w:name w:val="Comment Text Char"/>
    <w:basedOn w:val="DefaultParagraphFont"/>
    <w:link w:val="CommentText"/>
    <w:uiPriority w:val="99"/>
    <w:semiHidden/>
    <w:rsid w:val="001B4606"/>
    <w:rPr>
      <w:rFonts w:ascii="Arial" w:hAnsi="Arial"/>
      <w:color w:val="414141"/>
      <w:sz w:val="20"/>
      <w:szCs w:val="20"/>
      <w:lang w:val="en-AU"/>
    </w:rPr>
  </w:style>
  <w:style w:type="paragraph" w:styleId="CommentSubject">
    <w:name w:val="annotation subject"/>
    <w:basedOn w:val="CommentText"/>
    <w:next w:val="CommentText"/>
    <w:link w:val="CommentSubjectChar"/>
    <w:uiPriority w:val="99"/>
    <w:semiHidden/>
    <w:rsid w:val="001B4606"/>
    <w:rPr>
      <w:b/>
      <w:bCs/>
    </w:rPr>
  </w:style>
  <w:style w:type="character" w:customStyle="1" w:styleId="CommentSubjectChar">
    <w:name w:val="Comment Subject Char"/>
    <w:basedOn w:val="CommentTextChar"/>
    <w:link w:val="CommentSubject"/>
    <w:uiPriority w:val="99"/>
    <w:semiHidden/>
    <w:rsid w:val="001B4606"/>
    <w:rPr>
      <w:rFonts w:ascii="Arial" w:hAnsi="Arial"/>
      <w:b/>
      <w:bCs/>
      <w:color w:val="414141"/>
      <w:sz w:val="20"/>
      <w:szCs w:val="20"/>
      <w:lang w:val="en-AU"/>
    </w:rPr>
  </w:style>
  <w:style w:type="character" w:styleId="Emphasis">
    <w:name w:val="Emphasis"/>
    <w:basedOn w:val="DefaultParagraphFont"/>
    <w:uiPriority w:val="20"/>
    <w:qFormat/>
    <w:rsid w:val="00F50E1A"/>
    <w:rPr>
      <w:i/>
      <w:iCs/>
    </w:rPr>
  </w:style>
  <w:style w:type="paragraph" w:styleId="Revision">
    <w:name w:val="Revision"/>
    <w:hidden/>
    <w:uiPriority w:val="99"/>
    <w:semiHidden/>
    <w:rsid w:val="00030760"/>
    <w:pPr>
      <w:spacing w:after="0" w:line="240" w:lineRule="auto"/>
    </w:pPr>
    <w:rPr>
      <w:rFonts w:ascii="Arial" w:hAnsi="Arial"/>
      <w:color w:val="414141"/>
      <w:sz w:val="21"/>
      <w:lang w:val="en-AU"/>
    </w:rPr>
  </w:style>
  <w:style w:type="paragraph" w:styleId="PlainText">
    <w:name w:val="Plain Text"/>
    <w:basedOn w:val="Normal"/>
    <w:link w:val="PlainTextChar"/>
    <w:uiPriority w:val="99"/>
    <w:semiHidden/>
    <w:unhideWhenUsed/>
    <w:rsid w:val="00377B48"/>
    <w:pPr>
      <w:spacing w:after="0" w:line="240" w:lineRule="auto"/>
    </w:pPr>
    <w:rPr>
      <w:rFonts w:ascii="Calibri" w:eastAsia="Times New Roman" w:hAnsi="Calibri" w:cs="Times New Roman"/>
      <w:color w:val="auto"/>
      <w:sz w:val="22"/>
      <w:szCs w:val="21"/>
      <w:lang w:eastAsia="en-AU"/>
    </w:rPr>
  </w:style>
  <w:style w:type="character" w:customStyle="1" w:styleId="PlainTextChar">
    <w:name w:val="Plain Text Char"/>
    <w:basedOn w:val="DefaultParagraphFont"/>
    <w:link w:val="PlainText"/>
    <w:uiPriority w:val="99"/>
    <w:semiHidden/>
    <w:rsid w:val="00377B48"/>
    <w:rPr>
      <w:rFonts w:ascii="Calibri" w:eastAsia="Times New Roman" w:hAnsi="Calibri" w:cs="Times New Roman"/>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457">
      <w:bodyDiv w:val="1"/>
      <w:marLeft w:val="0"/>
      <w:marRight w:val="0"/>
      <w:marTop w:val="0"/>
      <w:marBottom w:val="0"/>
      <w:divBdr>
        <w:top w:val="none" w:sz="0" w:space="0" w:color="auto"/>
        <w:left w:val="none" w:sz="0" w:space="0" w:color="auto"/>
        <w:bottom w:val="none" w:sz="0" w:space="0" w:color="auto"/>
        <w:right w:val="none" w:sz="0" w:space="0" w:color="auto"/>
      </w:divBdr>
    </w:div>
    <w:div w:id="26487179">
      <w:bodyDiv w:val="1"/>
      <w:marLeft w:val="0"/>
      <w:marRight w:val="0"/>
      <w:marTop w:val="0"/>
      <w:marBottom w:val="0"/>
      <w:divBdr>
        <w:top w:val="none" w:sz="0" w:space="0" w:color="auto"/>
        <w:left w:val="none" w:sz="0" w:space="0" w:color="auto"/>
        <w:bottom w:val="none" w:sz="0" w:space="0" w:color="auto"/>
        <w:right w:val="none" w:sz="0" w:space="0" w:color="auto"/>
      </w:divBdr>
      <w:divsChild>
        <w:div w:id="57478401">
          <w:marLeft w:val="288"/>
          <w:marRight w:val="0"/>
          <w:marTop w:val="149"/>
          <w:marBottom w:val="240"/>
          <w:divBdr>
            <w:top w:val="none" w:sz="0" w:space="0" w:color="auto"/>
            <w:left w:val="none" w:sz="0" w:space="0" w:color="auto"/>
            <w:bottom w:val="none" w:sz="0" w:space="0" w:color="auto"/>
            <w:right w:val="none" w:sz="0" w:space="0" w:color="auto"/>
          </w:divBdr>
        </w:div>
        <w:div w:id="894777677">
          <w:marLeft w:val="288"/>
          <w:marRight w:val="0"/>
          <w:marTop w:val="149"/>
          <w:marBottom w:val="240"/>
          <w:divBdr>
            <w:top w:val="none" w:sz="0" w:space="0" w:color="auto"/>
            <w:left w:val="none" w:sz="0" w:space="0" w:color="auto"/>
            <w:bottom w:val="none" w:sz="0" w:space="0" w:color="auto"/>
            <w:right w:val="none" w:sz="0" w:space="0" w:color="auto"/>
          </w:divBdr>
        </w:div>
        <w:div w:id="1568342376">
          <w:marLeft w:val="288"/>
          <w:marRight w:val="0"/>
          <w:marTop w:val="149"/>
          <w:marBottom w:val="240"/>
          <w:divBdr>
            <w:top w:val="none" w:sz="0" w:space="0" w:color="auto"/>
            <w:left w:val="none" w:sz="0" w:space="0" w:color="auto"/>
            <w:bottom w:val="none" w:sz="0" w:space="0" w:color="auto"/>
            <w:right w:val="none" w:sz="0" w:space="0" w:color="auto"/>
          </w:divBdr>
        </w:div>
      </w:divsChild>
    </w:div>
    <w:div w:id="112292978">
      <w:bodyDiv w:val="1"/>
      <w:marLeft w:val="0"/>
      <w:marRight w:val="0"/>
      <w:marTop w:val="0"/>
      <w:marBottom w:val="0"/>
      <w:divBdr>
        <w:top w:val="none" w:sz="0" w:space="0" w:color="auto"/>
        <w:left w:val="none" w:sz="0" w:space="0" w:color="auto"/>
        <w:bottom w:val="none" w:sz="0" w:space="0" w:color="auto"/>
        <w:right w:val="none" w:sz="0" w:space="0" w:color="auto"/>
      </w:divBdr>
      <w:divsChild>
        <w:div w:id="284779677">
          <w:marLeft w:val="0"/>
          <w:marRight w:val="0"/>
          <w:marTop w:val="0"/>
          <w:marBottom w:val="0"/>
          <w:divBdr>
            <w:top w:val="none" w:sz="0" w:space="0" w:color="auto"/>
            <w:left w:val="none" w:sz="0" w:space="0" w:color="auto"/>
            <w:bottom w:val="none" w:sz="0" w:space="0" w:color="auto"/>
            <w:right w:val="none" w:sz="0" w:space="0" w:color="auto"/>
          </w:divBdr>
          <w:divsChild>
            <w:div w:id="632948854">
              <w:marLeft w:val="0"/>
              <w:marRight w:val="0"/>
              <w:marTop w:val="0"/>
              <w:marBottom w:val="0"/>
              <w:divBdr>
                <w:top w:val="none" w:sz="0" w:space="0" w:color="auto"/>
                <w:left w:val="none" w:sz="0" w:space="0" w:color="auto"/>
                <w:bottom w:val="none" w:sz="0" w:space="0" w:color="auto"/>
                <w:right w:val="none" w:sz="0" w:space="0" w:color="auto"/>
              </w:divBdr>
              <w:divsChild>
                <w:div w:id="682709125">
                  <w:marLeft w:val="0"/>
                  <w:marRight w:val="0"/>
                  <w:marTop w:val="0"/>
                  <w:marBottom w:val="0"/>
                  <w:divBdr>
                    <w:top w:val="none" w:sz="0" w:space="0" w:color="auto"/>
                    <w:left w:val="none" w:sz="0" w:space="0" w:color="auto"/>
                    <w:bottom w:val="none" w:sz="0" w:space="0" w:color="auto"/>
                    <w:right w:val="none" w:sz="0" w:space="0" w:color="auto"/>
                  </w:divBdr>
                  <w:divsChild>
                    <w:div w:id="1275553106">
                      <w:marLeft w:val="-225"/>
                      <w:marRight w:val="-225"/>
                      <w:marTop w:val="0"/>
                      <w:marBottom w:val="0"/>
                      <w:divBdr>
                        <w:top w:val="none" w:sz="0" w:space="0" w:color="auto"/>
                        <w:left w:val="none" w:sz="0" w:space="0" w:color="auto"/>
                        <w:bottom w:val="none" w:sz="0" w:space="0" w:color="auto"/>
                        <w:right w:val="none" w:sz="0" w:space="0" w:color="auto"/>
                      </w:divBdr>
                      <w:divsChild>
                        <w:div w:id="259141857">
                          <w:marLeft w:val="0"/>
                          <w:marRight w:val="0"/>
                          <w:marTop w:val="0"/>
                          <w:marBottom w:val="0"/>
                          <w:divBdr>
                            <w:top w:val="none" w:sz="0" w:space="0" w:color="auto"/>
                            <w:left w:val="none" w:sz="0" w:space="0" w:color="auto"/>
                            <w:bottom w:val="none" w:sz="0" w:space="0" w:color="auto"/>
                            <w:right w:val="none" w:sz="0" w:space="0" w:color="auto"/>
                          </w:divBdr>
                          <w:divsChild>
                            <w:div w:id="1561017408">
                              <w:marLeft w:val="0"/>
                              <w:marRight w:val="0"/>
                              <w:marTop w:val="0"/>
                              <w:marBottom w:val="0"/>
                              <w:divBdr>
                                <w:top w:val="none" w:sz="0" w:space="0" w:color="auto"/>
                                <w:left w:val="none" w:sz="0" w:space="0" w:color="auto"/>
                                <w:bottom w:val="none" w:sz="0" w:space="0" w:color="auto"/>
                                <w:right w:val="none" w:sz="0" w:space="0" w:color="auto"/>
                              </w:divBdr>
                              <w:divsChild>
                                <w:div w:id="324750464">
                                  <w:marLeft w:val="0"/>
                                  <w:marRight w:val="0"/>
                                  <w:marTop w:val="0"/>
                                  <w:marBottom w:val="0"/>
                                  <w:divBdr>
                                    <w:top w:val="none" w:sz="0" w:space="0" w:color="auto"/>
                                    <w:left w:val="none" w:sz="0" w:space="0" w:color="auto"/>
                                    <w:bottom w:val="none" w:sz="0" w:space="0" w:color="auto"/>
                                    <w:right w:val="none" w:sz="0" w:space="0" w:color="auto"/>
                                  </w:divBdr>
                                  <w:divsChild>
                                    <w:div w:id="807671133">
                                      <w:marLeft w:val="0"/>
                                      <w:marRight w:val="0"/>
                                      <w:marTop w:val="0"/>
                                      <w:marBottom w:val="0"/>
                                      <w:divBdr>
                                        <w:top w:val="none" w:sz="0" w:space="0" w:color="auto"/>
                                        <w:left w:val="none" w:sz="0" w:space="0" w:color="auto"/>
                                        <w:bottom w:val="none" w:sz="0" w:space="0" w:color="auto"/>
                                        <w:right w:val="none" w:sz="0" w:space="0" w:color="auto"/>
                                      </w:divBdr>
                                      <w:divsChild>
                                        <w:div w:id="496580957">
                                          <w:marLeft w:val="0"/>
                                          <w:marRight w:val="0"/>
                                          <w:marTop w:val="0"/>
                                          <w:marBottom w:val="0"/>
                                          <w:divBdr>
                                            <w:top w:val="none" w:sz="0" w:space="0" w:color="auto"/>
                                            <w:left w:val="none" w:sz="0" w:space="0" w:color="auto"/>
                                            <w:bottom w:val="none" w:sz="0" w:space="0" w:color="auto"/>
                                            <w:right w:val="none" w:sz="0" w:space="0" w:color="auto"/>
                                          </w:divBdr>
                                          <w:divsChild>
                                            <w:div w:id="1577127451">
                                              <w:marLeft w:val="0"/>
                                              <w:marRight w:val="0"/>
                                              <w:marTop w:val="0"/>
                                              <w:marBottom w:val="0"/>
                                              <w:divBdr>
                                                <w:top w:val="none" w:sz="0" w:space="0" w:color="auto"/>
                                                <w:left w:val="none" w:sz="0" w:space="0" w:color="auto"/>
                                                <w:bottom w:val="none" w:sz="0" w:space="0" w:color="auto"/>
                                                <w:right w:val="none" w:sz="0" w:space="0" w:color="auto"/>
                                              </w:divBdr>
                                              <w:divsChild>
                                                <w:div w:id="440879839">
                                                  <w:marLeft w:val="0"/>
                                                  <w:marRight w:val="0"/>
                                                  <w:marTop w:val="0"/>
                                                  <w:marBottom w:val="0"/>
                                                  <w:divBdr>
                                                    <w:top w:val="none" w:sz="0" w:space="0" w:color="auto"/>
                                                    <w:left w:val="none" w:sz="0" w:space="0" w:color="auto"/>
                                                    <w:bottom w:val="none" w:sz="0" w:space="0" w:color="auto"/>
                                                    <w:right w:val="none" w:sz="0" w:space="0" w:color="auto"/>
                                                  </w:divBdr>
                                                  <w:divsChild>
                                                    <w:div w:id="409544707">
                                                      <w:marLeft w:val="0"/>
                                                      <w:marRight w:val="0"/>
                                                      <w:marTop w:val="0"/>
                                                      <w:marBottom w:val="0"/>
                                                      <w:divBdr>
                                                        <w:top w:val="none" w:sz="0" w:space="0" w:color="auto"/>
                                                        <w:left w:val="none" w:sz="0" w:space="0" w:color="auto"/>
                                                        <w:bottom w:val="none" w:sz="0" w:space="0" w:color="auto"/>
                                                        <w:right w:val="none" w:sz="0" w:space="0" w:color="auto"/>
                                                      </w:divBdr>
                                                      <w:divsChild>
                                                        <w:div w:id="6073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94259">
      <w:bodyDiv w:val="1"/>
      <w:marLeft w:val="0"/>
      <w:marRight w:val="0"/>
      <w:marTop w:val="0"/>
      <w:marBottom w:val="0"/>
      <w:divBdr>
        <w:top w:val="none" w:sz="0" w:space="0" w:color="auto"/>
        <w:left w:val="none" w:sz="0" w:space="0" w:color="auto"/>
        <w:bottom w:val="none" w:sz="0" w:space="0" w:color="auto"/>
        <w:right w:val="none" w:sz="0" w:space="0" w:color="auto"/>
      </w:divBdr>
    </w:div>
    <w:div w:id="205141612">
      <w:bodyDiv w:val="1"/>
      <w:marLeft w:val="0"/>
      <w:marRight w:val="0"/>
      <w:marTop w:val="0"/>
      <w:marBottom w:val="0"/>
      <w:divBdr>
        <w:top w:val="none" w:sz="0" w:space="0" w:color="auto"/>
        <w:left w:val="none" w:sz="0" w:space="0" w:color="auto"/>
        <w:bottom w:val="none" w:sz="0" w:space="0" w:color="auto"/>
        <w:right w:val="none" w:sz="0" w:space="0" w:color="auto"/>
      </w:divBdr>
    </w:div>
    <w:div w:id="222757857">
      <w:bodyDiv w:val="1"/>
      <w:marLeft w:val="0"/>
      <w:marRight w:val="0"/>
      <w:marTop w:val="0"/>
      <w:marBottom w:val="0"/>
      <w:divBdr>
        <w:top w:val="none" w:sz="0" w:space="0" w:color="auto"/>
        <w:left w:val="none" w:sz="0" w:space="0" w:color="auto"/>
        <w:bottom w:val="none" w:sz="0" w:space="0" w:color="auto"/>
        <w:right w:val="none" w:sz="0" w:space="0" w:color="auto"/>
      </w:divBdr>
    </w:div>
    <w:div w:id="291401759">
      <w:bodyDiv w:val="1"/>
      <w:marLeft w:val="0"/>
      <w:marRight w:val="0"/>
      <w:marTop w:val="0"/>
      <w:marBottom w:val="0"/>
      <w:divBdr>
        <w:top w:val="none" w:sz="0" w:space="0" w:color="auto"/>
        <w:left w:val="none" w:sz="0" w:space="0" w:color="auto"/>
        <w:bottom w:val="none" w:sz="0" w:space="0" w:color="auto"/>
        <w:right w:val="none" w:sz="0" w:space="0" w:color="auto"/>
      </w:divBdr>
    </w:div>
    <w:div w:id="295992503">
      <w:bodyDiv w:val="1"/>
      <w:marLeft w:val="0"/>
      <w:marRight w:val="0"/>
      <w:marTop w:val="0"/>
      <w:marBottom w:val="0"/>
      <w:divBdr>
        <w:top w:val="none" w:sz="0" w:space="0" w:color="auto"/>
        <w:left w:val="none" w:sz="0" w:space="0" w:color="auto"/>
        <w:bottom w:val="none" w:sz="0" w:space="0" w:color="auto"/>
        <w:right w:val="none" w:sz="0" w:space="0" w:color="auto"/>
      </w:divBdr>
    </w:div>
    <w:div w:id="532034729">
      <w:bodyDiv w:val="1"/>
      <w:marLeft w:val="0"/>
      <w:marRight w:val="0"/>
      <w:marTop w:val="0"/>
      <w:marBottom w:val="0"/>
      <w:divBdr>
        <w:top w:val="none" w:sz="0" w:space="0" w:color="auto"/>
        <w:left w:val="none" w:sz="0" w:space="0" w:color="auto"/>
        <w:bottom w:val="none" w:sz="0" w:space="0" w:color="auto"/>
        <w:right w:val="none" w:sz="0" w:space="0" w:color="auto"/>
      </w:divBdr>
    </w:div>
    <w:div w:id="552347024">
      <w:bodyDiv w:val="1"/>
      <w:marLeft w:val="0"/>
      <w:marRight w:val="0"/>
      <w:marTop w:val="0"/>
      <w:marBottom w:val="0"/>
      <w:divBdr>
        <w:top w:val="none" w:sz="0" w:space="0" w:color="auto"/>
        <w:left w:val="none" w:sz="0" w:space="0" w:color="auto"/>
        <w:bottom w:val="none" w:sz="0" w:space="0" w:color="auto"/>
        <w:right w:val="none" w:sz="0" w:space="0" w:color="auto"/>
      </w:divBdr>
    </w:div>
    <w:div w:id="611476642">
      <w:bodyDiv w:val="1"/>
      <w:marLeft w:val="0"/>
      <w:marRight w:val="0"/>
      <w:marTop w:val="0"/>
      <w:marBottom w:val="0"/>
      <w:divBdr>
        <w:top w:val="none" w:sz="0" w:space="0" w:color="auto"/>
        <w:left w:val="none" w:sz="0" w:space="0" w:color="auto"/>
        <w:bottom w:val="none" w:sz="0" w:space="0" w:color="auto"/>
        <w:right w:val="none" w:sz="0" w:space="0" w:color="auto"/>
      </w:divBdr>
      <w:divsChild>
        <w:div w:id="1657566807">
          <w:marLeft w:val="288"/>
          <w:marRight w:val="0"/>
          <w:marTop w:val="154"/>
          <w:marBottom w:val="240"/>
          <w:divBdr>
            <w:top w:val="none" w:sz="0" w:space="0" w:color="auto"/>
            <w:left w:val="none" w:sz="0" w:space="0" w:color="auto"/>
            <w:bottom w:val="none" w:sz="0" w:space="0" w:color="auto"/>
            <w:right w:val="none" w:sz="0" w:space="0" w:color="auto"/>
          </w:divBdr>
        </w:div>
        <w:div w:id="1730109412">
          <w:marLeft w:val="288"/>
          <w:marRight w:val="0"/>
          <w:marTop w:val="154"/>
          <w:marBottom w:val="240"/>
          <w:divBdr>
            <w:top w:val="none" w:sz="0" w:space="0" w:color="auto"/>
            <w:left w:val="none" w:sz="0" w:space="0" w:color="auto"/>
            <w:bottom w:val="none" w:sz="0" w:space="0" w:color="auto"/>
            <w:right w:val="none" w:sz="0" w:space="0" w:color="auto"/>
          </w:divBdr>
        </w:div>
        <w:div w:id="598486550">
          <w:marLeft w:val="288"/>
          <w:marRight w:val="0"/>
          <w:marTop w:val="154"/>
          <w:marBottom w:val="240"/>
          <w:divBdr>
            <w:top w:val="none" w:sz="0" w:space="0" w:color="auto"/>
            <w:left w:val="none" w:sz="0" w:space="0" w:color="auto"/>
            <w:bottom w:val="none" w:sz="0" w:space="0" w:color="auto"/>
            <w:right w:val="none" w:sz="0" w:space="0" w:color="auto"/>
          </w:divBdr>
        </w:div>
      </w:divsChild>
    </w:div>
    <w:div w:id="646471447">
      <w:bodyDiv w:val="1"/>
      <w:marLeft w:val="0"/>
      <w:marRight w:val="0"/>
      <w:marTop w:val="0"/>
      <w:marBottom w:val="0"/>
      <w:divBdr>
        <w:top w:val="none" w:sz="0" w:space="0" w:color="auto"/>
        <w:left w:val="none" w:sz="0" w:space="0" w:color="auto"/>
        <w:bottom w:val="none" w:sz="0" w:space="0" w:color="auto"/>
        <w:right w:val="none" w:sz="0" w:space="0" w:color="auto"/>
      </w:divBdr>
    </w:div>
    <w:div w:id="669992275">
      <w:bodyDiv w:val="1"/>
      <w:marLeft w:val="0"/>
      <w:marRight w:val="0"/>
      <w:marTop w:val="0"/>
      <w:marBottom w:val="0"/>
      <w:divBdr>
        <w:top w:val="none" w:sz="0" w:space="0" w:color="auto"/>
        <w:left w:val="none" w:sz="0" w:space="0" w:color="auto"/>
        <w:bottom w:val="none" w:sz="0" w:space="0" w:color="auto"/>
        <w:right w:val="none" w:sz="0" w:space="0" w:color="auto"/>
      </w:divBdr>
    </w:div>
    <w:div w:id="750202405">
      <w:bodyDiv w:val="1"/>
      <w:marLeft w:val="0"/>
      <w:marRight w:val="0"/>
      <w:marTop w:val="0"/>
      <w:marBottom w:val="0"/>
      <w:divBdr>
        <w:top w:val="none" w:sz="0" w:space="0" w:color="auto"/>
        <w:left w:val="none" w:sz="0" w:space="0" w:color="auto"/>
        <w:bottom w:val="none" w:sz="0" w:space="0" w:color="auto"/>
        <w:right w:val="none" w:sz="0" w:space="0" w:color="auto"/>
      </w:divBdr>
      <w:divsChild>
        <w:div w:id="1756248116">
          <w:marLeft w:val="0"/>
          <w:marRight w:val="0"/>
          <w:marTop w:val="0"/>
          <w:marBottom w:val="0"/>
          <w:divBdr>
            <w:top w:val="none" w:sz="0" w:space="0" w:color="auto"/>
            <w:left w:val="none" w:sz="0" w:space="0" w:color="auto"/>
            <w:bottom w:val="none" w:sz="0" w:space="0" w:color="auto"/>
            <w:right w:val="none" w:sz="0" w:space="0" w:color="auto"/>
          </w:divBdr>
          <w:divsChild>
            <w:div w:id="1018779116">
              <w:marLeft w:val="0"/>
              <w:marRight w:val="0"/>
              <w:marTop w:val="0"/>
              <w:marBottom w:val="0"/>
              <w:divBdr>
                <w:top w:val="none" w:sz="0" w:space="0" w:color="auto"/>
                <w:left w:val="none" w:sz="0" w:space="0" w:color="auto"/>
                <w:bottom w:val="none" w:sz="0" w:space="0" w:color="auto"/>
                <w:right w:val="none" w:sz="0" w:space="0" w:color="auto"/>
              </w:divBdr>
              <w:divsChild>
                <w:div w:id="1549683262">
                  <w:marLeft w:val="0"/>
                  <w:marRight w:val="0"/>
                  <w:marTop w:val="0"/>
                  <w:marBottom w:val="0"/>
                  <w:divBdr>
                    <w:top w:val="none" w:sz="0" w:space="0" w:color="auto"/>
                    <w:left w:val="none" w:sz="0" w:space="0" w:color="auto"/>
                    <w:bottom w:val="none" w:sz="0" w:space="0" w:color="auto"/>
                    <w:right w:val="none" w:sz="0" w:space="0" w:color="auto"/>
                  </w:divBdr>
                  <w:divsChild>
                    <w:div w:id="821773583">
                      <w:marLeft w:val="-225"/>
                      <w:marRight w:val="-225"/>
                      <w:marTop w:val="0"/>
                      <w:marBottom w:val="0"/>
                      <w:divBdr>
                        <w:top w:val="none" w:sz="0" w:space="0" w:color="auto"/>
                        <w:left w:val="none" w:sz="0" w:space="0" w:color="auto"/>
                        <w:bottom w:val="none" w:sz="0" w:space="0" w:color="auto"/>
                        <w:right w:val="none" w:sz="0" w:space="0" w:color="auto"/>
                      </w:divBdr>
                      <w:divsChild>
                        <w:div w:id="214394785">
                          <w:marLeft w:val="0"/>
                          <w:marRight w:val="0"/>
                          <w:marTop w:val="0"/>
                          <w:marBottom w:val="0"/>
                          <w:divBdr>
                            <w:top w:val="none" w:sz="0" w:space="0" w:color="auto"/>
                            <w:left w:val="none" w:sz="0" w:space="0" w:color="auto"/>
                            <w:bottom w:val="none" w:sz="0" w:space="0" w:color="auto"/>
                            <w:right w:val="none" w:sz="0" w:space="0" w:color="auto"/>
                          </w:divBdr>
                          <w:divsChild>
                            <w:div w:id="18043807">
                              <w:marLeft w:val="0"/>
                              <w:marRight w:val="0"/>
                              <w:marTop w:val="0"/>
                              <w:marBottom w:val="0"/>
                              <w:divBdr>
                                <w:top w:val="none" w:sz="0" w:space="0" w:color="auto"/>
                                <w:left w:val="none" w:sz="0" w:space="0" w:color="auto"/>
                                <w:bottom w:val="none" w:sz="0" w:space="0" w:color="auto"/>
                                <w:right w:val="none" w:sz="0" w:space="0" w:color="auto"/>
                              </w:divBdr>
                              <w:divsChild>
                                <w:div w:id="828442367">
                                  <w:marLeft w:val="0"/>
                                  <w:marRight w:val="0"/>
                                  <w:marTop w:val="0"/>
                                  <w:marBottom w:val="0"/>
                                  <w:divBdr>
                                    <w:top w:val="none" w:sz="0" w:space="0" w:color="auto"/>
                                    <w:left w:val="none" w:sz="0" w:space="0" w:color="auto"/>
                                    <w:bottom w:val="none" w:sz="0" w:space="0" w:color="auto"/>
                                    <w:right w:val="none" w:sz="0" w:space="0" w:color="auto"/>
                                  </w:divBdr>
                                  <w:divsChild>
                                    <w:div w:id="772213185">
                                      <w:marLeft w:val="0"/>
                                      <w:marRight w:val="0"/>
                                      <w:marTop w:val="0"/>
                                      <w:marBottom w:val="0"/>
                                      <w:divBdr>
                                        <w:top w:val="none" w:sz="0" w:space="0" w:color="auto"/>
                                        <w:left w:val="none" w:sz="0" w:space="0" w:color="auto"/>
                                        <w:bottom w:val="none" w:sz="0" w:space="0" w:color="auto"/>
                                        <w:right w:val="none" w:sz="0" w:space="0" w:color="auto"/>
                                      </w:divBdr>
                                      <w:divsChild>
                                        <w:div w:id="900405157">
                                          <w:marLeft w:val="0"/>
                                          <w:marRight w:val="0"/>
                                          <w:marTop w:val="0"/>
                                          <w:marBottom w:val="0"/>
                                          <w:divBdr>
                                            <w:top w:val="none" w:sz="0" w:space="0" w:color="auto"/>
                                            <w:left w:val="none" w:sz="0" w:space="0" w:color="auto"/>
                                            <w:bottom w:val="none" w:sz="0" w:space="0" w:color="auto"/>
                                            <w:right w:val="none" w:sz="0" w:space="0" w:color="auto"/>
                                          </w:divBdr>
                                          <w:divsChild>
                                            <w:div w:id="120269188">
                                              <w:marLeft w:val="0"/>
                                              <w:marRight w:val="0"/>
                                              <w:marTop w:val="0"/>
                                              <w:marBottom w:val="0"/>
                                              <w:divBdr>
                                                <w:top w:val="none" w:sz="0" w:space="0" w:color="auto"/>
                                                <w:left w:val="none" w:sz="0" w:space="0" w:color="auto"/>
                                                <w:bottom w:val="none" w:sz="0" w:space="0" w:color="auto"/>
                                                <w:right w:val="none" w:sz="0" w:space="0" w:color="auto"/>
                                              </w:divBdr>
                                              <w:divsChild>
                                                <w:div w:id="1346976529">
                                                  <w:marLeft w:val="0"/>
                                                  <w:marRight w:val="0"/>
                                                  <w:marTop w:val="0"/>
                                                  <w:marBottom w:val="0"/>
                                                  <w:divBdr>
                                                    <w:top w:val="none" w:sz="0" w:space="0" w:color="auto"/>
                                                    <w:left w:val="none" w:sz="0" w:space="0" w:color="auto"/>
                                                    <w:bottom w:val="none" w:sz="0" w:space="0" w:color="auto"/>
                                                    <w:right w:val="none" w:sz="0" w:space="0" w:color="auto"/>
                                                  </w:divBdr>
                                                  <w:divsChild>
                                                    <w:div w:id="1337076911">
                                                      <w:marLeft w:val="0"/>
                                                      <w:marRight w:val="0"/>
                                                      <w:marTop w:val="0"/>
                                                      <w:marBottom w:val="0"/>
                                                      <w:divBdr>
                                                        <w:top w:val="none" w:sz="0" w:space="0" w:color="auto"/>
                                                        <w:left w:val="none" w:sz="0" w:space="0" w:color="auto"/>
                                                        <w:bottom w:val="none" w:sz="0" w:space="0" w:color="auto"/>
                                                        <w:right w:val="none" w:sz="0" w:space="0" w:color="auto"/>
                                                      </w:divBdr>
                                                      <w:divsChild>
                                                        <w:div w:id="20359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383504">
      <w:bodyDiv w:val="1"/>
      <w:marLeft w:val="0"/>
      <w:marRight w:val="0"/>
      <w:marTop w:val="0"/>
      <w:marBottom w:val="0"/>
      <w:divBdr>
        <w:top w:val="none" w:sz="0" w:space="0" w:color="auto"/>
        <w:left w:val="none" w:sz="0" w:space="0" w:color="auto"/>
        <w:bottom w:val="none" w:sz="0" w:space="0" w:color="auto"/>
        <w:right w:val="none" w:sz="0" w:space="0" w:color="auto"/>
      </w:divBdr>
    </w:div>
    <w:div w:id="910117525">
      <w:bodyDiv w:val="1"/>
      <w:marLeft w:val="0"/>
      <w:marRight w:val="0"/>
      <w:marTop w:val="0"/>
      <w:marBottom w:val="0"/>
      <w:divBdr>
        <w:top w:val="none" w:sz="0" w:space="0" w:color="auto"/>
        <w:left w:val="none" w:sz="0" w:space="0" w:color="auto"/>
        <w:bottom w:val="none" w:sz="0" w:space="0" w:color="auto"/>
        <w:right w:val="none" w:sz="0" w:space="0" w:color="auto"/>
      </w:divBdr>
    </w:div>
    <w:div w:id="939410948">
      <w:bodyDiv w:val="1"/>
      <w:marLeft w:val="0"/>
      <w:marRight w:val="0"/>
      <w:marTop w:val="0"/>
      <w:marBottom w:val="0"/>
      <w:divBdr>
        <w:top w:val="none" w:sz="0" w:space="0" w:color="auto"/>
        <w:left w:val="none" w:sz="0" w:space="0" w:color="auto"/>
        <w:bottom w:val="none" w:sz="0" w:space="0" w:color="auto"/>
        <w:right w:val="none" w:sz="0" w:space="0" w:color="auto"/>
      </w:divBdr>
      <w:divsChild>
        <w:div w:id="741224082">
          <w:marLeft w:val="0"/>
          <w:marRight w:val="0"/>
          <w:marTop w:val="0"/>
          <w:marBottom w:val="0"/>
          <w:divBdr>
            <w:top w:val="none" w:sz="0" w:space="0" w:color="auto"/>
            <w:left w:val="none" w:sz="0" w:space="0" w:color="auto"/>
            <w:bottom w:val="none" w:sz="0" w:space="0" w:color="auto"/>
            <w:right w:val="none" w:sz="0" w:space="0" w:color="auto"/>
          </w:divBdr>
          <w:divsChild>
            <w:div w:id="1284192595">
              <w:marLeft w:val="0"/>
              <w:marRight w:val="0"/>
              <w:marTop w:val="0"/>
              <w:marBottom w:val="0"/>
              <w:divBdr>
                <w:top w:val="none" w:sz="0" w:space="0" w:color="auto"/>
                <w:left w:val="none" w:sz="0" w:space="0" w:color="auto"/>
                <w:bottom w:val="none" w:sz="0" w:space="0" w:color="auto"/>
                <w:right w:val="none" w:sz="0" w:space="0" w:color="auto"/>
              </w:divBdr>
              <w:divsChild>
                <w:div w:id="748037221">
                  <w:marLeft w:val="0"/>
                  <w:marRight w:val="0"/>
                  <w:marTop w:val="0"/>
                  <w:marBottom w:val="0"/>
                  <w:divBdr>
                    <w:top w:val="none" w:sz="0" w:space="0" w:color="auto"/>
                    <w:left w:val="none" w:sz="0" w:space="0" w:color="auto"/>
                    <w:bottom w:val="none" w:sz="0" w:space="0" w:color="auto"/>
                    <w:right w:val="none" w:sz="0" w:space="0" w:color="auto"/>
                  </w:divBdr>
                  <w:divsChild>
                    <w:div w:id="663781326">
                      <w:marLeft w:val="0"/>
                      <w:marRight w:val="0"/>
                      <w:marTop w:val="0"/>
                      <w:marBottom w:val="0"/>
                      <w:divBdr>
                        <w:top w:val="none" w:sz="0" w:space="0" w:color="auto"/>
                        <w:left w:val="none" w:sz="0" w:space="0" w:color="auto"/>
                        <w:bottom w:val="none" w:sz="0" w:space="0" w:color="auto"/>
                        <w:right w:val="none" w:sz="0" w:space="0" w:color="auto"/>
                      </w:divBdr>
                      <w:divsChild>
                        <w:div w:id="1358045881">
                          <w:marLeft w:val="0"/>
                          <w:marRight w:val="0"/>
                          <w:marTop w:val="0"/>
                          <w:marBottom w:val="0"/>
                          <w:divBdr>
                            <w:top w:val="none" w:sz="0" w:space="0" w:color="auto"/>
                            <w:left w:val="none" w:sz="0" w:space="0" w:color="auto"/>
                            <w:bottom w:val="none" w:sz="0" w:space="0" w:color="auto"/>
                            <w:right w:val="none" w:sz="0" w:space="0" w:color="auto"/>
                          </w:divBdr>
                          <w:divsChild>
                            <w:div w:id="3357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260922">
      <w:bodyDiv w:val="1"/>
      <w:marLeft w:val="0"/>
      <w:marRight w:val="0"/>
      <w:marTop w:val="0"/>
      <w:marBottom w:val="0"/>
      <w:divBdr>
        <w:top w:val="none" w:sz="0" w:space="0" w:color="auto"/>
        <w:left w:val="none" w:sz="0" w:space="0" w:color="auto"/>
        <w:bottom w:val="none" w:sz="0" w:space="0" w:color="auto"/>
        <w:right w:val="none" w:sz="0" w:space="0" w:color="auto"/>
      </w:divBdr>
      <w:divsChild>
        <w:div w:id="1888567285">
          <w:marLeft w:val="0"/>
          <w:marRight w:val="0"/>
          <w:marTop w:val="0"/>
          <w:marBottom w:val="0"/>
          <w:divBdr>
            <w:top w:val="none" w:sz="0" w:space="0" w:color="auto"/>
            <w:left w:val="none" w:sz="0" w:space="0" w:color="auto"/>
            <w:bottom w:val="none" w:sz="0" w:space="0" w:color="auto"/>
            <w:right w:val="none" w:sz="0" w:space="0" w:color="auto"/>
          </w:divBdr>
          <w:divsChild>
            <w:div w:id="842084004">
              <w:marLeft w:val="0"/>
              <w:marRight w:val="0"/>
              <w:marTop w:val="0"/>
              <w:marBottom w:val="0"/>
              <w:divBdr>
                <w:top w:val="none" w:sz="0" w:space="0" w:color="auto"/>
                <w:left w:val="none" w:sz="0" w:space="0" w:color="auto"/>
                <w:bottom w:val="none" w:sz="0" w:space="0" w:color="auto"/>
                <w:right w:val="none" w:sz="0" w:space="0" w:color="auto"/>
              </w:divBdr>
              <w:divsChild>
                <w:div w:id="2056733455">
                  <w:marLeft w:val="0"/>
                  <w:marRight w:val="0"/>
                  <w:marTop w:val="0"/>
                  <w:marBottom w:val="0"/>
                  <w:divBdr>
                    <w:top w:val="none" w:sz="0" w:space="0" w:color="auto"/>
                    <w:left w:val="none" w:sz="0" w:space="0" w:color="auto"/>
                    <w:bottom w:val="none" w:sz="0" w:space="0" w:color="auto"/>
                    <w:right w:val="none" w:sz="0" w:space="0" w:color="auto"/>
                  </w:divBdr>
                  <w:divsChild>
                    <w:div w:id="849219348">
                      <w:marLeft w:val="0"/>
                      <w:marRight w:val="0"/>
                      <w:marTop w:val="0"/>
                      <w:marBottom w:val="0"/>
                      <w:divBdr>
                        <w:top w:val="none" w:sz="0" w:space="0" w:color="auto"/>
                        <w:left w:val="none" w:sz="0" w:space="0" w:color="auto"/>
                        <w:bottom w:val="none" w:sz="0" w:space="0" w:color="auto"/>
                        <w:right w:val="none" w:sz="0" w:space="0" w:color="auto"/>
                      </w:divBdr>
                      <w:divsChild>
                        <w:div w:id="1249459629">
                          <w:marLeft w:val="0"/>
                          <w:marRight w:val="0"/>
                          <w:marTop w:val="0"/>
                          <w:marBottom w:val="0"/>
                          <w:divBdr>
                            <w:top w:val="none" w:sz="0" w:space="0" w:color="auto"/>
                            <w:left w:val="none" w:sz="0" w:space="0" w:color="auto"/>
                            <w:bottom w:val="none" w:sz="0" w:space="0" w:color="auto"/>
                            <w:right w:val="none" w:sz="0" w:space="0" w:color="auto"/>
                          </w:divBdr>
                          <w:divsChild>
                            <w:div w:id="1164080381">
                              <w:marLeft w:val="0"/>
                              <w:marRight w:val="0"/>
                              <w:marTop w:val="0"/>
                              <w:marBottom w:val="0"/>
                              <w:divBdr>
                                <w:top w:val="none" w:sz="0" w:space="0" w:color="auto"/>
                                <w:left w:val="none" w:sz="0" w:space="0" w:color="auto"/>
                                <w:bottom w:val="none" w:sz="0" w:space="0" w:color="auto"/>
                                <w:right w:val="none" w:sz="0" w:space="0" w:color="auto"/>
                              </w:divBdr>
                              <w:divsChild>
                                <w:div w:id="1956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68997">
      <w:bodyDiv w:val="1"/>
      <w:marLeft w:val="0"/>
      <w:marRight w:val="0"/>
      <w:marTop w:val="0"/>
      <w:marBottom w:val="0"/>
      <w:divBdr>
        <w:top w:val="none" w:sz="0" w:space="0" w:color="auto"/>
        <w:left w:val="none" w:sz="0" w:space="0" w:color="auto"/>
        <w:bottom w:val="none" w:sz="0" w:space="0" w:color="auto"/>
        <w:right w:val="none" w:sz="0" w:space="0" w:color="auto"/>
      </w:divBdr>
      <w:divsChild>
        <w:div w:id="267544971">
          <w:marLeft w:val="288"/>
          <w:marRight w:val="0"/>
          <w:marTop w:val="154"/>
          <w:marBottom w:val="240"/>
          <w:divBdr>
            <w:top w:val="none" w:sz="0" w:space="0" w:color="auto"/>
            <w:left w:val="none" w:sz="0" w:space="0" w:color="auto"/>
            <w:bottom w:val="none" w:sz="0" w:space="0" w:color="auto"/>
            <w:right w:val="none" w:sz="0" w:space="0" w:color="auto"/>
          </w:divBdr>
        </w:div>
        <w:div w:id="351683662">
          <w:marLeft w:val="288"/>
          <w:marRight w:val="0"/>
          <w:marTop w:val="154"/>
          <w:marBottom w:val="240"/>
          <w:divBdr>
            <w:top w:val="none" w:sz="0" w:space="0" w:color="auto"/>
            <w:left w:val="none" w:sz="0" w:space="0" w:color="auto"/>
            <w:bottom w:val="none" w:sz="0" w:space="0" w:color="auto"/>
            <w:right w:val="none" w:sz="0" w:space="0" w:color="auto"/>
          </w:divBdr>
        </w:div>
        <w:div w:id="1045105933">
          <w:marLeft w:val="288"/>
          <w:marRight w:val="0"/>
          <w:marTop w:val="154"/>
          <w:marBottom w:val="240"/>
          <w:divBdr>
            <w:top w:val="none" w:sz="0" w:space="0" w:color="auto"/>
            <w:left w:val="none" w:sz="0" w:space="0" w:color="auto"/>
            <w:bottom w:val="none" w:sz="0" w:space="0" w:color="auto"/>
            <w:right w:val="none" w:sz="0" w:space="0" w:color="auto"/>
          </w:divBdr>
        </w:div>
      </w:divsChild>
    </w:div>
    <w:div w:id="1064374306">
      <w:bodyDiv w:val="1"/>
      <w:marLeft w:val="0"/>
      <w:marRight w:val="0"/>
      <w:marTop w:val="0"/>
      <w:marBottom w:val="0"/>
      <w:divBdr>
        <w:top w:val="none" w:sz="0" w:space="0" w:color="auto"/>
        <w:left w:val="none" w:sz="0" w:space="0" w:color="auto"/>
        <w:bottom w:val="none" w:sz="0" w:space="0" w:color="auto"/>
        <w:right w:val="none" w:sz="0" w:space="0" w:color="auto"/>
      </w:divBdr>
    </w:div>
    <w:div w:id="1074887998">
      <w:bodyDiv w:val="1"/>
      <w:marLeft w:val="0"/>
      <w:marRight w:val="0"/>
      <w:marTop w:val="0"/>
      <w:marBottom w:val="0"/>
      <w:divBdr>
        <w:top w:val="none" w:sz="0" w:space="0" w:color="auto"/>
        <w:left w:val="none" w:sz="0" w:space="0" w:color="auto"/>
        <w:bottom w:val="none" w:sz="0" w:space="0" w:color="auto"/>
        <w:right w:val="none" w:sz="0" w:space="0" w:color="auto"/>
      </w:divBdr>
    </w:div>
    <w:div w:id="1088506422">
      <w:bodyDiv w:val="1"/>
      <w:marLeft w:val="0"/>
      <w:marRight w:val="0"/>
      <w:marTop w:val="0"/>
      <w:marBottom w:val="0"/>
      <w:divBdr>
        <w:top w:val="none" w:sz="0" w:space="0" w:color="auto"/>
        <w:left w:val="none" w:sz="0" w:space="0" w:color="auto"/>
        <w:bottom w:val="none" w:sz="0" w:space="0" w:color="auto"/>
        <w:right w:val="none" w:sz="0" w:space="0" w:color="auto"/>
      </w:divBdr>
      <w:divsChild>
        <w:div w:id="1756510195">
          <w:marLeft w:val="288"/>
          <w:marRight w:val="0"/>
          <w:marTop w:val="144"/>
          <w:marBottom w:val="240"/>
          <w:divBdr>
            <w:top w:val="none" w:sz="0" w:space="0" w:color="auto"/>
            <w:left w:val="none" w:sz="0" w:space="0" w:color="auto"/>
            <w:bottom w:val="none" w:sz="0" w:space="0" w:color="auto"/>
            <w:right w:val="none" w:sz="0" w:space="0" w:color="auto"/>
          </w:divBdr>
        </w:div>
        <w:div w:id="2102024205">
          <w:marLeft w:val="288"/>
          <w:marRight w:val="0"/>
          <w:marTop w:val="144"/>
          <w:marBottom w:val="240"/>
          <w:divBdr>
            <w:top w:val="none" w:sz="0" w:space="0" w:color="auto"/>
            <w:left w:val="none" w:sz="0" w:space="0" w:color="auto"/>
            <w:bottom w:val="none" w:sz="0" w:space="0" w:color="auto"/>
            <w:right w:val="none" w:sz="0" w:space="0" w:color="auto"/>
          </w:divBdr>
        </w:div>
        <w:div w:id="274145190">
          <w:marLeft w:val="288"/>
          <w:marRight w:val="0"/>
          <w:marTop w:val="144"/>
          <w:marBottom w:val="240"/>
          <w:divBdr>
            <w:top w:val="none" w:sz="0" w:space="0" w:color="auto"/>
            <w:left w:val="none" w:sz="0" w:space="0" w:color="auto"/>
            <w:bottom w:val="none" w:sz="0" w:space="0" w:color="auto"/>
            <w:right w:val="none" w:sz="0" w:space="0" w:color="auto"/>
          </w:divBdr>
        </w:div>
      </w:divsChild>
    </w:div>
    <w:div w:id="1193498039">
      <w:bodyDiv w:val="1"/>
      <w:marLeft w:val="0"/>
      <w:marRight w:val="0"/>
      <w:marTop w:val="0"/>
      <w:marBottom w:val="0"/>
      <w:divBdr>
        <w:top w:val="none" w:sz="0" w:space="0" w:color="auto"/>
        <w:left w:val="none" w:sz="0" w:space="0" w:color="auto"/>
        <w:bottom w:val="none" w:sz="0" w:space="0" w:color="auto"/>
        <w:right w:val="none" w:sz="0" w:space="0" w:color="auto"/>
      </w:divBdr>
    </w:div>
    <w:div w:id="1193617840">
      <w:bodyDiv w:val="1"/>
      <w:marLeft w:val="0"/>
      <w:marRight w:val="0"/>
      <w:marTop w:val="0"/>
      <w:marBottom w:val="0"/>
      <w:divBdr>
        <w:top w:val="none" w:sz="0" w:space="0" w:color="auto"/>
        <w:left w:val="none" w:sz="0" w:space="0" w:color="auto"/>
        <w:bottom w:val="none" w:sz="0" w:space="0" w:color="auto"/>
        <w:right w:val="none" w:sz="0" w:space="0" w:color="auto"/>
      </w:divBdr>
      <w:divsChild>
        <w:div w:id="153569117">
          <w:marLeft w:val="0"/>
          <w:marRight w:val="0"/>
          <w:marTop w:val="0"/>
          <w:marBottom w:val="0"/>
          <w:divBdr>
            <w:top w:val="none" w:sz="0" w:space="0" w:color="auto"/>
            <w:left w:val="none" w:sz="0" w:space="0" w:color="auto"/>
            <w:bottom w:val="none" w:sz="0" w:space="0" w:color="auto"/>
            <w:right w:val="none" w:sz="0" w:space="0" w:color="auto"/>
          </w:divBdr>
          <w:divsChild>
            <w:div w:id="1921063127">
              <w:marLeft w:val="0"/>
              <w:marRight w:val="0"/>
              <w:marTop w:val="0"/>
              <w:marBottom w:val="0"/>
              <w:divBdr>
                <w:top w:val="none" w:sz="0" w:space="0" w:color="auto"/>
                <w:left w:val="none" w:sz="0" w:space="0" w:color="auto"/>
                <w:bottom w:val="none" w:sz="0" w:space="0" w:color="auto"/>
                <w:right w:val="none" w:sz="0" w:space="0" w:color="auto"/>
              </w:divBdr>
              <w:divsChild>
                <w:div w:id="1332638554">
                  <w:marLeft w:val="0"/>
                  <w:marRight w:val="0"/>
                  <w:marTop w:val="0"/>
                  <w:marBottom w:val="0"/>
                  <w:divBdr>
                    <w:top w:val="none" w:sz="0" w:space="0" w:color="auto"/>
                    <w:left w:val="none" w:sz="0" w:space="0" w:color="auto"/>
                    <w:bottom w:val="none" w:sz="0" w:space="0" w:color="auto"/>
                    <w:right w:val="none" w:sz="0" w:space="0" w:color="auto"/>
                  </w:divBdr>
                  <w:divsChild>
                    <w:div w:id="311911807">
                      <w:marLeft w:val="0"/>
                      <w:marRight w:val="0"/>
                      <w:marTop w:val="0"/>
                      <w:marBottom w:val="0"/>
                      <w:divBdr>
                        <w:top w:val="none" w:sz="0" w:space="0" w:color="auto"/>
                        <w:left w:val="none" w:sz="0" w:space="0" w:color="auto"/>
                        <w:bottom w:val="none" w:sz="0" w:space="0" w:color="auto"/>
                        <w:right w:val="none" w:sz="0" w:space="0" w:color="auto"/>
                      </w:divBdr>
                      <w:divsChild>
                        <w:div w:id="1656107949">
                          <w:marLeft w:val="0"/>
                          <w:marRight w:val="0"/>
                          <w:marTop w:val="0"/>
                          <w:marBottom w:val="0"/>
                          <w:divBdr>
                            <w:top w:val="none" w:sz="0" w:space="0" w:color="auto"/>
                            <w:left w:val="none" w:sz="0" w:space="0" w:color="auto"/>
                            <w:bottom w:val="none" w:sz="0" w:space="0" w:color="auto"/>
                            <w:right w:val="none" w:sz="0" w:space="0" w:color="auto"/>
                          </w:divBdr>
                          <w:divsChild>
                            <w:div w:id="20663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91">
      <w:bodyDiv w:val="1"/>
      <w:marLeft w:val="0"/>
      <w:marRight w:val="0"/>
      <w:marTop w:val="0"/>
      <w:marBottom w:val="0"/>
      <w:divBdr>
        <w:top w:val="none" w:sz="0" w:space="0" w:color="auto"/>
        <w:left w:val="none" w:sz="0" w:space="0" w:color="auto"/>
        <w:bottom w:val="none" w:sz="0" w:space="0" w:color="auto"/>
        <w:right w:val="none" w:sz="0" w:space="0" w:color="auto"/>
      </w:divBdr>
    </w:div>
    <w:div w:id="1499495335">
      <w:bodyDiv w:val="1"/>
      <w:marLeft w:val="0"/>
      <w:marRight w:val="0"/>
      <w:marTop w:val="0"/>
      <w:marBottom w:val="0"/>
      <w:divBdr>
        <w:top w:val="none" w:sz="0" w:space="0" w:color="auto"/>
        <w:left w:val="none" w:sz="0" w:space="0" w:color="auto"/>
        <w:bottom w:val="none" w:sz="0" w:space="0" w:color="auto"/>
        <w:right w:val="none" w:sz="0" w:space="0" w:color="auto"/>
      </w:divBdr>
      <w:divsChild>
        <w:div w:id="1659380681">
          <w:marLeft w:val="0"/>
          <w:marRight w:val="0"/>
          <w:marTop w:val="0"/>
          <w:marBottom w:val="0"/>
          <w:divBdr>
            <w:top w:val="none" w:sz="0" w:space="0" w:color="auto"/>
            <w:left w:val="none" w:sz="0" w:space="0" w:color="auto"/>
            <w:bottom w:val="none" w:sz="0" w:space="0" w:color="auto"/>
            <w:right w:val="none" w:sz="0" w:space="0" w:color="auto"/>
          </w:divBdr>
          <w:divsChild>
            <w:div w:id="1264874183">
              <w:marLeft w:val="0"/>
              <w:marRight w:val="0"/>
              <w:marTop w:val="0"/>
              <w:marBottom w:val="0"/>
              <w:divBdr>
                <w:top w:val="none" w:sz="0" w:space="0" w:color="auto"/>
                <w:left w:val="none" w:sz="0" w:space="0" w:color="auto"/>
                <w:bottom w:val="none" w:sz="0" w:space="0" w:color="auto"/>
                <w:right w:val="none" w:sz="0" w:space="0" w:color="auto"/>
              </w:divBdr>
              <w:divsChild>
                <w:div w:id="177696124">
                  <w:marLeft w:val="0"/>
                  <w:marRight w:val="0"/>
                  <w:marTop w:val="0"/>
                  <w:marBottom w:val="0"/>
                  <w:divBdr>
                    <w:top w:val="none" w:sz="0" w:space="0" w:color="auto"/>
                    <w:left w:val="none" w:sz="0" w:space="0" w:color="auto"/>
                    <w:bottom w:val="none" w:sz="0" w:space="0" w:color="auto"/>
                    <w:right w:val="none" w:sz="0" w:space="0" w:color="auto"/>
                  </w:divBdr>
                  <w:divsChild>
                    <w:div w:id="781463068">
                      <w:marLeft w:val="-225"/>
                      <w:marRight w:val="-225"/>
                      <w:marTop w:val="0"/>
                      <w:marBottom w:val="0"/>
                      <w:divBdr>
                        <w:top w:val="none" w:sz="0" w:space="0" w:color="auto"/>
                        <w:left w:val="none" w:sz="0" w:space="0" w:color="auto"/>
                        <w:bottom w:val="none" w:sz="0" w:space="0" w:color="auto"/>
                        <w:right w:val="none" w:sz="0" w:space="0" w:color="auto"/>
                      </w:divBdr>
                      <w:divsChild>
                        <w:div w:id="989600464">
                          <w:marLeft w:val="0"/>
                          <w:marRight w:val="0"/>
                          <w:marTop w:val="0"/>
                          <w:marBottom w:val="0"/>
                          <w:divBdr>
                            <w:top w:val="none" w:sz="0" w:space="0" w:color="auto"/>
                            <w:left w:val="none" w:sz="0" w:space="0" w:color="auto"/>
                            <w:bottom w:val="none" w:sz="0" w:space="0" w:color="auto"/>
                            <w:right w:val="none" w:sz="0" w:space="0" w:color="auto"/>
                          </w:divBdr>
                          <w:divsChild>
                            <w:div w:id="801970890">
                              <w:marLeft w:val="0"/>
                              <w:marRight w:val="0"/>
                              <w:marTop w:val="0"/>
                              <w:marBottom w:val="0"/>
                              <w:divBdr>
                                <w:top w:val="none" w:sz="0" w:space="0" w:color="auto"/>
                                <w:left w:val="none" w:sz="0" w:space="0" w:color="auto"/>
                                <w:bottom w:val="none" w:sz="0" w:space="0" w:color="auto"/>
                                <w:right w:val="none" w:sz="0" w:space="0" w:color="auto"/>
                              </w:divBdr>
                              <w:divsChild>
                                <w:div w:id="742801457">
                                  <w:marLeft w:val="0"/>
                                  <w:marRight w:val="0"/>
                                  <w:marTop w:val="0"/>
                                  <w:marBottom w:val="0"/>
                                  <w:divBdr>
                                    <w:top w:val="none" w:sz="0" w:space="0" w:color="auto"/>
                                    <w:left w:val="none" w:sz="0" w:space="0" w:color="auto"/>
                                    <w:bottom w:val="none" w:sz="0" w:space="0" w:color="auto"/>
                                    <w:right w:val="none" w:sz="0" w:space="0" w:color="auto"/>
                                  </w:divBdr>
                                  <w:divsChild>
                                    <w:div w:id="425618597">
                                      <w:marLeft w:val="0"/>
                                      <w:marRight w:val="0"/>
                                      <w:marTop w:val="0"/>
                                      <w:marBottom w:val="0"/>
                                      <w:divBdr>
                                        <w:top w:val="none" w:sz="0" w:space="0" w:color="auto"/>
                                        <w:left w:val="none" w:sz="0" w:space="0" w:color="auto"/>
                                        <w:bottom w:val="none" w:sz="0" w:space="0" w:color="auto"/>
                                        <w:right w:val="none" w:sz="0" w:space="0" w:color="auto"/>
                                      </w:divBdr>
                                      <w:divsChild>
                                        <w:div w:id="1485777353">
                                          <w:marLeft w:val="0"/>
                                          <w:marRight w:val="0"/>
                                          <w:marTop w:val="0"/>
                                          <w:marBottom w:val="0"/>
                                          <w:divBdr>
                                            <w:top w:val="none" w:sz="0" w:space="0" w:color="auto"/>
                                            <w:left w:val="none" w:sz="0" w:space="0" w:color="auto"/>
                                            <w:bottom w:val="none" w:sz="0" w:space="0" w:color="auto"/>
                                            <w:right w:val="none" w:sz="0" w:space="0" w:color="auto"/>
                                          </w:divBdr>
                                          <w:divsChild>
                                            <w:div w:id="1252854777">
                                              <w:marLeft w:val="0"/>
                                              <w:marRight w:val="0"/>
                                              <w:marTop w:val="0"/>
                                              <w:marBottom w:val="0"/>
                                              <w:divBdr>
                                                <w:top w:val="none" w:sz="0" w:space="0" w:color="auto"/>
                                                <w:left w:val="none" w:sz="0" w:space="0" w:color="auto"/>
                                                <w:bottom w:val="none" w:sz="0" w:space="0" w:color="auto"/>
                                                <w:right w:val="none" w:sz="0" w:space="0" w:color="auto"/>
                                              </w:divBdr>
                                              <w:divsChild>
                                                <w:div w:id="829058628">
                                                  <w:marLeft w:val="0"/>
                                                  <w:marRight w:val="0"/>
                                                  <w:marTop w:val="0"/>
                                                  <w:marBottom w:val="0"/>
                                                  <w:divBdr>
                                                    <w:top w:val="none" w:sz="0" w:space="0" w:color="auto"/>
                                                    <w:left w:val="none" w:sz="0" w:space="0" w:color="auto"/>
                                                    <w:bottom w:val="none" w:sz="0" w:space="0" w:color="auto"/>
                                                    <w:right w:val="none" w:sz="0" w:space="0" w:color="auto"/>
                                                  </w:divBdr>
                                                  <w:divsChild>
                                                    <w:div w:id="451755073">
                                                      <w:marLeft w:val="0"/>
                                                      <w:marRight w:val="0"/>
                                                      <w:marTop w:val="0"/>
                                                      <w:marBottom w:val="0"/>
                                                      <w:divBdr>
                                                        <w:top w:val="none" w:sz="0" w:space="0" w:color="auto"/>
                                                        <w:left w:val="none" w:sz="0" w:space="0" w:color="auto"/>
                                                        <w:bottom w:val="none" w:sz="0" w:space="0" w:color="auto"/>
                                                        <w:right w:val="none" w:sz="0" w:space="0" w:color="auto"/>
                                                      </w:divBdr>
                                                      <w:divsChild>
                                                        <w:div w:id="1875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841104">
      <w:bodyDiv w:val="1"/>
      <w:marLeft w:val="0"/>
      <w:marRight w:val="0"/>
      <w:marTop w:val="0"/>
      <w:marBottom w:val="0"/>
      <w:divBdr>
        <w:top w:val="none" w:sz="0" w:space="0" w:color="auto"/>
        <w:left w:val="none" w:sz="0" w:space="0" w:color="auto"/>
        <w:bottom w:val="none" w:sz="0" w:space="0" w:color="auto"/>
        <w:right w:val="none" w:sz="0" w:space="0" w:color="auto"/>
      </w:divBdr>
      <w:divsChild>
        <w:div w:id="1351443836">
          <w:marLeft w:val="288"/>
          <w:marRight w:val="0"/>
          <w:marTop w:val="115"/>
          <w:marBottom w:val="240"/>
          <w:divBdr>
            <w:top w:val="none" w:sz="0" w:space="0" w:color="auto"/>
            <w:left w:val="none" w:sz="0" w:space="0" w:color="auto"/>
            <w:bottom w:val="none" w:sz="0" w:space="0" w:color="auto"/>
            <w:right w:val="none" w:sz="0" w:space="0" w:color="auto"/>
          </w:divBdr>
        </w:div>
        <w:div w:id="2025400683">
          <w:marLeft w:val="288"/>
          <w:marRight w:val="0"/>
          <w:marTop w:val="115"/>
          <w:marBottom w:val="240"/>
          <w:divBdr>
            <w:top w:val="none" w:sz="0" w:space="0" w:color="auto"/>
            <w:left w:val="none" w:sz="0" w:space="0" w:color="auto"/>
            <w:bottom w:val="none" w:sz="0" w:space="0" w:color="auto"/>
            <w:right w:val="none" w:sz="0" w:space="0" w:color="auto"/>
          </w:divBdr>
        </w:div>
        <w:div w:id="670332768">
          <w:marLeft w:val="720"/>
          <w:marRight w:val="0"/>
          <w:marTop w:val="115"/>
          <w:marBottom w:val="240"/>
          <w:divBdr>
            <w:top w:val="none" w:sz="0" w:space="0" w:color="auto"/>
            <w:left w:val="none" w:sz="0" w:space="0" w:color="auto"/>
            <w:bottom w:val="none" w:sz="0" w:space="0" w:color="auto"/>
            <w:right w:val="none" w:sz="0" w:space="0" w:color="auto"/>
          </w:divBdr>
        </w:div>
        <w:div w:id="1192181166">
          <w:marLeft w:val="288"/>
          <w:marRight w:val="0"/>
          <w:marTop w:val="115"/>
          <w:marBottom w:val="240"/>
          <w:divBdr>
            <w:top w:val="none" w:sz="0" w:space="0" w:color="auto"/>
            <w:left w:val="none" w:sz="0" w:space="0" w:color="auto"/>
            <w:bottom w:val="none" w:sz="0" w:space="0" w:color="auto"/>
            <w:right w:val="none" w:sz="0" w:space="0" w:color="auto"/>
          </w:divBdr>
        </w:div>
        <w:div w:id="294409858">
          <w:marLeft w:val="720"/>
          <w:marRight w:val="0"/>
          <w:marTop w:val="115"/>
          <w:marBottom w:val="240"/>
          <w:divBdr>
            <w:top w:val="none" w:sz="0" w:space="0" w:color="auto"/>
            <w:left w:val="none" w:sz="0" w:space="0" w:color="auto"/>
            <w:bottom w:val="none" w:sz="0" w:space="0" w:color="auto"/>
            <w:right w:val="none" w:sz="0" w:space="0" w:color="auto"/>
          </w:divBdr>
        </w:div>
      </w:divsChild>
    </w:div>
    <w:div w:id="1546987363">
      <w:bodyDiv w:val="1"/>
      <w:marLeft w:val="0"/>
      <w:marRight w:val="0"/>
      <w:marTop w:val="0"/>
      <w:marBottom w:val="0"/>
      <w:divBdr>
        <w:top w:val="none" w:sz="0" w:space="0" w:color="auto"/>
        <w:left w:val="none" w:sz="0" w:space="0" w:color="auto"/>
        <w:bottom w:val="none" w:sz="0" w:space="0" w:color="auto"/>
        <w:right w:val="none" w:sz="0" w:space="0" w:color="auto"/>
      </w:divBdr>
    </w:div>
    <w:div w:id="1749695052">
      <w:bodyDiv w:val="1"/>
      <w:marLeft w:val="0"/>
      <w:marRight w:val="0"/>
      <w:marTop w:val="0"/>
      <w:marBottom w:val="0"/>
      <w:divBdr>
        <w:top w:val="none" w:sz="0" w:space="0" w:color="auto"/>
        <w:left w:val="none" w:sz="0" w:space="0" w:color="auto"/>
        <w:bottom w:val="none" w:sz="0" w:space="0" w:color="auto"/>
        <w:right w:val="none" w:sz="0" w:space="0" w:color="auto"/>
      </w:divBdr>
      <w:divsChild>
        <w:div w:id="1905409585">
          <w:marLeft w:val="0"/>
          <w:marRight w:val="0"/>
          <w:marTop w:val="0"/>
          <w:marBottom w:val="0"/>
          <w:divBdr>
            <w:top w:val="none" w:sz="0" w:space="0" w:color="auto"/>
            <w:left w:val="none" w:sz="0" w:space="0" w:color="auto"/>
            <w:bottom w:val="none" w:sz="0" w:space="0" w:color="auto"/>
            <w:right w:val="none" w:sz="0" w:space="0" w:color="auto"/>
          </w:divBdr>
          <w:divsChild>
            <w:div w:id="1422486919">
              <w:marLeft w:val="0"/>
              <w:marRight w:val="0"/>
              <w:marTop w:val="0"/>
              <w:marBottom w:val="0"/>
              <w:divBdr>
                <w:top w:val="none" w:sz="0" w:space="0" w:color="auto"/>
                <w:left w:val="none" w:sz="0" w:space="0" w:color="auto"/>
                <w:bottom w:val="none" w:sz="0" w:space="0" w:color="auto"/>
                <w:right w:val="none" w:sz="0" w:space="0" w:color="auto"/>
              </w:divBdr>
              <w:divsChild>
                <w:div w:id="1456633453">
                  <w:marLeft w:val="0"/>
                  <w:marRight w:val="0"/>
                  <w:marTop w:val="0"/>
                  <w:marBottom w:val="0"/>
                  <w:divBdr>
                    <w:top w:val="none" w:sz="0" w:space="0" w:color="auto"/>
                    <w:left w:val="none" w:sz="0" w:space="0" w:color="auto"/>
                    <w:bottom w:val="none" w:sz="0" w:space="0" w:color="auto"/>
                    <w:right w:val="none" w:sz="0" w:space="0" w:color="auto"/>
                  </w:divBdr>
                  <w:divsChild>
                    <w:div w:id="972758043">
                      <w:marLeft w:val="-225"/>
                      <w:marRight w:val="-225"/>
                      <w:marTop w:val="0"/>
                      <w:marBottom w:val="0"/>
                      <w:divBdr>
                        <w:top w:val="none" w:sz="0" w:space="0" w:color="auto"/>
                        <w:left w:val="none" w:sz="0" w:space="0" w:color="auto"/>
                        <w:bottom w:val="none" w:sz="0" w:space="0" w:color="auto"/>
                        <w:right w:val="none" w:sz="0" w:space="0" w:color="auto"/>
                      </w:divBdr>
                      <w:divsChild>
                        <w:div w:id="400058537">
                          <w:marLeft w:val="0"/>
                          <w:marRight w:val="0"/>
                          <w:marTop w:val="0"/>
                          <w:marBottom w:val="0"/>
                          <w:divBdr>
                            <w:top w:val="none" w:sz="0" w:space="0" w:color="auto"/>
                            <w:left w:val="none" w:sz="0" w:space="0" w:color="auto"/>
                            <w:bottom w:val="none" w:sz="0" w:space="0" w:color="auto"/>
                            <w:right w:val="none" w:sz="0" w:space="0" w:color="auto"/>
                          </w:divBdr>
                          <w:divsChild>
                            <w:div w:id="316960022">
                              <w:marLeft w:val="0"/>
                              <w:marRight w:val="0"/>
                              <w:marTop w:val="0"/>
                              <w:marBottom w:val="0"/>
                              <w:divBdr>
                                <w:top w:val="none" w:sz="0" w:space="0" w:color="auto"/>
                                <w:left w:val="none" w:sz="0" w:space="0" w:color="auto"/>
                                <w:bottom w:val="none" w:sz="0" w:space="0" w:color="auto"/>
                                <w:right w:val="none" w:sz="0" w:space="0" w:color="auto"/>
                              </w:divBdr>
                              <w:divsChild>
                                <w:div w:id="314729012">
                                  <w:marLeft w:val="0"/>
                                  <w:marRight w:val="0"/>
                                  <w:marTop w:val="0"/>
                                  <w:marBottom w:val="0"/>
                                  <w:divBdr>
                                    <w:top w:val="none" w:sz="0" w:space="0" w:color="auto"/>
                                    <w:left w:val="none" w:sz="0" w:space="0" w:color="auto"/>
                                    <w:bottom w:val="none" w:sz="0" w:space="0" w:color="auto"/>
                                    <w:right w:val="none" w:sz="0" w:space="0" w:color="auto"/>
                                  </w:divBdr>
                                  <w:divsChild>
                                    <w:div w:id="729183928">
                                      <w:marLeft w:val="0"/>
                                      <w:marRight w:val="0"/>
                                      <w:marTop w:val="0"/>
                                      <w:marBottom w:val="0"/>
                                      <w:divBdr>
                                        <w:top w:val="none" w:sz="0" w:space="0" w:color="auto"/>
                                        <w:left w:val="none" w:sz="0" w:space="0" w:color="auto"/>
                                        <w:bottom w:val="none" w:sz="0" w:space="0" w:color="auto"/>
                                        <w:right w:val="none" w:sz="0" w:space="0" w:color="auto"/>
                                      </w:divBdr>
                                      <w:divsChild>
                                        <w:div w:id="1206330558">
                                          <w:marLeft w:val="0"/>
                                          <w:marRight w:val="0"/>
                                          <w:marTop w:val="0"/>
                                          <w:marBottom w:val="0"/>
                                          <w:divBdr>
                                            <w:top w:val="none" w:sz="0" w:space="0" w:color="auto"/>
                                            <w:left w:val="none" w:sz="0" w:space="0" w:color="auto"/>
                                            <w:bottom w:val="none" w:sz="0" w:space="0" w:color="auto"/>
                                            <w:right w:val="none" w:sz="0" w:space="0" w:color="auto"/>
                                          </w:divBdr>
                                          <w:divsChild>
                                            <w:div w:id="404649757">
                                              <w:marLeft w:val="0"/>
                                              <w:marRight w:val="0"/>
                                              <w:marTop w:val="0"/>
                                              <w:marBottom w:val="0"/>
                                              <w:divBdr>
                                                <w:top w:val="none" w:sz="0" w:space="0" w:color="auto"/>
                                                <w:left w:val="none" w:sz="0" w:space="0" w:color="auto"/>
                                                <w:bottom w:val="none" w:sz="0" w:space="0" w:color="auto"/>
                                                <w:right w:val="none" w:sz="0" w:space="0" w:color="auto"/>
                                              </w:divBdr>
                                              <w:divsChild>
                                                <w:div w:id="1272860845">
                                                  <w:marLeft w:val="0"/>
                                                  <w:marRight w:val="0"/>
                                                  <w:marTop w:val="0"/>
                                                  <w:marBottom w:val="0"/>
                                                  <w:divBdr>
                                                    <w:top w:val="none" w:sz="0" w:space="0" w:color="auto"/>
                                                    <w:left w:val="none" w:sz="0" w:space="0" w:color="auto"/>
                                                    <w:bottom w:val="none" w:sz="0" w:space="0" w:color="auto"/>
                                                    <w:right w:val="none" w:sz="0" w:space="0" w:color="auto"/>
                                                  </w:divBdr>
                                                  <w:divsChild>
                                                    <w:div w:id="1447458256">
                                                      <w:marLeft w:val="0"/>
                                                      <w:marRight w:val="0"/>
                                                      <w:marTop w:val="0"/>
                                                      <w:marBottom w:val="0"/>
                                                      <w:divBdr>
                                                        <w:top w:val="none" w:sz="0" w:space="0" w:color="auto"/>
                                                        <w:left w:val="none" w:sz="0" w:space="0" w:color="auto"/>
                                                        <w:bottom w:val="none" w:sz="0" w:space="0" w:color="auto"/>
                                                        <w:right w:val="none" w:sz="0" w:space="0" w:color="auto"/>
                                                      </w:divBdr>
                                                      <w:divsChild>
                                                        <w:div w:id="17854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2966261">
      <w:bodyDiv w:val="1"/>
      <w:marLeft w:val="0"/>
      <w:marRight w:val="0"/>
      <w:marTop w:val="0"/>
      <w:marBottom w:val="0"/>
      <w:divBdr>
        <w:top w:val="none" w:sz="0" w:space="0" w:color="auto"/>
        <w:left w:val="none" w:sz="0" w:space="0" w:color="auto"/>
        <w:bottom w:val="none" w:sz="0" w:space="0" w:color="auto"/>
        <w:right w:val="none" w:sz="0" w:space="0" w:color="auto"/>
      </w:divBdr>
    </w:div>
    <w:div w:id="1841463020">
      <w:bodyDiv w:val="1"/>
      <w:marLeft w:val="0"/>
      <w:marRight w:val="0"/>
      <w:marTop w:val="0"/>
      <w:marBottom w:val="0"/>
      <w:divBdr>
        <w:top w:val="none" w:sz="0" w:space="0" w:color="auto"/>
        <w:left w:val="none" w:sz="0" w:space="0" w:color="auto"/>
        <w:bottom w:val="none" w:sz="0" w:space="0" w:color="auto"/>
        <w:right w:val="none" w:sz="0" w:space="0" w:color="auto"/>
      </w:divBdr>
      <w:divsChild>
        <w:div w:id="1056468004">
          <w:marLeft w:val="288"/>
          <w:marRight w:val="0"/>
          <w:marTop w:val="134"/>
          <w:marBottom w:val="240"/>
          <w:divBdr>
            <w:top w:val="none" w:sz="0" w:space="0" w:color="auto"/>
            <w:left w:val="none" w:sz="0" w:space="0" w:color="auto"/>
            <w:bottom w:val="none" w:sz="0" w:space="0" w:color="auto"/>
            <w:right w:val="none" w:sz="0" w:space="0" w:color="auto"/>
          </w:divBdr>
        </w:div>
        <w:div w:id="601494472">
          <w:marLeft w:val="288"/>
          <w:marRight w:val="0"/>
          <w:marTop w:val="134"/>
          <w:marBottom w:val="240"/>
          <w:divBdr>
            <w:top w:val="none" w:sz="0" w:space="0" w:color="auto"/>
            <w:left w:val="none" w:sz="0" w:space="0" w:color="auto"/>
            <w:bottom w:val="none" w:sz="0" w:space="0" w:color="auto"/>
            <w:right w:val="none" w:sz="0" w:space="0" w:color="auto"/>
          </w:divBdr>
        </w:div>
        <w:div w:id="11806786">
          <w:marLeft w:val="288"/>
          <w:marRight w:val="0"/>
          <w:marTop w:val="134"/>
          <w:marBottom w:val="240"/>
          <w:divBdr>
            <w:top w:val="none" w:sz="0" w:space="0" w:color="auto"/>
            <w:left w:val="none" w:sz="0" w:space="0" w:color="auto"/>
            <w:bottom w:val="none" w:sz="0" w:space="0" w:color="auto"/>
            <w:right w:val="none" w:sz="0" w:space="0" w:color="auto"/>
          </w:divBdr>
        </w:div>
        <w:div w:id="173810711">
          <w:marLeft w:val="288"/>
          <w:marRight w:val="0"/>
          <w:marTop w:val="134"/>
          <w:marBottom w:val="240"/>
          <w:divBdr>
            <w:top w:val="none" w:sz="0" w:space="0" w:color="auto"/>
            <w:left w:val="none" w:sz="0" w:space="0" w:color="auto"/>
            <w:bottom w:val="none" w:sz="0" w:space="0" w:color="auto"/>
            <w:right w:val="none" w:sz="0" w:space="0" w:color="auto"/>
          </w:divBdr>
        </w:div>
        <w:div w:id="1105921344">
          <w:marLeft w:val="288"/>
          <w:marRight w:val="0"/>
          <w:marTop w:val="134"/>
          <w:marBottom w:val="240"/>
          <w:divBdr>
            <w:top w:val="none" w:sz="0" w:space="0" w:color="auto"/>
            <w:left w:val="none" w:sz="0" w:space="0" w:color="auto"/>
            <w:bottom w:val="none" w:sz="0" w:space="0" w:color="auto"/>
            <w:right w:val="none" w:sz="0" w:space="0" w:color="auto"/>
          </w:divBdr>
        </w:div>
      </w:divsChild>
    </w:div>
    <w:div w:id="1903517183">
      <w:bodyDiv w:val="1"/>
      <w:marLeft w:val="0"/>
      <w:marRight w:val="0"/>
      <w:marTop w:val="0"/>
      <w:marBottom w:val="0"/>
      <w:divBdr>
        <w:top w:val="none" w:sz="0" w:space="0" w:color="auto"/>
        <w:left w:val="none" w:sz="0" w:space="0" w:color="auto"/>
        <w:bottom w:val="none" w:sz="0" w:space="0" w:color="auto"/>
        <w:right w:val="none" w:sz="0" w:space="0" w:color="auto"/>
      </w:divBdr>
      <w:divsChild>
        <w:div w:id="1877616262">
          <w:marLeft w:val="0"/>
          <w:marRight w:val="0"/>
          <w:marTop w:val="0"/>
          <w:marBottom w:val="0"/>
          <w:divBdr>
            <w:top w:val="none" w:sz="0" w:space="0" w:color="auto"/>
            <w:left w:val="none" w:sz="0" w:space="0" w:color="auto"/>
            <w:bottom w:val="none" w:sz="0" w:space="0" w:color="auto"/>
            <w:right w:val="none" w:sz="0" w:space="0" w:color="auto"/>
          </w:divBdr>
          <w:divsChild>
            <w:div w:id="1030569351">
              <w:marLeft w:val="0"/>
              <w:marRight w:val="0"/>
              <w:marTop w:val="0"/>
              <w:marBottom w:val="0"/>
              <w:divBdr>
                <w:top w:val="none" w:sz="0" w:space="0" w:color="auto"/>
                <w:left w:val="none" w:sz="0" w:space="0" w:color="auto"/>
                <w:bottom w:val="none" w:sz="0" w:space="0" w:color="auto"/>
                <w:right w:val="none" w:sz="0" w:space="0" w:color="auto"/>
              </w:divBdr>
              <w:divsChild>
                <w:div w:id="1706831743">
                  <w:marLeft w:val="0"/>
                  <w:marRight w:val="0"/>
                  <w:marTop w:val="0"/>
                  <w:marBottom w:val="0"/>
                  <w:divBdr>
                    <w:top w:val="none" w:sz="0" w:space="0" w:color="auto"/>
                    <w:left w:val="none" w:sz="0" w:space="0" w:color="auto"/>
                    <w:bottom w:val="none" w:sz="0" w:space="0" w:color="auto"/>
                    <w:right w:val="none" w:sz="0" w:space="0" w:color="auto"/>
                  </w:divBdr>
                  <w:divsChild>
                    <w:div w:id="470900879">
                      <w:marLeft w:val="-225"/>
                      <w:marRight w:val="-225"/>
                      <w:marTop w:val="0"/>
                      <w:marBottom w:val="0"/>
                      <w:divBdr>
                        <w:top w:val="none" w:sz="0" w:space="0" w:color="auto"/>
                        <w:left w:val="none" w:sz="0" w:space="0" w:color="auto"/>
                        <w:bottom w:val="none" w:sz="0" w:space="0" w:color="auto"/>
                        <w:right w:val="none" w:sz="0" w:space="0" w:color="auto"/>
                      </w:divBdr>
                      <w:divsChild>
                        <w:div w:id="1775392831">
                          <w:marLeft w:val="0"/>
                          <w:marRight w:val="0"/>
                          <w:marTop w:val="0"/>
                          <w:marBottom w:val="0"/>
                          <w:divBdr>
                            <w:top w:val="none" w:sz="0" w:space="0" w:color="auto"/>
                            <w:left w:val="none" w:sz="0" w:space="0" w:color="auto"/>
                            <w:bottom w:val="none" w:sz="0" w:space="0" w:color="auto"/>
                            <w:right w:val="none" w:sz="0" w:space="0" w:color="auto"/>
                          </w:divBdr>
                          <w:divsChild>
                            <w:div w:id="1168326239">
                              <w:marLeft w:val="0"/>
                              <w:marRight w:val="0"/>
                              <w:marTop w:val="0"/>
                              <w:marBottom w:val="0"/>
                              <w:divBdr>
                                <w:top w:val="none" w:sz="0" w:space="0" w:color="auto"/>
                                <w:left w:val="none" w:sz="0" w:space="0" w:color="auto"/>
                                <w:bottom w:val="none" w:sz="0" w:space="0" w:color="auto"/>
                                <w:right w:val="none" w:sz="0" w:space="0" w:color="auto"/>
                              </w:divBdr>
                              <w:divsChild>
                                <w:div w:id="770011946">
                                  <w:marLeft w:val="0"/>
                                  <w:marRight w:val="0"/>
                                  <w:marTop w:val="0"/>
                                  <w:marBottom w:val="0"/>
                                  <w:divBdr>
                                    <w:top w:val="none" w:sz="0" w:space="0" w:color="auto"/>
                                    <w:left w:val="none" w:sz="0" w:space="0" w:color="auto"/>
                                    <w:bottom w:val="none" w:sz="0" w:space="0" w:color="auto"/>
                                    <w:right w:val="none" w:sz="0" w:space="0" w:color="auto"/>
                                  </w:divBdr>
                                  <w:divsChild>
                                    <w:div w:id="1337533287">
                                      <w:marLeft w:val="0"/>
                                      <w:marRight w:val="0"/>
                                      <w:marTop w:val="0"/>
                                      <w:marBottom w:val="0"/>
                                      <w:divBdr>
                                        <w:top w:val="none" w:sz="0" w:space="0" w:color="auto"/>
                                        <w:left w:val="none" w:sz="0" w:space="0" w:color="auto"/>
                                        <w:bottom w:val="none" w:sz="0" w:space="0" w:color="auto"/>
                                        <w:right w:val="none" w:sz="0" w:space="0" w:color="auto"/>
                                      </w:divBdr>
                                      <w:divsChild>
                                        <w:div w:id="867522578">
                                          <w:marLeft w:val="0"/>
                                          <w:marRight w:val="0"/>
                                          <w:marTop w:val="0"/>
                                          <w:marBottom w:val="0"/>
                                          <w:divBdr>
                                            <w:top w:val="none" w:sz="0" w:space="0" w:color="auto"/>
                                            <w:left w:val="none" w:sz="0" w:space="0" w:color="auto"/>
                                            <w:bottom w:val="none" w:sz="0" w:space="0" w:color="auto"/>
                                            <w:right w:val="none" w:sz="0" w:space="0" w:color="auto"/>
                                          </w:divBdr>
                                          <w:divsChild>
                                            <w:div w:id="1778331422">
                                              <w:marLeft w:val="0"/>
                                              <w:marRight w:val="0"/>
                                              <w:marTop w:val="0"/>
                                              <w:marBottom w:val="0"/>
                                              <w:divBdr>
                                                <w:top w:val="none" w:sz="0" w:space="0" w:color="auto"/>
                                                <w:left w:val="none" w:sz="0" w:space="0" w:color="auto"/>
                                                <w:bottom w:val="none" w:sz="0" w:space="0" w:color="auto"/>
                                                <w:right w:val="none" w:sz="0" w:space="0" w:color="auto"/>
                                              </w:divBdr>
                                              <w:divsChild>
                                                <w:div w:id="1671330430">
                                                  <w:marLeft w:val="0"/>
                                                  <w:marRight w:val="0"/>
                                                  <w:marTop w:val="0"/>
                                                  <w:marBottom w:val="0"/>
                                                  <w:divBdr>
                                                    <w:top w:val="none" w:sz="0" w:space="0" w:color="auto"/>
                                                    <w:left w:val="none" w:sz="0" w:space="0" w:color="auto"/>
                                                    <w:bottom w:val="none" w:sz="0" w:space="0" w:color="auto"/>
                                                    <w:right w:val="none" w:sz="0" w:space="0" w:color="auto"/>
                                                  </w:divBdr>
                                                  <w:divsChild>
                                                    <w:div w:id="1655523329">
                                                      <w:marLeft w:val="0"/>
                                                      <w:marRight w:val="0"/>
                                                      <w:marTop w:val="0"/>
                                                      <w:marBottom w:val="0"/>
                                                      <w:divBdr>
                                                        <w:top w:val="none" w:sz="0" w:space="0" w:color="auto"/>
                                                        <w:left w:val="none" w:sz="0" w:space="0" w:color="auto"/>
                                                        <w:bottom w:val="none" w:sz="0" w:space="0" w:color="auto"/>
                                                        <w:right w:val="none" w:sz="0" w:space="0" w:color="auto"/>
                                                      </w:divBdr>
                                                      <w:divsChild>
                                                        <w:div w:id="106852436">
                                                          <w:marLeft w:val="0"/>
                                                          <w:marRight w:val="0"/>
                                                          <w:marTop w:val="0"/>
                                                          <w:marBottom w:val="0"/>
                                                          <w:divBdr>
                                                            <w:top w:val="none" w:sz="0" w:space="0" w:color="auto"/>
                                                            <w:left w:val="none" w:sz="0" w:space="0" w:color="auto"/>
                                                            <w:bottom w:val="none" w:sz="0" w:space="0" w:color="auto"/>
                                                            <w:right w:val="none" w:sz="0" w:space="0" w:color="auto"/>
                                                          </w:divBdr>
                                                          <w:divsChild>
                                                            <w:div w:id="538050884">
                                                              <w:marLeft w:val="0"/>
                                                              <w:marRight w:val="0"/>
                                                              <w:marTop w:val="0"/>
                                                              <w:marBottom w:val="0"/>
                                                              <w:divBdr>
                                                                <w:top w:val="none" w:sz="0" w:space="0" w:color="auto"/>
                                                                <w:left w:val="none" w:sz="0" w:space="0" w:color="auto"/>
                                                                <w:bottom w:val="none" w:sz="0" w:space="0" w:color="auto"/>
                                                                <w:right w:val="none" w:sz="0" w:space="0" w:color="auto"/>
                                                              </w:divBdr>
                                                              <w:divsChild>
                                                                <w:div w:id="19751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05607">
      <w:bodyDiv w:val="1"/>
      <w:marLeft w:val="0"/>
      <w:marRight w:val="0"/>
      <w:marTop w:val="0"/>
      <w:marBottom w:val="0"/>
      <w:divBdr>
        <w:top w:val="none" w:sz="0" w:space="0" w:color="auto"/>
        <w:left w:val="none" w:sz="0" w:space="0" w:color="auto"/>
        <w:bottom w:val="none" w:sz="0" w:space="0" w:color="auto"/>
        <w:right w:val="none" w:sz="0" w:space="0" w:color="auto"/>
      </w:divBdr>
    </w:div>
    <w:div w:id="1989935181">
      <w:bodyDiv w:val="1"/>
      <w:marLeft w:val="0"/>
      <w:marRight w:val="0"/>
      <w:marTop w:val="0"/>
      <w:marBottom w:val="0"/>
      <w:divBdr>
        <w:top w:val="none" w:sz="0" w:space="0" w:color="auto"/>
        <w:left w:val="none" w:sz="0" w:space="0" w:color="auto"/>
        <w:bottom w:val="none" w:sz="0" w:space="0" w:color="auto"/>
        <w:right w:val="none" w:sz="0" w:space="0" w:color="auto"/>
      </w:divBdr>
      <w:divsChild>
        <w:div w:id="81295965">
          <w:marLeft w:val="0"/>
          <w:marRight w:val="0"/>
          <w:marTop w:val="0"/>
          <w:marBottom w:val="0"/>
          <w:divBdr>
            <w:top w:val="none" w:sz="0" w:space="0" w:color="auto"/>
            <w:left w:val="none" w:sz="0" w:space="0" w:color="auto"/>
            <w:bottom w:val="none" w:sz="0" w:space="0" w:color="auto"/>
            <w:right w:val="none" w:sz="0" w:space="0" w:color="auto"/>
          </w:divBdr>
          <w:divsChild>
            <w:div w:id="968828303">
              <w:marLeft w:val="0"/>
              <w:marRight w:val="0"/>
              <w:marTop w:val="0"/>
              <w:marBottom w:val="0"/>
              <w:divBdr>
                <w:top w:val="none" w:sz="0" w:space="0" w:color="auto"/>
                <w:left w:val="none" w:sz="0" w:space="0" w:color="auto"/>
                <w:bottom w:val="none" w:sz="0" w:space="0" w:color="auto"/>
                <w:right w:val="none" w:sz="0" w:space="0" w:color="auto"/>
              </w:divBdr>
              <w:divsChild>
                <w:div w:id="2134709661">
                  <w:marLeft w:val="0"/>
                  <w:marRight w:val="0"/>
                  <w:marTop w:val="0"/>
                  <w:marBottom w:val="0"/>
                  <w:divBdr>
                    <w:top w:val="none" w:sz="0" w:space="0" w:color="auto"/>
                    <w:left w:val="none" w:sz="0" w:space="0" w:color="auto"/>
                    <w:bottom w:val="none" w:sz="0" w:space="0" w:color="auto"/>
                    <w:right w:val="none" w:sz="0" w:space="0" w:color="auto"/>
                  </w:divBdr>
                  <w:divsChild>
                    <w:div w:id="64573285">
                      <w:marLeft w:val="0"/>
                      <w:marRight w:val="0"/>
                      <w:marTop w:val="0"/>
                      <w:marBottom w:val="0"/>
                      <w:divBdr>
                        <w:top w:val="none" w:sz="0" w:space="0" w:color="auto"/>
                        <w:left w:val="none" w:sz="0" w:space="0" w:color="auto"/>
                        <w:bottom w:val="none" w:sz="0" w:space="0" w:color="auto"/>
                        <w:right w:val="none" w:sz="0" w:space="0" w:color="auto"/>
                      </w:divBdr>
                      <w:divsChild>
                        <w:div w:id="1631012819">
                          <w:marLeft w:val="0"/>
                          <w:marRight w:val="0"/>
                          <w:marTop w:val="0"/>
                          <w:marBottom w:val="0"/>
                          <w:divBdr>
                            <w:top w:val="none" w:sz="0" w:space="0" w:color="auto"/>
                            <w:left w:val="none" w:sz="0" w:space="0" w:color="auto"/>
                            <w:bottom w:val="none" w:sz="0" w:space="0" w:color="auto"/>
                            <w:right w:val="none" w:sz="0" w:space="0" w:color="auto"/>
                          </w:divBdr>
                          <w:divsChild>
                            <w:div w:id="828668165">
                              <w:marLeft w:val="0"/>
                              <w:marRight w:val="0"/>
                              <w:marTop w:val="0"/>
                              <w:marBottom w:val="0"/>
                              <w:divBdr>
                                <w:top w:val="none" w:sz="0" w:space="0" w:color="auto"/>
                                <w:left w:val="none" w:sz="0" w:space="0" w:color="auto"/>
                                <w:bottom w:val="none" w:sz="0" w:space="0" w:color="auto"/>
                                <w:right w:val="none" w:sz="0" w:space="0" w:color="auto"/>
                              </w:divBdr>
                              <w:divsChild>
                                <w:div w:id="18477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717423">
      <w:bodyDiv w:val="1"/>
      <w:marLeft w:val="0"/>
      <w:marRight w:val="0"/>
      <w:marTop w:val="0"/>
      <w:marBottom w:val="0"/>
      <w:divBdr>
        <w:top w:val="none" w:sz="0" w:space="0" w:color="auto"/>
        <w:left w:val="none" w:sz="0" w:space="0" w:color="auto"/>
        <w:bottom w:val="none" w:sz="0" w:space="0" w:color="auto"/>
        <w:right w:val="none" w:sz="0" w:space="0" w:color="auto"/>
      </w:divBdr>
      <w:divsChild>
        <w:div w:id="1780029842">
          <w:marLeft w:val="0"/>
          <w:marRight w:val="0"/>
          <w:marTop w:val="0"/>
          <w:marBottom w:val="0"/>
          <w:divBdr>
            <w:top w:val="none" w:sz="0" w:space="0" w:color="auto"/>
            <w:left w:val="none" w:sz="0" w:space="0" w:color="auto"/>
            <w:bottom w:val="none" w:sz="0" w:space="0" w:color="auto"/>
            <w:right w:val="none" w:sz="0" w:space="0" w:color="auto"/>
          </w:divBdr>
          <w:divsChild>
            <w:div w:id="253711742">
              <w:marLeft w:val="0"/>
              <w:marRight w:val="0"/>
              <w:marTop w:val="0"/>
              <w:marBottom w:val="0"/>
              <w:divBdr>
                <w:top w:val="none" w:sz="0" w:space="0" w:color="auto"/>
                <w:left w:val="none" w:sz="0" w:space="0" w:color="auto"/>
                <w:bottom w:val="none" w:sz="0" w:space="0" w:color="auto"/>
                <w:right w:val="none" w:sz="0" w:space="0" w:color="auto"/>
              </w:divBdr>
              <w:divsChild>
                <w:div w:id="739669494">
                  <w:marLeft w:val="0"/>
                  <w:marRight w:val="0"/>
                  <w:marTop w:val="0"/>
                  <w:marBottom w:val="0"/>
                  <w:divBdr>
                    <w:top w:val="none" w:sz="0" w:space="0" w:color="auto"/>
                    <w:left w:val="none" w:sz="0" w:space="0" w:color="auto"/>
                    <w:bottom w:val="none" w:sz="0" w:space="0" w:color="auto"/>
                    <w:right w:val="none" w:sz="0" w:space="0" w:color="auto"/>
                  </w:divBdr>
                  <w:divsChild>
                    <w:div w:id="429274003">
                      <w:marLeft w:val="0"/>
                      <w:marRight w:val="0"/>
                      <w:marTop w:val="0"/>
                      <w:marBottom w:val="0"/>
                      <w:divBdr>
                        <w:top w:val="none" w:sz="0" w:space="0" w:color="auto"/>
                        <w:left w:val="none" w:sz="0" w:space="0" w:color="auto"/>
                        <w:bottom w:val="none" w:sz="0" w:space="0" w:color="auto"/>
                        <w:right w:val="none" w:sz="0" w:space="0" w:color="auto"/>
                      </w:divBdr>
                      <w:divsChild>
                        <w:div w:id="1179810785">
                          <w:marLeft w:val="0"/>
                          <w:marRight w:val="0"/>
                          <w:marTop w:val="0"/>
                          <w:marBottom w:val="0"/>
                          <w:divBdr>
                            <w:top w:val="none" w:sz="0" w:space="0" w:color="auto"/>
                            <w:left w:val="none" w:sz="0" w:space="0" w:color="auto"/>
                            <w:bottom w:val="none" w:sz="0" w:space="0" w:color="auto"/>
                            <w:right w:val="none" w:sz="0" w:space="0" w:color="auto"/>
                          </w:divBdr>
                          <w:divsChild>
                            <w:div w:id="1176534126">
                              <w:marLeft w:val="0"/>
                              <w:marRight w:val="0"/>
                              <w:marTop w:val="0"/>
                              <w:marBottom w:val="0"/>
                              <w:divBdr>
                                <w:top w:val="none" w:sz="0" w:space="0" w:color="auto"/>
                                <w:left w:val="none" w:sz="0" w:space="0" w:color="auto"/>
                                <w:bottom w:val="none" w:sz="0" w:space="0" w:color="auto"/>
                                <w:right w:val="none" w:sz="0" w:space="0" w:color="auto"/>
                              </w:divBdr>
                              <w:divsChild>
                                <w:div w:id="1220239149">
                                  <w:blockQuote w:val="1"/>
                                  <w:marLeft w:val="0"/>
                                  <w:marRight w:val="0"/>
                                  <w:marTop w:val="0"/>
                                  <w:marBottom w:val="300"/>
                                  <w:divBdr>
                                    <w:top w:val="none" w:sz="0" w:space="0" w:color="auto"/>
                                    <w:left w:val="single" w:sz="36" w:space="11" w:color="EEEEEE"/>
                                    <w:bottom w:val="none" w:sz="0" w:space="0" w:color="auto"/>
                                    <w:right w:val="none" w:sz="0" w:space="0" w:color="auto"/>
                                  </w:divBdr>
                                </w:div>
                                <w:div w:id="1530530933">
                                  <w:blockQuote w:val="1"/>
                                  <w:marLeft w:val="0"/>
                                  <w:marRight w:val="0"/>
                                  <w:marTop w:val="0"/>
                                  <w:marBottom w:val="300"/>
                                  <w:divBdr>
                                    <w:top w:val="none" w:sz="0" w:space="0" w:color="auto"/>
                                    <w:left w:val="single" w:sz="36" w:space="11" w:color="EEEEEE"/>
                                    <w:bottom w:val="none" w:sz="0" w:space="0" w:color="auto"/>
                                    <w:right w:val="none" w:sz="0" w:space="0" w:color="auto"/>
                                  </w:divBdr>
                                </w:div>
                                <w:div w:id="2022079445">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 w:id="20859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imatechangeauthority.gov.au/"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www.apsc.gov.au" TargetMode="External"/><Relationship Id="rId42" Type="http://schemas.openxmlformats.org/officeDocument/2006/relationships/hyperlink" Target="http://www.cleanenergyregulator.gov.au/Carbon-Pricing-Mechanism" TargetMode="External"/><Relationship Id="rId47" Type="http://schemas.openxmlformats.org/officeDocument/2006/relationships/header" Target="header13.xml"/><Relationship Id="rId50"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yperlink" Target="http://www.canceraustralia.gov.au" TargetMode="External"/><Relationship Id="rId17" Type="http://schemas.openxmlformats.org/officeDocument/2006/relationships/image" Target="media/image4.png"/><Relationship Id="rId25" Type="http://schemas.openxmlformats.org/officeDocument/2006/relationships/footer" Target="footer3.xml"/><Relationship Id="rId33" Type="http://schemas.openxmlformats.org/officeDocument/2006/relationships/hyperlink" Target="http://www.tenders.gov.au" TargetMode="External"/><Relationship Id="rId38" Type="http://schemas.openxmlformats.org/officeDocument/2006/relationships/footer" Target="footer4.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diagramQuickStyle" Target="diagrams/quickStyle1.xml"/><Relationship Id="rId41" Type="http://schemas.openxmlformats.org/officeDocument/2006/relationships/hyperlink" Target="http://www.cleanenergyregulator.gov.au/Renewable-Energy-Targ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www.finance.gov.au/procurement/statistics-on-commonwealth-purchasing-contracts/"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yperlink" Target="http://www.comlaw.gov.au/Details/C2013C00316" TargetMode="External"/><Relationship Id="rId5" Type="http://schemas.openxmlformats.org/officeDocument/2006/relationships/webSettings" Target="webSettings.xml"/><Relationship Id="rId15" Type="http://schemas.openxmlformats.org/officeDocument/2006/relationships/hyperlink" Target="http://www.climatechangeauthority.gov.au" TargetMode="External"/><Relationship Id="rId23" Type="http://schemas.openxmlformats.org/officeDocument/2006/relationships/header" Target="header6.xml"/><Relationship Id="rId28" Type="http://schemas.openxmlformats.org/officeDocument/2006/relationships/diagramLayout" Target="diagrams/layout1.xml"/><Relationship Id="rId36" Type="http://schemas.openxmlformats.org/officeDocument/2006/relationships/header" Target="header9.xml"/><Relationship Id="rId49"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microsoft.com/office/2007/relationships/diagramDrawing" Target="diagrams/drawing1.xml"/><Relationship Id="rId44" Type="http://schemas.openxmlformats.org/officeDocument/2006/relationships/hyperlink" Target="http://www.cleanenergyregulator.gov.au/Carbon-Farming-Initiativ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nquiries@climatechangeauthority.gov.au" TargetMode="External"/><Relationship Id="rId22" Type="http://schemas.openxmlformats.org/officeDocument/2006/relationships/image" Target="media/image6.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www.dss.gov.au" TargetMode="External"/><Relationship Id="rId43" Type="http://schemas.openxmlformats.org/officeDocument/2006/relationships/hyperlink" Target="http://www.cleanenergyregulator.gov.au/National-Greenhouse-and-Energy-Reporting" TargetMode="External"/><Relationship Id="rId48" Type="http://schemas.openxmlformats.org/officeDocument/2006/relationships/footer" Target="footer6.xml"/><Relationship Id="rId8" Type="http://schemas.openxmlformats.org/officeDocument/2006/relationships/header" Target="header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0E4C37-F244-441A-9401-3A07AB3B01C6}" type="doc">
      <dgm:prSet loTypeId="urn:microsoft.com/office/officeart/2005/8/layout/hierarchy6" loCatId="hierarchy" qsTypeId="urn:microsoft.com/office/officeart/2005/8/quickstyle/simple1" qsCatId="simple" csTypeId="urn:microsoft.com/office/officeart/2005/8/colors/accent1_3" csCatId="accent1" phldr="1"/>
      <dgm:spPr/>
      <dgm:t>
        <a:bodyPr/>
        <a:lstStyle/>
        <a:p>
          <a:endParaRPr lang="en-AU"/>
        </a:p>
      </dgm:t>
    </dgm:pt>
    <dgm:pt modelId="{CFF4F557-68AB-4E50-969B-9916A8FE898F}">
      <dgm:prSet phldrT="[Text]">
        <dgm:style>
          <a:lnRef idx="1">
            <a:schemeClr val="accent1"/>
          </a:lnRef>
          <a:fillRef idx="3">
            <a:schemeClr val="accent1"/>
          </a:fillRef>
          <a:effectRef idx="2">
            <a:schemeClr val="accent1"/>
          </a:effectRef>
          <a:fontRef idx="minor">
            <a:schemeClr val="lt1"/>
          </a:fontRef>
        </dgm:style>
      </dgm:prSet>
      <dgm:spPr>
        <a:solidFill>
          <a:schemeClr val="accent1"/>
        </a:solidFill>
      </dgm:spPr>
      <dgm:t>
        <a:bodyPr/>
        <a:lstStyle/>
        <a:p>
          <a:r>
            <a:rPr lang="en-AU">
              <a:solidFill>
                <a:sysClr val="windowText" lastClr="000000"/>
              </a:solidFill>
            </a:rPr>
            <a:t>AUTHORITY MEMBERS</a:t>
          </a:r>
        </a:p>
        <a:p>
          <a:r>
            <a:rPr lang="en-AU">
              <a:solidFill>
                <a:sysClr val="windowText" lastClr="000000"/>
              </a:solidFill>
            </a:rPr>
            <a:t>Bernie Fraser, Chair</a:t>
          </a:r>
        </a:p>
      </dgm:t>
    </dgm:pt>
    <dgm:pt modelId="{F9AA0F93-0518-4340-B74A-65B8E86AB39E}" type="parTrans" cxnId="{8AE1468A-6F9B-4B60-AA93-A04FC225F8D1}">
      <dgm:prSet/>
      <dgm:spPr/>
      <dgm:t>
        <a:bodyPr/>
        <a:lstStyle/>
        <a:p>
          <a:endParaRPr lang="en-AU"/>
        </a:p>
      </dgm:t>
    </dgm:pt>
    <dgm:pt modelId="{5193DBB4-4812-4352-B148-783630A37DDE}" type="sibTrans" cxnId="{8AE1468A-6F9B-4B60-AA93-A04FC225F8D1}">
      <dgm:prSet/>
      <dgm:spPr/>
      <dgm:t>
        <a:bodyPr/>
        <a:lstStyle/>
        <a:p>
          <a:endParaRPr lang="en-AU"/>
        </a:p>
      </dgm:t>
    </dgm:pt>
    <dgm:pt modelId="{B7A6CE7E-26A5-438A-AF99-CABCA87ECA53}">
      <dgm:prSet phldrT="[Text]"/>
      <dgm:spPr>
        <a:solidFill>
          <a:schemeClr val="tx2">
            <a:lumMod val="40000"/>
            <a:lumOff val="60000"/>
          </a:schemeClr>
        </a:solidFill>
      </dgm:spPr>
      <dgm:t>
        <a:bodyPr/>
        <a:lstStyle/>
        <a:p>
          <a:r>
            <a:rPr lang="en-AU">
              <a:solidFill>
                <a:sysClr val="windowText" lastClr="000000"/>
              </a:solidFill>
            </a:rPr>
            <a:t>Shayleen Thompson</a:t>
          </a:r>
        </a:p>
        <a:p>
          <a:r>
            <a:rPr lang="en-AU">
              <a:solidFill>
                <a:sysClr val="windowText" lastClr="000000"/>
              </a:solidFill>
            </a:rPr>
            <a:t>A/g Chief Executive Officer</a:t>
          </a:r>
        </a:p>
      </dgm:t>
    </dgm:pt>
    <dgm:pt modelId="{FA2A527C-3A66-4BD3-8AB3-64F1C0580305}" type="parTrans" cxnId="{E6A75CB2-F830-4742-BD8E-38BBEA6FA88A}">
      <dgm:prSet>
        <dgm:style>
          <a:lnRef idx="1">
            <a:schemeClr val="dk1"/>
          </a:lnRef>
          <a:fillRef idx="0">
            <a:schemeClr val="dk1"/>
          </a:fillRef>
          <a:effectRef idx="0">
            <a:schemeClr val="dk1"/>
          </a:effectRef>
          <a:fontRef idx="minor">
            <a:schemeClr val="tx1"/>
          </a:fontRef>
        </dgm:style>
      </dgm:prSet>
      <dgm:spPr>
        <a:ln/>
      </dgm:spPr>
      <dgm:t>
        <a:bodyPr/>
        <a:lstStyle/>
        <a:p>
          <a:endParaRPr lang="en-AU">
            <a:ln>
              <a:solidFill>
                <a:sysClr val="windowText" lastClr="000000"/>
              </a:solidFill>
            </a:ln>
          </a:endParaRPr>
        </a:p>
      </dgm:t>
    </dgm:pt>
    <dgm:pt modelId="{9EF45C58-5574-4F5E-BDAD-B88544341B14}" type="sibTrans" cxnId="{E6A75CB2-F830-4742-BD8E-38BBEA6FA88A}">
      <dgm:prSet/>
      <dgm:spPr/>
      <dgm:t>
        <a:bodyPr/>
        <a:lstStyle/>
        <a:p>
          <a:endParaRPr lang="en-AU"/>
        </a:p>
      </dgm:t>
    </dgm:pt>
    <dgm:pt modelId="{782D0632-2DC1-4A1E-BAEA-A8CD8BA4CA81}">
      <dgm:prSet phldrT="[Text]"/>
      <dgm:spPr>
        <a:solidFill>
          <a:schemeClr val="tx2">
            <a:lumMod val="20000"/>
            <a:lumOff val="80000"/>
          </a:schemeClr>
        </a:solidFill>
      </dgm:spPr>
      <dgm:t>
        <a:bodyPr/>
        <a:lstStyle/>
        <a:p>
          <a:r>
            <a:rPr lang="en-AU">
              <a:solidFill>
                <a:sysClr val="windowText" lastClr="000000"/>
              </a:solidFill>
            </a:rPr>
            <a:t>Kath Rowley</a:t>
          </a:r>
        </a:p>
        <a:p>
          <a:r>
            <a:rPr lang="en-AU">
              <a:solidFill>
                <a:sysClr val="windowText" lastClr="000000"/>
              </a:solidFill>
            </a:rPr>
            <a:t>General Manager Reviews</a:t>
          </a:r>
        </a:p>
      </dgm:t>
    </dgm:pt>
    <dgm:pt modelId="{8F94563B-C190-4AD9-862A-3F4404BF5FCA}" type="parTrans" cxnId="{8465D095-B2B7-4853-BD14-7379A2401CEF}">
      <dgm:prSet>
        <dgm:style>
          <a:lnRef idx="1">
            <a:schemeClr val="dk1"/>
          </a:lnRef>
          <a:fillRef idx="0">
            <a:schemeClr val="dk1"/>
          </a:fillRef>
          <a:effectRef idx="0">
            <a:schemeClr val="dk1"/>
          </a:effectRef>
          <a:fontRef idx="minor">
            <a:schemeClr val="tx1"/>
          </a:fontRef>
        </dgm:style>
      </dgm:prSet>
      <dgm:spPr>
        <a:ln/>
      </dgm:spPr>
      <dgm:t>
        <a:bodyPr/>
        <a:lstStyle/>
        <a:p>
          <a:endParaRPr lang="en-AU">
            <a:ln>
              <a:solidFill>
                <a:sysClr val="windowText" lastClr="000000"/>
              </a:solidFill>
            </a:ln>
          </a:endParaRPr>
        </a:p>
      </dgm:t>
    </dgm:pt>
    <dgm:pt modelId="{88A29971-7EF9-4EB6-90FD-79F57958D18F}" type="sibTrans" cxnId="{8465D095-B2B7-4853-BD14-7379A2401CEF}">
      <dgm:prSet/>
      <dgm:spPr/>
      <dgm:t>
        <a:bodyPr/>
        <a:lstStyle/>
        <a:p>
          <a:endParaRPr lang="en-AU"/>
        </a:p>
      </dgm:t>
    </dgm:pt>
    <dgm:pt modelId="{2C1973C5-45A1-4B29-A0D6-26A64F9E6970}" type="pres">
      <dgm:prSet presAssocID="{CB0E4C37-F244-441A-9401-3A07AB3B01C6}" presName="mainComposite" presStyleCnt="0">
        <dgm:presLayoutVars>
          <dgm:chPref val="1"/>
          <dgm:dir/>
          <dgm:animOne val="branch"/>
          <dgm:animLvl val="lvl"/>
          <dgm:resizeHandles val="exact"/>
        </dgm:presLayoutVars>
      </dgm:prSet>
      <dgm:spPr/>
      <dgm:t>
        <a:bodyPr/>
        <a:lstStyle/>
        <a:p>
          <a:endParaRPr lang="en-AU"/>
        </a:p>
      </dgm:t>
    </dgm:pt>
    <dgm:pt modelId="{01E0F171-468D-42DE-86A5-7B30FF4C9113}" type="pres">
      <dgm:prSet presAssocID="{CB0E4C37-F244-441A-9401-3A07AB3B01C6}" presName="hierFlow" presStyleCnt="0"/>
      <dgm:spPr/>
    </dgm:pt>
    <dgm:pt modelId="{3A706A24-FC92-4122-8F1C-FD08C9B5CA06}" type="pres">
      <dgm:prSet presAssocID="{CB0E4C37-F244-441A-9401-3A07AB3B01C6}" presName="hierChild1" presStyleCnt="0">
        <dgm:presLayoutVars>
          <dgm:chPref val="1"/>
          <dgm:animOne val="branch"/>
          <dgm:animLvl val="lvl"/>
        </dgm:presLayoutVars>
      </dgm:prSet>
      <dgm:spPr/>
    </dgm:pt>
    <dgm:pt modelId="{C439B5CC-6E2D-4D50-A92D-EC87084B74CF}" type="pres">
      <dgm:prSet presAssocID="{CFF4F557-68AB-4E50-969B-9916A8FE898F}" presName="Name14" presStyleCnt="0"/>
      <dgm:spPr/>
    </dgm:pt>
    <dgm:pt modelId="{EBA45F98-9F40-4CC3-B0FA-1A4406220A13}" type="pres">
      <dgm:prSet presAssocID="{CFF4F557-68AB-4E50-969B-9916A8FE898F}" presName="level1Shape" presStyleLbl="node0" presStyleIdx="0" presStyleCnt="1">
        <dgm:presLayoutVars>
          <dgm:chPref val="3"/>
        </dgm:presLayoutVars>
      </dgm:prSet>
      <dgm:spPr/>
      <dgm:t>
        <a:bodyPr/>
        <a:lstStyle/>
        <a:p>
          <a:endParaRPr lang="en-AU"/>
        </a:p>
      </dgm:t>
    </dgm:pt>
    <dgm:pt modelId="{F9F7C355-57F7-4568-8143-D20DC62CAA68}" type="pres">
      <dgm:prSet presAssocID="{CFF4F557-68AB-4E50-969B-9916A8FE898F}" presName="hierChild2" presStyleCnt="0"/>
      <dgm:spPr/>
    </dgm:pt>
    <dgm:pt modelId="{23083B66-EB2C-4DE8-BE6B-7532FD375502}" type="pres">
      <dgm:prSet presAssocID="{FA2A527C-3A66-4BD3-8AB3-64F1C0580305}" presName="Name19" presStyleLbl="parChTrans1D2" presStyleIdx="0" presStyleCnt="1"/>
      <dgm:spPr/>
      <dgm:t>
        <a:bodyPr/>
        <a:lstStyle/>
        <a:p>
          <a:endParaRPr lang="en-AU"/>
        </a:p>
      </dgm:t>
    </dgm:pt>
    <dgm:pt modelId="{9942C6FE-1AA0-4568-A4BB-197F2AB741F0}" type="pres">
      <dgm:prSet presAssocID="{B7A6CE7E-26A5-438A-AF99-CABCA87ECA53}" presName="Name21" presStyleCnt="0"/>
      <dgm:spPr/>
    </dgm:pt>
    <dgm:pt modelId="{F259AE97-BE26-4FB0-BBB2-1B6D051B0755}" type="pres">
      <dgm:prSet presAssocID="{B7A6CE7E-26A5-438A-AF99-CABCA87ECA53}" presName="level2Shape" presStyleLbl="node2" presStyleIdx="0" presStyleCnt="1"/>
      <dgm:spPr/>
      <dgm:t>
        <a:bodyPr/>
        <a:lstStyle/>
        <a:p>
          <a:endParaRPr lang="en-AU"/>
        </a:p>
      </dgm:t>
    </dgm:pt>
    <dgm:pt modelId="{BC7B9AA8-9E77-4BFD-B356-855338DCAF60}" type="pres">
      <dgm:prSet presAssocID="{B7A6CE7E-26A5-438A-AF99-CABCA87ECA53}" presName="hierChild3" presStyleCnt="0"/>
      <dgm:spPr/>
    </dgm:pt>
    <dgm:pt modelId="{ACDD4717-F817-4A49-8148-BEA61EDF0EBE}" type="pres">
      <dgm:prSet presAssocID="{8F94563B-C190-4AD9-862A-3F4404BF5FCA}" presName="Name19" presStyleLbl="parChTrans1D3" presStyleIdx="0" presStyleCnt="1"/>
      <dgm:spPr/>
      <dgm:t>
        <a:bodyPr/>
        <a:lstStyle/>
        <a:p>
          <a:endParaRPr lang="en-AU"/>
        </a:p>
      </dgm:t>
    </dgm:pt>
    <dgm:pt modelId="{DC6A0523-FD0A-4BF1-8848-0E397D6781BF}" type="pres">
      <dgm:prSet presAssocID="{782D0632-2DC1-4A1E-BAEA-A8CD8BA4CA81}" presName="Name21" presStyleCnt="0"/>
      <dgm:spPr/>
    </dgm:pt>
    <dgm:pt modelId="{F29BB187-329D-4E4F-9BCA-2DC0C34891B0}" type="pres">
      <dgm:prSet presAssocID="{782D0632-2DC1-4A1E-BAEA-A8CD8BA4CA81}" presName="level2Shape" presStyleLbl="node3" presStyleIdx="0" presStyleCnt="1"/>
      <dgm:spPr/>
      <dgm:t>
        <a:bodyPr/>
        <a:lstStyle/>
        <a:p>
          <a:endParaRPr lang="en-AU"/>
        </a:p>
      </dgm:t>
    </dgm:pt>
    <dgm:pt modelId="{BB0F3305-B56A-4076-AD1F-EAEFDB0201D2}" type="pres">
      <dgm:prSet presAssocID="{782D0632-2DC1-4A1E-BAEA-A8CD8BA4CA81}" presName="hierChild3" presStyleCnt="0"/>
      <dgm:spPr/>
    </dgm:pt>
    <dgm:pt modelId="{06E5123F-3D2D-45D0-A082-BA7FA23271A4}" type="pres">
      <dgm:prSet presAssocID="{CB0E4C37-F244-441A-9401-3A07AB3B01C6}" presName="bgShapesFlow" presStyleCnt="0"/>
      <dgm:spPr/>
    </dgm:pt>
  </dgm:ptLst>
  <dgm:cxnLst>
    <dgm:cxn modelId="{8AE1468A-6F9B-4B60-AA93-A04FC225F8D1}" srcId="{CB0E4C37-F244-441A-9401-3A07AB3B01C6}" destId="{CFF4F557-68AB-4E50-969B-9916A8FE898F}" srcOrd="0" destOrd="0" parTransId="{F9AA0F93-0518-4340-B74A-65B8E86AB39E}" sibTransId="{5193DBB4-4812-4352-B148-783630A37DDE}"/>
    <dgm:cxn modelId="{FDC1EDE6-B280-4DE9-81D6-EA963094D85E}" type="presOf" srcId="{8F94563B-C190-4AD9-862A-3F4404BF5FCA}" destId="{ACDD4717-F817-4A49-8148-BEA61EDF0EBE}" srcOrd="0" destOrd="0" presId="urn:microsoft.com/office/officeart/2005/8/layout/hierarchy6"/>
    <dgm:cxn modelId="{E65FC0E6-9102-48D9-92E2-8A08E845EAF4}" type="presOf" srcId="{CB0E4C37-F244-441A-9401-3A07AB3B01C6}" destId="{2C1973C5-45A1-4B29-A0D6-26A64F9E6970}" srcOrd="0" destOrd="0" presId="urn:microsoft.com/office/officeart/2005/8/layout/hierarchy6"/>
    <dgm:cxn modelId="{127433E9-FF33-4EF7-AEE2-1AEF5975FEB7}" type="presOf" srcId="{CFF4F557-68AB-4E50-969B-9916A8FE898F}" destId="{EBA45F98-9F40-4CC3-B0FA-1A4406220A13}" srcOrd="0" destOrd="0" presId="urn:microsoft.com/office/officeart/2005/8/layout/hierarchy6"/>
    <dgm:cxn modelId="{BCACB7D9-678E-4C5B-ABBE-5ADE72BFAB19}" type="presOf" srcId="{FA2A527C-3A66-4BD3-8AB3-64F1C0580305}" destId="{23083B66-EB2C-4DE8-BE6B-7532FD375502}" srcOrd="0" destOrd="0" presId="urn:microsoft.com/office/officeart/2005/8/layout/hierarchy6"/>
    <dgm:cxn modelId="{E6A75CB2-F830-4742-BD8E-38BBEA6FA88A}" srcId="{CFF4F557-68AB-4E50-969B-9916A8FE898F}" destId="{B7A6CE7E-26A5-438A-AF99-CABCA87ECA53}" srcOrd="0" destOrd="0" parTransId="{FA2A527C-3A66-4BD3-8AB3-64F1C0580305}" sibTransId="{9EF45C58-5574-4F5E-BDAD-B88544341B14}"/>
    <dgm:cxn modelId="{8465D095-B2B7-4853-BD14-7379A2401CEF}" srcId="{B7A6CE7E-26A5-438A-AF99-CABCA87ECA53}" destId="{782D0632-2DC1-4A1E-BAEA-A8CD8BA4CA81}" srcOrd="0" destOrd="0" parTransId="{8F94563B-C190-4AD9-862A-3F4404BF5FCA}" sibTransId="{88A29971-7EF9-4EB6-90FD-79F57958D18F}"/>
    <dgm:cxn modelId="{42472689-7760-452C-8952-569BE0BA938C}" type="presOf" srcId="{782D0632-2DC1-4A1E-BAEA-A8CD8BA4CA81}" destId="{F29BB187-329D-4E4F-9BCA-2DC0C34891B0}" srcOrd="0" destOrd="0" presId="urn:microsoft.com/office/officeart/2005/8/layout/hierarchy6"/>
    <dgm:cxn modelId="{DAB860A6-DF9D-4EEC-BFCA-96E414B63FA8}" type="presOf" srcId="{B7A6CE7E-26A5-438A-AF99-CABCA87ECA53}" destId="{F259AE97-BE26-4FB0-BBB2-1B6D051B0755}" srcOrd="0" destOrd="0" presId="urn:microsoft.com/office/officeart/2005/8/layout/hierarchy6"/>
    <dgm:cxn modelId="{98431878-0CCA-4037-8FBA-CA06EEC83224}" type="presParOf" srcId="{2C1973C5-45A1-4B29-A0D6-26A64F9E6970}" destId="{01E0F171-468D-42DE-86A5-7B30FF4C9113}" srcOrd="0" destOrd="0" presId="urn:microsoft.com/office/officeart/2005/8/layout/hierarchy6"/>
    <dgm:cxn modelId="{F74BC884-49B7-4A96-8D0A-083122B547A0}" type="presParOf" srcId="{01E0F171-468D-42DE-86A5-7B30FF4C9113}" destId="{3A706A24-FC92-4122-8F1C-FD08C9B5CA06}" srcOrd="0" destOrd="0" presId="urn:microsoft.com/office/officeart/2005/8/layout/hierarchy6"/>
    <dgm:cxn modelId="{86B93A3E-1688-4E2F-861F-9A9B4D3E019D}" type="presParOf" srcId="{3A706A24-FC92-4122-8F1C-FD08C9B5CA06}" destId="{C439B5CC-6E2D-4D50-A92D-EC87084B74CF}" srcOrd="0" destOrd="0" presId="urn:microsoft.com/office/officeart/2005/8/layout/hierarchy6"/>
    <dgm:cxn modelId="{444BA8D7-BF42-4536-A0F7-A9F8654C4A99}" type="presParOf" srcId="{C439B5CC-6E2D-4D50-A92D-EC87084B74CF}" destId="{EBA45F98-9F40-4CC3-B0FA-1A4406220A13}" srcOrd="0" destOrd="0" presId="urn:microsoft.com/office/officeart/2005/8/layout/hierarchy6"/>
    <dgm:cxn modelId="{11D81CC4-BA9D-4EAF-BC4D-6B08D89247E8}" type="presParOf" srcId="{C439B5CC-6E2D-4D50-A92D-EC87084B74CF}" destId="{F9F7C355-57F7-4568-8143-D20DC62CAA68}" srcOrd="1" destOrd="0" presId="urn:microsoft.com/office/officeart/2005/8/layout/hierarchy6"/>
    <dgm:cxn modelId="{1158E1BB-23CC-43FF-83BD-4D46A470E9F1}" type="presParOf" srcId="{F9F7C355-57F7-4568-8143-D20DC62CAA68}" destId="{23083B66-EB2C-4DE8-BE6B-7532FD375502}" srcOrd="0" destOrd="0" presId="urn:microsoft.com/office/officeart/2005/8/layout/hierarchy6"/>
    <dgm:cxn modelId="{7D27F954-4B84-45DC-965F-5378930B7744}" type="presParOf" srcId="{F9F7C355-57F7-4568-8143-D20DC62CAA68}" destId="{9942C6FE-1AA0-4568-A4BB-197F2AB741F0}" srcOrd="1" destOrd="0" presId="urn:microsoft.com/office/officeart/2005/8/layout/hierarchy6"/>
    <dgm:cxn modelId="{A8F11514-325E-4B05-BDFC-64A6B50928F5}" type="presParOf" srcId="{9942C6FE-1AA0-4568-A4BB-197F2AB741F0}" destId="{F259AE97-BE26-4FB0-BBB2-1B6D051B0755}" srcOrd="0" destOrd="0" presId="urn:microsoft.com/office/officeart/2005/8/layout/hierarchy6"/>
    <dgm:cxn modelId="{552604F3-0B98-4156-ADA2-20DD404CE47C}" type="presParOf" srcId="{9942C6FE-1AA0-4568-A4BB-197F2AB741F0}" destId="{BC7B9AA8-9E77-4BFD-B356-855338DCAF60}" srcOrd="1" destOrd="0" presId="urn:microsoft.com/office/officeart/2005/8/layout/hierarchy6"/>
    <dgm:cxn modelId="{08F5E74C-DA23-4158-8EBB-22ADD789EFF0}" type="presParOf" srcId="{BC7B9AA8-9E77-4BFD-B356-855338DCAF60}" destId="{ACDD4717-F817-4A49-8148-BEA61EDF0EBE}" srcOrd="0" destOrd="0" presId="urn:microsoft.com/office/officeart/2005/8/layout/hierarchy6"/>
    <dgm:cxn modelId="{D1731B8B-A89E-4F10-97F8-547585601C28}" type="presParOf" srcId="{BC7B9AA8-9E77-4BFD-B356-855338DCAF60}" destId="{DC6A0523-FD0A-4BF1-8848-0E397D6781BF}" srcOrd="1" destOrd="0" presId="urn:microsoft.com/office/officeart/2005/8/layout/hierarchy6"/>
    <dgm:cxn modelId="{DAA38AC6-346B-47A9-906E-3ED7F978955D}" type="presParOf" srcId="{DC6A0523-FD0A-4BF1-8848-0E397D6781BF}" destId="{F29BB187-329D-4E4F-9BCA-2DC0C34891B0}" srcOrd="0" destOrd="0" presId="urn:microsoft.com/office/officeart/2005/8/layout/hierarchy6"/>
    <dgm:cxn modelId="{269AF0E9-A25D-4A07-9F95-DD1B644B21AF}" type="presParOf" srcId="{DC6A0523-FD0A-4BF1-8848-0E397D6781BF}" destId="{BB0F3305-B56A-4076-AD1F-EAEFDB0201D2}" srcOrd="1" destOrd="0" presId="urn:microsoft.com/office/officeart/2005/8/layout/hierarchy6"/>
    <dgm:cxn modelId="{1F7796FD-04C2-4352-A0A5-C8DE0265D4BB}" type="presParOf" srcId="{2C1973C5-45A1-4B29-A0D6-26A64F9E6970}" destId="{06E5123F-3D2D-45D0-A082-BA7FA23271A4}" srcOrd="1" destOrd="0" presId="urn:microsoft.com/office/officeart/2005/8/layout/hierarchy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45F98-9F40-4CC3-B0FA-1A4406220A13}">
      <dsp:nvSpPr>
        <dsp:cNvPr id="0" name=""/>
        <dsp:cNvSpPr/>
      </dsp:nvSpPr>
      <dsp:spPr>
        <a:xfrm>
          <a:off x="2111647" y="267"/>
          <a:ext cx="1263104" cy="842069"/>
        </a:xfrm>
        <a:prstGeom prst="roundRect">
          <a:avLst>
            <a:gd name="adj" fmla="val 10000"/>
          </a:avLst>
        </a:prstGeom>
        <a:solidFill>
          <a:schemeClr val="accent1"/>
        </a:soli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solidFill>
            </a:rPr>
            <a:t>AUTHORITY MEMBERS</a:t>
          </a:r>
        </a:p>
        <a:p>
          <a:pPr lvl="0" algn="ctr" defTabSz="488950">
            <a:lnSpc>
              <a:spcPct val="90000"/>
            </a:lnSpc>
            <a:spcBef>
              <a:spcPct val="0"/>
            </a:spcBef>
            <a:spcAft>
              <a:spcPct val="35000"/>
            </a:spcAft>
          </a:pPr>
          <a:r>
            <a:rPr lang="en-AU" sz="1100" kern="1200">
              <a:solidFill>
                <a:sysClr val="windowText" lastClr="000000"/>
              </a:solidFill>
            </a:rPr>
            <a:t>Bernie Fraser, Chair</a:t>
          </a:r>
        </a:p>
      </dsp:txBody>
      <dsp:txXfrm>
        <a:off x="2136310" y="24930"/>
        <a:ext cx="1213778" cy="792743"/>
      </dsp:txXfrm>
    </dsp:sp>
    <dsp:sp modelId="{23083B66-EB2C-4DE8-BE6B-7532FD375502}">
      <dsp:nvSpPr>
        <dsp:cNvPr id="0" name=""/>
        <dsp:cNvSpPr/>
      </dsp:nvSpPr>
      <dsp:spPr>
        <a:xfrm>
          <a:off x="2697480" y="842337"/>
          <a:ext cx="91440" cy="336827"/>
        </a:xfrm>
        <a:custGeom>
          <a:avLst/>
          <a:gdLst/>
          <a:ahLst/>
          <a:cxnLst/>
          <a:rect l="0" t="0" r="0" b="0"/>
          <a:pathLst>
            <a:path>
              <a:moveTo>
                <a:pt x="45720" y="0"/>
              </a:moveTo>
              <a:lnTo>
                <a:pt x="45720" y="336827"/>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259AE97-BE26-4FB0-BBB2-1B6D051B0755}">
      <dsp:nvSpPr>
        <dsp:cNvPr id="0" name=""/>
        <dsp:cNvSpPr/>
      </dsp:nvSpPr>
      <dsp:spPr>
        <a:xfrm>
          <a:off x="2111647" y="1179165"/>
          <a:ext cx="1263104" cy="842069"/>
        </a:xfrm>
        <a:prstGeom prst="roundRect">
          <a:avLst>
            <a:gd name="adj" fmla="val 10000"/>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solidFill>
            </a:rPr>
            <a:t>Shayleen Thompson</a:t>
          </a:r>
        </a:p>
        <a:p>
          <a:pPr lvl="0" algn="ctr" defTabSz="488950">
            <a:lnSpc>
              <a:spcPct val="90000"/>
            </a:lnSpc>
            <a:spcBef>
              <a:spcPct val="0"/>
            </a:spcBef>
            <a:spcAft>
              <a:spcPct val="35000"/>
            </a:spcAft>
          </a:pPr>
          <a:r>
            <a:rPr lang="en-AU" sz="1100" kern="1200">
              <a:solidFill>
                <a:sysClr val="windowText" lastClr="000000"/>
              </a:solidFill>
            </a:rPr>
            <a:t>A/g Chief Executive Officer</a:t>
          </a:r>
        </a:p>
      </dsp:txBody>
      <dsp:txXfrm>
        <a:off x="2136310" y="1203828"/>
        <a:ext cx="1213778" cy="792743"/>
      </dsp:txXfrm>
    </dsp:sp>
    <dsp:sp modelId="{ACDD4717-F817-4A49-8148-BEA61EDF0EBE}">
      <dsp:nvSpPr>
        <dsp:cNvPr id="0" name=""/>
        <dsp:cNvSpPr/>
      </dsp:nvSpPr>
      <dsp:spPr>
        <a:xfrm>
          <a:off x="2697480" y="2021234"/>
          <a:ext cx="91440" cy="336827"/>
        </a:xfrm>
        <a:custGeom>
          <a:avLst/>
          <a:gdLst/>
          <a:ahLst/>
          <a:cxnLst/>
          <a:rect l="0" t="0" r="0" b="0"/>
          <a:pathLst>
            <a:path>
              <a:moveTo>
                <a:pt x="45720" y="0"/>
              </a:moveTo>
              <a:lnTo>
                <a:pt x="45720" y="336827"/>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29BB187-329D-4E4F-9BCA-2DC0C34891B0}">
      <dsp:nvSpPr>
        <dsp:cNvPr id="0" name=""/>
        <dsp:cNvSpPr/>
      </dsp:nvSpPr>
      <dsp:spPr>
        <a:xfrm>
          <a:off x="2111647" y="2358062"/>
          <a:ext cx="1263104" cy="842069"/>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solidFill>
            </a:rPr>
            <a:t>Kath Rowley</a:t>
          </a:r>
        </a:p>
        <a:p>
          <a:pPr lvl="0" algn="ctr" defTabSz="488950">
            <a:lnSpc>
              <a:spcPct val="90000"/>
            </a:lnSpc>
            <a:spcBef>
              <a:spcPct val="0"/>
            </a:spcBef>
            <a:spcAft>
              <a:spcPct val="35000"/>
            </a:spcAft>
          </a:pPr>
          <a:r>
            <a:rPr lang="en-AU" sz="1100" kern="1200">
              <a:solidFill>
                <a:sysClr val="windowText" lastClr="000000"/>
              </a:solidFill>
            </a:rPr>
            <a:t>General Manager Reviews</a:t>
          </a:r>
        </a:p>
      </dsp:txBody>
      <dsp:txXfrm>
        <a:off x="2136310" y="2382725"/>
        <a:ext cx="1213778" cy="7927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CAColorTheme v2">
      <a:dk1>
        <a:srgbClr val="414141"/>
      </a:dk1>
      <a:lt1>
        <a:srgbClr val="FFFFFF"/>
      </a:lt1>
      <a:dk2>
        <a:srgbClr val="7A7A7A"/>
      </a:dk2>
      <a:lt2>
        <a:srgbClr val="E2E2E2"/>
      </a:lt2>
      <a:accent1>
        <a:srgbClr val="0C9FCD"/>
      </a:accent1>
      <a:accent2>
        <a:srgbClr val="72B5DB"/>
      </a:accent2>
      <a:accent3>
        <a:srgbClr val="73BB00"/>
      </a:accent3>
      <a:accent4>
        <a:srgbClr val="9DCF4D"/>
      </a:accent4>
      <a:accent5>
        <a:srgbClr val="C7E499"/>
      </a:accent5>
      <a:accent6>
        <a:srgbClr val="EAF5D9"/>
      </a:accent6>
      <a:hlink>
        <a:srgbClr val="ACD1EA"/>
      </a:hlink>
      <a:folHlink>
        <a:srgbClr val="DEECF7"/>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49AA-E58A-40D1-9D2B-008610B5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10586</Words>
  <Characters>60342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Climate Change Authority</Company>
  <LinksUpToDate>false</LinksUpToDate>
  <CharactersWithSpaces>70787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Penrose, Clare</dc:creator>
  <cp:lastModifiedBy>Arentz, Tracey</cp:lastModifiedBy>
  <cp:revision>3</cp:revision>
  <cp:lastPrinted>2021-06-01T22:44:00Z</cp:lastPrinted>
  <dcterms:created xsi:type="dcterms:W3CDTF">2021-06-01T22:44:00Z</dcterms:created>
  <dcterms:modified xsi:type="dcterms:W3CDTF">2021-06-01T22:45:00Z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A Document Type">
    <vt:lpwstr>{CCA Document Type}</vt:lpwstr>
  </property>
  <property fmtid="{D5CDD505-2E9C-101B-9397-08002B2CF9AE}" pid="3" name="CCA Document Title">
    <vt:lpwstr>{CCA Document Title}</vt:lpwstr>
  </property>
  <property fmtid="{D5CDD505-2E9C-101B-9397-08002B2CF9AE}" pid="4" name="CCA Month Year">
    <vt:lpwstr>{Month Year}</vt:lpwstr>
  </property>
  <property fmtid="{D5CDD505-2E9C-101B-9397-08002B2CF9AE}" pid="5" name="Security Classification">
    <vt:lpwstr>{SECURITY CLASSIFICATION}</vt:lpwstr>
  </property>
</Properties>
</file>