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1F5" w:rsidRDefault="00E321F5" w:rsidP="000E21BF">
      <w:pPr>
        <w:pStyle w:val="SpaceAbove"/>
      </w:pPr>
      <w:bookmarkStart w:id="0" w:name="_GoBack"/>
      <w:bookmarkEnd w:id="0"/>
    </w:p>
    <w:sdt>
      <w:sdtPr>
        <w:rPr>
          <w:rFonts w:ascii="Times New Roman" w:eastAsiaTheme="minorEastAsia" w:hAnsi="Times New Roman" w:cstheme="minorBidi"/>
          <w:sz w:val="22"/>
          <w:szCs w:val="22"/>
        </w:rPr>
        <w:id w:val="-558474760"/>
        <w:docPartObj>
          <w:docPartGallery w:val="Cover Pages"/>
          <w:docPartUnique/>
        </w:docPartObj>
      </w:sdtPr>
      <w:sdtEndPr>
        <w:rPr>
          <w:rFonts w:asciiTheme="minorHAnsi" w:eastAsia="Times New Roman" w:hAnsiTheme="minorHAnsi" w:cs="Times New Roman"/>
          <w:sz w:val="24"/>
          <w:szCs w:val="24"/>
        </w:rPr>
      </w:sdtEndPr>
      <w:sdtContent>
        <w:tbl>
          <w:tblPr>
            <w:tblStyle w:val="TableGrid"/>
            <w:tblW w:w="1020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3"/>
            <w:gridCol w:w="6023"/>
          </w:tblGrid>
          <w:tr w:rsidR="00E321F5" w:rsidTr="003739E4">
            <w:trPr>
              <w:cantSplit/>
              <w:trHeight w:hRule="exact" w:val="454"/>
            </w:trPr>
            <w:tc>
              <w:tcPr>
                <w:tcW w:w="4183" w:type="dxa"/>
                <w:shd w:val="clear" w:color="auto" w:fill="000000" w:themeFill="text1"/>
                <w:vAlign w:val="center"/>
              </w:tcPr>
              <w:p w:rsidR="00E321F5" w:rsidRDefault="00E321F5" w:rsidP="000E21BF"/>
            </w:tc>
            <w:tc>
              <w:tcPr>
                <w:tcW w:w="6023" w:type="dxa"/>
                <w:shd w:val="clear" w:color="auto" w:fill="000000" w:themeFill="text1"/>
                <w:vAlign w:val="center"/>
              </w:tcPr>
              <w:p w:rsidR="00E321F5" w:rsidRPr="005E798E" w:rsidRDefault="00E321F5" w:rsidP="003739E4">
                <w:pPr>
                  <w:pStyle w:val="TextBrandingPurple"/>
                </w:pPr>
                <w:r w:rsidRPr="005E798E">
                  <w:t xml:space="preserve">Acil allen </w:t>
                </w:r>
                <w:r w:rsidRPr="005E798E">
                  <w:rPr>
                    <w:rStyle w:val="ACILAllenYellow"/>
                  </w:rPr>
                  <w:t>Consulting</w:t>
                </w:r>
              </w:p>
            </w:tc>
          </w:tr>
          <w:tr w:rsidR="00E321F5" w:rsidTr="003739E4">
            <w:trPr>
              <w:cantSplit/>
              <w:trHeight w:hRule="exact" w:val="794"/>
            </w:trPr>
            <w:tc>
              <w:tcPr>
                <w:tcW w:w="4183" w:type="dxa"/>
              </w:tcPr>
              <w:p w:rsidR="00E321F5" w:rsidRDefault="00E321F5"/>
            </w:tc>
            <w:tc>
              <w:tcPr>
                <w:tcW w:w="6023" w:type="dxa"/>
                <w:vAlign w:val="bottom"/>
              </w:tcPr>
              <w:p w:rsidR="00E321F5" w:rsidRPr="00323B84" w:rsidRDefault="00E321F5" w:rsidP="000E21BF">
                <w:pPr>
                  <w:pStyle w:val="ReportTo"/>
                </w:pPr>
                <w:r>
                  <w:t>Report to</w:t>
                </w:r>
              </w:p>
            </w:tc>
          </w:tr>
          <w:tr w:rsidR="00E321F5" w:rsidTr="003739E4">
            <w:trPr>
              <w:cantSplit/>
              <w:trHeight w:val="737"/>
            </w:trPr>
            <w:tc>
              <w:tcPr>
                <w:tcW w:w="4183" w:type="dxa"/>
              </w:tcPr>
              <w:p w:rsidR="00E321F5" w:rsidRPr="00323B84" w:rsidRDefault="00E321F5" w:rsidP="000E21BF">
                <w:pPr>
                  <w:rPr>
                    <w:rFonts w:ascii="Novecento Book" w:hAnsi="Novecento Book"/>
                    <w:sz w:val="22"/>
                  </w:rPr>
                </w:pPr>
              </w:p>
            </w:tc>
            <w:tc>
              <w:tcPr>
                <w:tcW w:w="6023" w:type="dxa"/>
                <w:tcBorders>
                  <w:bottom w:val="single" w:sz="4" w:space="0" w:color="auto"/>
                </w:tcBorders>
              </w:tcPr>
              <w:p w:rsidR="00E321F5" w:rsidRPr="00323B84" w:rsidRDefault="00E321F5" w:rsidP="000E21BF">
                <w:pPr>
                  <w:pStyle w:val="PreparedFor0"/>
                </w:pPr>
                <w:r w:rsidRPr="00E321F5">
                  <w:t>the Department of Innovation, Industry, Climate Change, Science, Research and Tertiary Education</w:t>
                </w:r>
              </w:p>
            </w:tc>
          </w:tr>
          <w:tr w:rsidR="00E321F5" w:rsidTr="003739E4">
            <w:trPr>
              <w:cantSplit/>
              <w:trHeight w:hRule="exact" w:val="567"/>
            </w:trPr>
            <w:tc>
              <w:tcPr>
                <w:tcW w:w="4183" w:type="dxa"/>
              </w:tcPr>
              <w:p w:rsidR="00E321F5" w:rsidRDefault="00E321F5" w:rsidP="000E21BF"/>
            </w:tc>
            <w:tc>
              <w:tcPr>
                <w:tcW w:w="6023" w:type="dxa"/>
                <w:tcBorders>
                  <w:top w:val="single" w:sz="4" w:space="0" w:color="auto"/>
                </w:tcBorders>
              </w:tcPr>
              <w:p w:rsidR="00E321F5" w:rsidRPr="004E6210" w:rsidRDefault="00473D35" w:rsidP="006752E4">
                <w:pPr>
                  <w:pStyle w:val="Date"/>
                </w:pPr>
                <w:r>
                  <w:t>4</w:t>
                </w:r>
                <w:r w:rsidR="00E321F5" w:rsidRPr="004E6210">
                  <w:t xml:space="preserve"> </w:t>
                </w:r>
                <w:sdt>
                  <w:sdtPr>
                    <w:id w:val="-512677795"/>
                    <w:date w:fullDate="2013-09-03T00:00:00Z">
                      <w:dateFormat w:val="MMMM yyyy"/>
                      <w:lid w:val="en-AU"/>
                      <w:storeMappedDataAs w:val="dateTime"/>
                      <w:calendar w:val="gregorian"/>
                    </w:date>
                  </w:sdtPr>
                  <w:sdtEndPr/>
                  <w:sdtContent>
                    <w:r w:rsidR="00575553">
                      <w:t>September 2013</w:t>
                    </w:r>
                  </w:sdtContent>
                </w:sdt>
              </w:p>
            </w:tc>
          </w:tr>
          <w:tr w:rsidR="00E321F5" w:rsidTr="003739E4">
            <w:trPr>
              <w:cantSplit/>
              <w:trHeight w:hRule="exact" w:val="2461"/>
            </w:trPr>
            <w:tc>
              <w:tcPr>
                <w:tcW w:w="4183" w:type="dxa"/>
                <w:tcBorders>
                  <w:bottom w:val="single" w:sz="4" w:space="0" w:color="auto"/>
                </w:tcBorders>
              </w:tcPr>
              <w:p w:rsidR="00E321F5" w:rsidRDefault="00E321F5"/>
            </w:tc>
            <w:tc>
              <w:tcPr>
                <w:tcW w:w="6023" w:type="dxa"/>
                <w:tcBorders>
                  <w:bottom w:val="single" w:sz="4" w:space="0" w:color="auto"/>
                </w:tcBorders>
              </w:tcPr>
              <w:p w:rsidR="00E321F5" w:rsidRPr="000E21BF" w:rsidRDefault="00E321F5" w:rsidP="00E321F5">
                <w:pPr>
                  <w:pStyle w:val="TitleShort"/>
                </w:pPr>
                <w:r w:rsidRPr="00E321F5">
                  <w:t>Electricity sector emissions</w:t>
                </w:r>
              </w:p>
            </w:tc>
          </w:tr>
          <w:tr w:rsidR="00E321F5" w:rsidTr="003739E4">
            <w:trPr>
              <w:cantSplit/>
              <w:trHeight w:hRule="exact" w:val="386"/>
            </w:trPr>
            <w:tc>
              <w:tcPr>
                <w:tcW w:w="4183" w:type="dxa"/>
                <w:tcBorders>
                  <w:top w:val="single" w:sz="4" w:space="0" w:color="auto"/>
                </w:tcBorders>
              </w:tcPr>
              <w:p w:rsidR="00E321F5" w:rsidRPr="00D64897" w:rsidRDefault="00E321F5" w:rsidP="000E21BF">
                <w:pPr>
                  <w:pStyle w:val="CoverPageDeltas"/>
                </w:pPr>
                <w:r>
                  <w:rPr>
                    <w:noProof/>
                    <w:lang w:eastAsia="en-AU"/>
                  </w:rPr>
                  <w:drawing>
                    <wp:inline distT="0" distB="0" distL="0" distR="0" wp14:anchorId="02D826CC" wp14:editId="39551B61">
                      <wp:extent cx="699715" cy="342555"/>
                      <wp:effectExtent l="0" t="0" r="571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5319" cy="345299"/>
                              </a:xfrm>
                              <a:prstGeom prst="rect">
                                <a:avLst/>
                              </a:prstGeom>
                            </pic:spPr>
                          </pic:pic>
                        </a:graphicData>
                      </a:graphic>
                    </wp:inline>
                  </w:drawing>
                </w:r>
              </w:p>
            </w:tc>
            <w:tc>
              <w:tcPr>
                <w:tcW w:w="6023" w:type="dxa"/>
                <w:tcBorders>
                  <w:top w:val="single" w:sz="4" w:space="0" w:color="auto"/>
                </w:tcBorders>
              </w:tcPr>
              <w:p w:rsidR="00E321F5" w:rsidRPr="00A9191A" w:rsidRDefault="00E321F5" w:rsidP="000E21BF">
                <w:pPr>
                  <w:pStyle w:val="CoverPageDeltas"/>
                </w:pPr>
              </w:p>
            </w:tc>
          </w:tr>
          <w:tr w:rsidR="00E321F5" w:rsidTr="003739E4">
            <w:trPr>
              <w:cantSplit/>
              <w:trHeight w:hRule="exact" w:val="1134"/>
            </w:trPr>
            <w:tc>
              <w:tcPr>
                <w:tcW w:w="4183" w:type="dxa"/>
              </w:tcPr>
              <w:p w:rsidR="00E321F5" w:rsidRDefault="00E321F5" w:rsidP="000E21BF">
                <w:pPr>
                  <w:jc w:val="right"/>
                </w:pPr>
              </w:p>
            </w:tc>
            <w:tc>
              <w:tcPr>
                <w:tcW w:w="6023" w:type="dxa"/>
              </w:tcPr>
              <w:p w:rsidR="00E321F5" w:rsidRPr="003D3E12" w:rsidRDefault="00E321F5" w:rsidP="003739E4">
                <w:pPr>
                  <w:pStyle w:val="Title"/>
                </w:pPr>
                <w:r w:rsidRPr="00E321F5">
                  <w:t>modelling of the Australian electricity generation sector</w:t>
                </w:r>
              </w:p>
            </w:tc>
          </w:tr>
          <w:tr w:rsidR="00E321F5" w:rsidTr="003739E4">
            <w:trPr>
              <w:cantSplit/>
              <w:trHeight w:hRule="exact" w:val="794"/>
            </w:trPr>
            <w:tc>
              <w:tcPr>
                <w:tcW w:w="4183" w:type="dxa"/>
                <w:vAlign w:val="bottom"/>
              </w:tcPr>
              <w:p w:rsidR="00E321F5" w:rsidRDefault="00E321F5" w:rsidP="000E21BF"/>
            </w:tc>
            <w:tc>
              <w:tcPr>
                <w:tcW w:w="6023" w:type="dxa"/>
              </w:tcPr>
              <w:p w:rsidR="00E321F5" w:rsidRPr="003D3E12" w:rsidRDefault="00E321F5" w:rsidP="000E21BF">
                <w:pPr>
                  <w:pStyle w:val="Subtitle0"/>
                </w:pPr>
              </w:p>
            </w:tc>
          </w:tr>
          <w:tr w:rsidR="00E321F5" w:rsidTr="003739E4">
            <w:trPr>
              <w:cantSplit/>
              <w:trHeight w:hRule="exact" w:val="6803"/>
            </w:trPr>
            <w:tc>
              <w:tcPr>
                <w:tcW w:w="10206" w:type="dxa"/>
                <w:gridSpan w:val="2"/>
                <w:vAlign w:val="bottom"/>
              </w:tcPr>
              <w:p w:rsidR="00E321F5" w:rsidRDefault="00E321F5" w:rsidP="000E21BF">
                <w:pPr>
                  <w:pStyle w:val="Image"/>
                </w:pPr>
                <w:r>
                  <w:drawing>
                    <wp:inline distT="0" distB="0" distL="0" distR="0" wp14:anchorId="110825B8" wp14:editId="009BC749">
                      <wp:extent cx="5939790" cy="427545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urp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4275455"/>
                              </a:xfrm>
                              <a:prstGeom prst="rect">
                                <a:avLst/>
                              </a:prstGeom>
                            </pic:spPr>
                          </pic:pic>
                        </a:graphicData>
                      </a:graphic>
                    </wp:inline>
                  </w:drawing>
                </w:r>
              </w:p>
            </w:tc>
          </w:tr>
        </w:tbl>
        <w:p w:rsidR="00E321F5" w:rsidRDefault="00E321F5">
          <w:pPr>
            <w:spacing w:before="180" w:line="300" w:lineRule="exact"/>
          </w:pPr>
          <w:r>
            <w:br w:type="page"/>
          </w:r>
        </w:p>
        <w:tbl>
          <w:tblPr>
            <w:tblStyle w:val="TableGrid"/>
            <w:tblW w:w="0" w:type="auto"/>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1"/>
            <w:gridCol w:w="2693"/>
          </w:tblGrid>
          <w:tr w:rsidR="00E321F5" w:rsidTr="003739E4">
            <w:trPr>
              <w:cantSplit/>
              <w:trHeight w:hRule="exact" w:val="692"/>
            </w:trPr>
            <w:tc>
              <w:tcPr>
                <w:tcW w:w="5571" w:type="dxa"/>
                <w:tcBorders>
                  <w:bottom w:val="single" w:sz="8" w:space="0" w:color="A6A6A6" w:themeColor="background1" w:themeShade="A6"/>
                </w:tcBorders>
              </w:tcPr>
              <w:p w:rsidR="00E321F5" w:rsidRDefault="00E321F5" w:rsidP="000E21BF">
                <w:pPr>
                  <w:pStyle w:val="ContactPageDeltas"/>
                </w:pPr>
              </w:p>
            </w:tc>
            <w:tc>
              <w:tcPr>
                <w:tcW w:w="2693" w:type="dxa"/>
                <w:tcBorders>
                  <w:bottom w:val="single" w:sz="8" w:space="0" w:color="A6A6A6" w:themeColor="background1" w:themeShade="A6"/>
                </w:tcBorders>
              </w:tcPr>
              <w:p w:rsidR="00E321F5" w:rsidRDefault="00E321F5" w:rsidP="000E21BF">
                <w:pPr>
                  <w:pStyle w:val="ContactPageDeltas"/>
                </w:pPr>
                <w:r>
                  <w:rPr>
                    <w:noProof/>
                    <w:lang w:eastAsia="en-AU"/>
                  </w:rPr>
                  <w:drawing>
                    <wp:inline distT="0" distB="0" distL="0" distR="0" wp14:anchorId="7338DAE9" wp14:editId="673320F8">
                      <wp:extent cx="882595" cy="441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YELL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2184" cy="441092"/>
                              </a:xfrm>
                              <a:prstGeom prst="rect">
                                <a:avLst/>
                              </a:prstGeom>
                            </pic:spPr>
                          </pic:pic>
                        </a:graphicData>
                      </a:graphic>
                    </wp:inline>
                  </w:drawing>
                </w:r>
              </w:p>
            </w:tc>
          </w:tr>
          <w:tr w:rsidR="00E321F5" w:rsidRPr="008614D0" w:rsidTr="003739E4">
            <w:trPr>
              <w:cantSplit/>
              <w:trHeight w:hRule="exact" w:val="7427"/>
            </w:trPr>
            <w:tc>
              <w:tcPr>
                <w:tcW w:w="5571" w:type="dxa"/>
                <w:tcBorders>
                  <w:top w:val="single" w:sz="8" w:space="0" w:color="A6A6A6" w:themeColor="background1" w:themeShade="A6"/>
                </w:tcBorders>
                <w:vAlign w:val="bottom"/>
              </w:tcPr>
              <w:p w:rsidR="00E321F5" w:rsidRDefault="00E321F5" w:rsidP="003739E4">
                <w:pPr>
                  <w:pStyle w:val="CoverInfo"/>
                  <w:ind w:left="1068" w:hanging="1068"/>
                  <w:rPr>
                    <w:lang w:val="en-AU"/>
                  </w:rPr>
                </w:pPr>
                <w:r>
                  <w:rPr>
                    <w:lang w:val="en-AU"/>
                  </w:rPr>
                  <w:t>For information on this report please contact</w:t>
                </w:r>
                <w:r w:rsidR="007A37D4">
                  <w:rPr>
                    <w:lang w:val="en-AU"/>
                  </w:rPr>
                  <w:t>:</w:t>
                </w:r>
                <w:r w:rsidR="007A37D4">
                  <w:rPr>
                    <w:lang w:val="en-AU"/>
                  </w:rPr>
                  <w:br/>
                </w:r>
              </w:p>
              <w:p w:rsidR="00E321F5" w:rsidRPr="007A37D4" w:rsidRDefault="00E321F5" w:rsidP="003739E4">
                <w:pPr>
                  <w:pStyle w:val="CoverInfo"/>
                  <w:ind w:left="1068" w:hanging="1068"/>
                  <w:rPr>
                    <w:b/>
                    <w:lang w:val="en-AU"/>
                  </w:rPr>
                </w:pPr>
                <w:r w:rsidRPr="007A37D4">
                  <w:rPr>
                    <w:b/>
                    <w:lang w:val="en-AU"/>
                  </w:rPr>
                  <w:t>Owen Kelp</w:t>
                </w:r>
              </w:p>
              <w:p w:rsidR="00E321F5" w:rsidRDefault="00E321F5" w:rsidP="003739E4">
                <w:pPr>
                  <w:pStyle w:val="CoverInfo"/>
                  <w:ind w:left="1068" w:hanging="1068"/>
                  <w:rPr>
                    <w:lang w:val="en-AU"/>
                  </w:rPr>
                </w:pPr>
                <w:r>
                  <w:rPr>
                    <w:lang w:val="en-AU"/>
                  </w:rPr>
                  <w:t>Principal</w:t>
                </w:r>
              </w:p>
              <w:p w:rsidR="00E321F5" w:rsidRPr="00E321F5" w:rsidRDefault="00E321F5" w:rsidP="00E321F5">
                <w:pPr>
                  <w:pStyle w:val="CoverInfo"/>
                  <w:ind w:left="1068" w:hanging="1068"/>
                  <w:rPr>
                    <w:lang w:val="en-AU"/>
                  </w:rPr>
                </w:pPr>
                <w:r w:rsidRPr="00E321F5">
                  <w:rPr>
                    <w:lang w:val="en-AU"/>
                  </w:rPr>
                  <w:t>Telephone</w:t>
                </w:r>
                <w:r w:rsidRPr="00E321F5">
                  <w:rPr>
                    <w:lang w:val="en-AU"/>
                  </w:rPr>
                  <w:tab/>
                  <w:t>(0</w:t>
                </w:r>
                <w:r>
                  <w:rPr>
                    <w:lang w:val="en-AU"/>
                  </w:rPr>
                  <w:t>7</w:t>
                </w:r>
                <w:r w:rsidRPr="00E321F5">
                  <w:rPr>
                    <w:lang w:val="en-AU"/>
                  </w:rPr>
                  <w:t xml:space="preserve">) </w:t>
                </w:r>
                <w:r>
                  <w:rPr>
                    <w:lang w:val="en-AU"/>
                  </w:rPr>
                  <w:t>3009</w:t>
                </w:r>
                <w:r w:rsidRPr="00E321F5">
                  <w:rPr>
                    <w:lang w:val="en-AU"/>
                  </w:rPr>
                  <w:t xml:space="preserve"> </w:t>
                </w:r>
                <w:r>
                  <w:rPr>
                    <w:lang w:val="en-AU"/>
                  </w:rPr>
                  <w:t>8711</w:t>
                </w:r>
              </w:p>
              <w:p w:rsidR="00E321F5" w:rsidRPr="00E321F5" w:rsidRDefault="00E321F5" w:rsidP="00E321F5">
                <w:pPr>
                  <w:pStyle w:val="CoverInfo"/>
                  <w:ind w:left="1068" w:hanging="1068"/>
                  <w:rPr>
                    <w:lang w:val="en-AU"/>
                  </w:rPr>
                </w:pPr>
                <w:r w:rsidRPr="00E321F5">
                  <w:rPr>
                    <w:lang w:val="en-AU"/>
                  </w:rPr>
                  <w:t>Mobile</w:t>
                </w:r>
                <w:r w:rsidRPr="00E321F5">
                  <w:rPr>
                    <w:lang w:val="en-AU"/>
                  </w:rPr>
                  <w:tab/>
                  <w:t>040</w:t>
                </w:r>
                <w:r>
                  <w:rPr>
                    <w:lang w:val="en-AU"/>
                  </w:rPr>
                  <w:t>4</w:t>
                </w:r>
                <w:r w:rsidRPr="00E321F5">
                  <w:rPr>
                    <w:lang w:val="en-AU"/>
                  </w:rPr>
                  <w:t xml:space="preserve"> </w:t>
                </w:r>
                <w:r>
                  <w:rPr>
                    <w:lang w:val="en-AU"/>
                  </w:rPr>
                  <w:t>811</w:t>
                </w:r>
                <w:r w:rsidRPr="00E321F5">
                  <w:rPr>
                    <w:lang w:val="en-AU"/>
                  </w:rPr>
                  <w:t xml:space="preserve"> </w:t>
                </w:r>
                <w:r>
                  <w:rPr>
                    <w:lang w:val="en-AU"/>
                  </w:rPr>
                  <w:t>359</w:t>
                </w:r>
              </w:p>
              <w:p w:rsidR="00E321F5" w:rsidRDefault="00E321F5" w:rsidP="00E321F5">
                <w:pPr>
                  <w:pStyle w:val="CoverInfo"/>
                  <w:ind w:left="1068" w:hanging="1068"/>
                  <w:rPr>
                    <w:lang w:val="en-AU"/>
                  </w:rPr>
                </w:pPr>
                <w:r>
                  <w:rPr>
                    <w:lang w:val="en-AU"/>
                  </w:rPr>
                  <w:t>Email</w:t>
                </w:r>
                <w:r>
                  <w:rPr>
                    <w:lang w:val="en-AU"/>
                  </w:rPr>
                  <w:tab/>
                </w:r>
                <w:hyperlink r:id="rId12" w:history="1">
                  <w:r w:rsidR="007A37D4" w:rsidRPr="00293032">
                    <w:rPr>
                      <w:rStyle w:val="Hyperlink"/>
                      <w:lang w:val="en-AU"/>
                    </w:rPr>
                    <w:t>o.kelp@acilallen.com.au</w:t>
                  </w:r>
                </w:hyperlink>
              </w:p>
              <w:p w:rsidR="007A37D4" w:rsidRDefault="007A37D4" w:rsidP="00E321F5">
                <w:pPr>
                  <w:pStyle w:val="CoverInfo"/>
                  <w:ind w:left="1068" w:hanging="1068"/>
                  <w:rPr>
                    <w:lang w:val="en-AU"/>
                  </w:rPr>
                </w:pPr>
              </w:p>
              <w:p w:rsidR="007A37D4" w:rsidRPr="007A37D4" w:rsidRDefault="007A37D4" w:rsidP="00E321F5">
                <w:pPr>
                  <w:pStyle w:val="CoverInfo"/>
                  <w:ind w:left="1068" w:hanging="1068"/>
                  <w:rPr>
                    <w:b/>
                    <w:lang w:val="en-AU"/>
                  </w:rPr>
                </w:pPr>
                <w:r w:rsidRPr="007A37D4">
                  <w:rPr>
                    <w:b/>
                    <w:lang w:val="en-AU"/>
                  </w:rPr>
                  <w:t>Guy Dundas</w:t>
                </w:r>
              </w:p>
              <w:p w:rsidR="007A37D4" w:rsidRDefault="007A37D4" w:rsidP="00E321F5">
                <w:pPr>
                  <w:pStyle w:val="CoverInfo"/>
                  <w:ind w:left="1068" w:hanging="1068"/>
                  <w:rPr>
                    <w:lang w:val="en-AU"/>
                  </w:rPr>
                </w:pPr>
                <w:r>
                  <w:rPr>
                    <w:lang w:val="en-AU"/>
                  </w:rPr>
                  <w:t>Senior Consultant</w:t>
                </w:r>
              </w:p>
              <w:p w:rsidR="007A37D4" w:rsidRPr="00E321F5" w:rsidRDefault="007A37D4" w:rsidP="007A37D4">
                <w:pPr>
                  <w:pStyle w:val="CoverInfo"/>
                  <w:ind w:left="1068" w:hanging="1068"/>
                  <w:rPr>
                    <w:lang w:val="en-AU"/>
                  </w:rPr>
                </w:pPr>
                <w:r w:rsidRPr="00E321F5">
                  <w:rPr>
                    <w:lang w:val="en-AU"/>
                  </w:rPr>
                  <w:t>Telephone</w:t>
                </w:r>
                <w:r w:rsidRPr="00E321F5">
                  <w:rPr>
                    <w:lang w:val="en-AU"/>
                  </w:rPr>
                  <w:tab/>
                </w:r>
                <w:r w:rsidRPr="007A37D4">
                  <w:rPr>
                    <w:lang w:val="en-AU"/>
                  </w:rPr>
                  <w:t>(02) 6103 8208</w:t>
                </w:r>
              </w:p>
              <w:p w:rsidR="007A37D4" w:rsidRPr="00E321F5" w:rsidRDefault="007A37D4" w:rsidP="007A37D4">
                <w:pPr>
                  <w:pStyle w:val="CoverInfo"/>
                  <w:ind w:left="1068" w:hanging="1068"/>
                  <w:rPr>
                    <w:lang w:val="en-AU"/>
                  </w:rPr>
                </w:pPr>
                <w:r w:rsidRPr="00E321F5">
                  <w:rPr>
                    <w:lang w:val="en-AU"/>
                  </w:rPr>
                  <w:t>Mobile</w:t>
                </w:r>
                <w:r w:rsidRPr="00E321F5">
                  <w:rPr>
                    <w:lang w:val="en-AU"/>
                  </w:rPr>
                  <w:tab/>
                </w:r>
                <w:r w:rsidRPr="007A37D4">
                  <w:rPr>
                    <w:lang w:val="en-AU"/>
                  </w:rPr>
                  <w:t>0405 169 116</w:t>
                </w:r>
              </w:p>
              <w:p w:rsidR="007A37D4" w:rsidRDefault="007A37D4" w:rsidP="007A37D4">
                <w:pPr>
                  <w:pStyle w:val="CoverInfo"/>
                  <w:ind w:left="1068" w:hanging="1068"/>
                  <w:rPr>
                    <w:lang w:val="en-AU"/>
                  </w:rPr>
                </w:pPr>
                <w:r>
                  <w:rPr>
                    <w:lang w:val="en-AU"/>
                  </w:rPr>
                  <w:t>Email</w:t>
                </w:r>
                <w:r>
                  <w:rPr>
                    <w:lang w:val="en-AU"/>
                  </w:rPr>
                  <w:tab/>
                </w:r>
                <w:hyperlink r:id="rId13" w:history="1">
                  <w:r w:rsidRPr="00293032">
                    <w:rPr>
                      <w:rStyle w:val="Hyperlink"/>
                      <w:lang w:val="en-AU"/>
                    </w:rPr>
                    <w:t>g.dundas@acilallen.com.au</w:t>
                  </w:r>
                </w:hyperlink>
              </w:p>
              <w:p w:rsidR="007A37D4" w:rsidRPr="008614D0" w:rsidRDefault="007A37D4" w:rsidP="007A37D4">
                <w:pPr>
                  <w:pStyle w:val="CoverInfo"/>
                  <w:rPr>
                    <w:lang w:val="en-AU"/>
                  </w:rPr>
                </w:pPr>
              </w:p>
            </w:tc>
            <w:tc>
              <w:tcPr>
                <w:tcW w:w="2693" w:type="dxa"/>
                <w:tcBorders>
                  <w:top w:val="single" w:sz="8" w:space="0" w:color="A6A6A6" w:themeColor="background1" w:themeShade="A6"/>
                </w:tcBorders>
              </w:tcPr>
              <w:p w:rsidR="00E321F5" w:rsidRPr="008614D0" w:rsidRDefault="00E321F5" w:rsidP="003739E4">
                <w:pPr>
                  <w:pStyle w:val="Contact"/>
                </w:pPr>
                <w:r w:rsidRPr="008614D0">
                  <w:t>ACIL ALLEN CONSULTING PTY LTD</w:t>
                </w:r>
                <w:r w:rsidRPr="008614D0">
                  <w:br/>
                  <w:t>ABN 68 102 652 148</w:t>
                </w:r>
              </w:p>
              <w:p w:rsidR="00E321F5" w:rsidRPr="008614D0" w:rsidRDefault="00E321F5" w:rsidP="003739E4">
                <w:pPr>
                  <w:pStyle w:val="Contact"/>
                </w:pPr>
                <w:r w:rsidRPr="008614D0">
                  <w:t>Level FIFTEEN</w:t>
                </w:r>
                <w:r w:rsidRPr="008614D0">
                  <w:br/>
                  <w:t>127 Creek Street</w:t>
                </w:r>
                <w:r w:rsidRPr="008614D0">
                  <w:br/>
                  <w:t>Brisbane QLD 4000</w:t>
                </w:r>
                <w:r w:rsidRPr="008614D0">
                  <w:br/>
                  <w:t>Australia</w:t>
                </w:r>
                <w:r w:rsidRPr="008614D0">
                  <w:br/>
                  <w:t>T+61 7 3009 8700</w:t>
                </w:r>
                <w:r w:rsidRPr="008614D0">
                  <w:br/>
                  <w:t>F+61 7 3009 8799</w:t>
                </w:r>
              </w:p>
              <w:p w:rsidR="00E321F5" w:rsidRPr="008614D0" w:rsidRDefault="00E321F5" w:rsidP="003739E4">
                <w:pPr>
                  <w:pStyle w:val="Contact"/>
                </w:pPr>
                <w:r w:rsidRPr="008614D0">
                  <w:t>Level TWO</w:t>
                </w:r>
                <w:r w:rsidRPr="008614D0">
                  <w:br/>
                  <w:t>33 Ainslie Place</w:t>
                </w:r>
                <w:r w:rsidRPr="008614D0">
                  <w:br/>
                  <w:t>CANBERRA ACT 2600</w:t>
                </w:r>
                <w:r w:rsidRPr="008614D0">
                  <w:br/>
                  <w:t>AUSTRALIA</w:t>
                </w:r>
                <w:r w:rsidRPr="008614D0">
                  <w:br/>
                  <w:t>T+61 2 6103 8200</w:t>
                </w:r>
                <w:r w:rsidRPr="008614D0">
                  <w:br/>
                  <w:t>F+61 2 6103 8233</w:t>
                </w:r>
              </w:p>
              <w:p w:rsidR="00E321F5" w:rsidRPr="008614D0" w:rsidRDefault="00E321F5" w:rsidP="003739E4">
                <w:pPr>
                  <w:pStyle w:val="Contact"/>
                </w:pPr>
                <w:r w:rsidRPr="008614D0">
                  <w:t>Level NINE</w:t>
                </w:r>
                <w:r w:rsidRPr="008614D0">
                  <w:br/>
                  <w:t>60 Collins Street</w:t>
                </w:r>
                <w:r w:rsidRPr="008614D0">
                  <w:br/>
                  <w:t>MELBOURNE VIC 3000</w:t>
                </w:r>
                <w:r w:rsidRPr="008614D0">
                  <w:br/>
                  <w:t>AUSTRALIA</w:t>
                </w:r>
                <w:r w:rsidRPr="008614D0">
                  <w:br/>
                  <w:t>T+61 3 8650 6000</w:t>
                </w:r>
                <w:r w:rsidRPr="008614D0">
                  <w:br/>
                  <w:t>F+61 3 9654 6363</w:t>
                </w:r>
              </w:p>
              <w:p w:rsidR="00E321F5" w:rsidRPr="008614D0" w:rsidRDefault="00E321F5" w:rsidP="003739E4">
                <w:pPr>
                  <w:pStyle w:val="Contact"/>
                </w:pPr>
                <w:r w:rsidRPr="008614D0">
                  <w:t>Level one</w:t>
                </w:r>
                <w:r w:rsidRPr="008614D0">
                  <w:br/>
                  <w:t>50 Pitt Street</w:t>
                </w:r>
                <w:r w:rsidRPr="008614D0">
                  <w:br/>
                  <w:t>SYDNEY NSW 2000</w:t>
                </w:r>
                <w:r w:rsidRPr="008614D0">
                  <w:br/>
                  <w:t>AUSTRALIA</w:t>
                </w:r>
                <w:r w:rsidRPr="008614D0">
                  <w:br/>
                  <w:t>T+61 2 8272 5100</w:t>
                </w:r>
                <w:r w:rsidRPr="008614D0">
                  <w:br/>
                  <w:t>F+61 2 9247 2455</w:t>
                </w:r>
              </w:p>
              <w:p w:rsidR="00E321F5" w:rsidRPr="008614D0" w:rsidRDefault="00E321F5" w:rsidP="003739E4">
                <w:pPr>
                  <w:pStyle w:val="Contact"/>
                </w:pPr>
                <w:r w:rsidRPr="008614D0">
                  <w:t>Suite C2 Centa Building</w:t>
                </w:r>
                <w:r w:rsidRPr="008614D0">
                  <w:br/>
                  <w:t>118 Railway Street</w:t>
                </w:r>
                <w:r w:rsidRPr="008614D0">
                  <w:br/>
                  <w:t>WEST PERTH WA 6005</w:t>
                </w:r>
                <w:r w:rsidRPr="008614D0">
                  <w:br/>
                  <w:t>AUSTRALIA</w:t>
                </w:r>
                <w:r w:rsidRPr="008614D0">
                  <w:br/>
                  <w:t>T+61 8 9449 9600</w:t>
                </w:r>
                <w:r w:rsidRPr="008614D0">
                  <w:br/>
                  <w:t>F+61 8 9322 3955</w:t>
                </w:r>
              </w:p>
              <w:p w:rsidR="00E321F5" w:rsidRPr="008614D0" w:rsidRDefault="00E321F5" w:rsidP="003739E4">
                <w:pPr>
                  <w:pStyle w:val="Contact"/>
                </w:pPr>
                <w:r w:rsidRPr="008614D0">
                  <w:t>Acilallen.com.au</w:t>
                </w:r>
              </w:p>
            </w:tc>
          </w:tr>
          <w:tr w:rsidR="00E321F5" w:rsidRPr="008614D0" w:rsidTr="00351B0D">
            <w:trPr>
              <w:cantSplit/>
              <w:trHeight w:hRule="exact" w:val="2701"/>
            </w:trPr>
            <w:tc>
              <w:tcPr>
                <w:tcW w:w="5571" w:type="dxa"/>
                <w:vAlign w:val="bottom"/>
              </w:tcPr>
              <w:p w:rsidR="00E321F5" w:rsidRPr="008614D0" w:rsidRDefault="00E321F5" w:rsidP="003739E4">
                <w:pPr>
                  <w:pStyle w:val="CoverInfo"/>
                  <w:rPr>
                    <w:lang w:val="en-AU"/>
                  </w:rPr>
                </w:pPr>
              </w:p>
            </w:tc>
            <w:tc>
              <w:tcPr>
                <w:tcW w:w="2693" w:type="dxa"/>
                <w:tcBorders>
                  <w:top w:val="single" w:sz="8" w:space="0" w:color="A6A6A6" w:themeColor="background1" w:themeShade="A6"/>
                </w:tcBorders>
                <w:vAlign w:val="bottom"/>
              </w:tcPr>
              <w:p w:rsidR="00E321F5" w:rsidRPr="008614D0" w:rsidRDefault="00E321F5" w:rsidP="003739E4">
                <w:pPr>
                  <w:pStyle w:val="Contact"/>
                </w:pPr>
              </w:p>
            </w:tc>
          </w:tr>
          <w:tr w:rsidR="00E321F5" w:rsidRPr="008614D0" w:rsidTr="00351B0D">
            <w:trPr>
              <w:cantSplit/>
              <w:trHeight w:hRule="exact" w:val="3372"/>
            </w:trPr>
            <w:tc>
              <w:tcPr>
                <w:tcW w:w="8264" w:type="dxa"/>
                <w:gridSpan w:val="2"/>
              </w:tcPr>
              <w:p w:rsidR="00E321F5" w:rsidRPr="008614D0" w:rsidRDefault="00E321F5" w:rsidP="000E21BF">
                <w:pPr>
                  <w:pStyle w:val="Disclaimer"/>
                  <w:rPr>
                    <w:b/>
                  </w:rPr>
                </w:pPr>
                <w:r w:rsidRPr="008614D0">
                  <w:rPr>
                    <w:b/>
                  </w:rPr>
                  <w:t xml:space="preserve">Reliance and Disclaimer </w:t>
                </w:r>
              </w:p>
              <w:p w:rsidR="00E321F5" w:rsidRPr="008614D0" w:rsidRDefault="00E321F5" w:rsidP="000E21BF">
                <w:pPr>
                  <w:pStyle w:val="Disclaimer"/>
                </w:pPr>
                <w:r w:rsidRPr="008614D0">
                  <w:t>The professional analysis and advice in this report has been prepared by ACIL Allen Consulting for the exclusive use of the party or parties to whom it is addressed (the addressee) and for the purposes specified in it.  This report is supplied in good faith and reflects the knowledge, expertise and experience of the consultants involved.  The report must not be published, quoted or disseminated to any other party without ACIL Allen Consulting’s prior written consent.  ACIL Allen Consulting accepts no responsibility whatsoever for any loss occasioned by any person acting or refraining from action as a result of reliance on the report, other than the addressee.</w:t>
                </w:r>
              </w:p>
              <w:p w:rsidR="00E321F5" w:rsidRPr="008614D0" w:rsidRDefault="00E321F5" w:rsidP="000E21BF">
                <w:pPr>
                  <w:pStyle w:val="Disclaimer"/>
                </w:pPr>
                <w:r w:rsidRPr="008614D0">
                  <w:t>In conducting the analysis in this report ACIL Allen Consulting has endeavoured to use what it considers is the best information available at the date of publication, including information supplied by the addressee.  Unless stated otherwise, ACIL Allen Consulting does not warrant the accuracy of any forecast or PROJECTION in the report.  Although ACIL Allen Consulting exercises reasonable care when making forecasts or PROJECTIONS, factors in the process, such as future market behaviour, are inherently uncertain and cannot be forecast or PROJECTED reliably.</w:t>
                </w:r>
              </w:p>
              <w:p w:rsidR="00E321F5" w:rsidRPr="008614D0" w:rsidRDefault="00E321F5" w:rsidP="000E21BF">
                <w:pPr>
                  <w:pStyle w:val="Disclaimer"/>
                </w:pPr>
                <w:r w:rsidRPr="008614D0">
                  <w:t>ACIL Allen Consulting shall not be liable in respect of any claim arising out of the failure of a client investment to perform to the advantage of the client or to the advantage of the client to the degree suggested or assumed in any advice or forecast given by ACIL Allen Consulting.</w:t>
                </w:r>
              </w:p>
              <w:p w:rsidR="00E321F5" w:rsidRPr="00DF595B" w:rsidRDefault="00E321F5" w:rsidP="000E21BF">
                <w:pPr>
                  <w:spacing w:after="40"/>
                  <w:rPr>
                    <w:rFonts w:asciiTheme="majorHAnsi" w:hAnsiTheme="majorHAnsi" w:cstheme="majorHAnsi"/>
                    <w:caps/>
                  </w:rPr>
                </w:pPr>
                <w:r w:rsidRPr="00DF595B">
                  <w:rPr>
                    <w:rFonts w:asciiTheme="majorHAnsi" w:hAnsiTheme="majorHAnsi" w:cstheme="majorHAnsi"/>
                    <w:caps/>
                    <w:sz w:val="14"/>
                    <w:szCs w:val="16"/>
                  </w:rPr>
                  <w:t>© Acil allen consulting 2013</w:t>
                </w:r>
              </w:p>
            </w:tc>
          </w:tr>
        </w:tbl>
        <w:p w:rsidR="00E321F5" w:rsidRDefault="009926D6" w:rsidP="000E21BF">
          <w:pPr>
            <w:sectPr w:rsidR="00E321F5" w:rsidSect="000E21BF">
              <w:headerReference w:type="even" r:id="rId14"/>
              <w:headerReference w:type="default" r:id="rId15"/>
              <w:footerReference w:type="even" r:id="rId16"/>
              <w:footerReference w:type="default" r:id="rId17"/>
              <w:headerReference w:type="first" r:id="rId18"/>
              <w:footerReference w:type="first" r:id="rId19"/>
              <w:pgSz w:w="11906" w:h="16838" w:code="9"/>
              <w:pgMar w:top="1134" w:right="851" w:bottom="907" w:left="1134" w:header="709" w:footer="567" w:gutter="567"/>
              <w:pgNumType w:start="0"/>
              <w:cols w:space="708"/>
              <w:titlePg/>
              <w:docGrid w:linePitch="360"/>
            </w:sectPr>
          </w:pPr>
        </w:p>
      </w:sdtContent>
    </w:sdt>
    <w:p w:rsidR="0081772A" w:rsidRDefault="0081772A" w:rsidP="003739E4">
      <w:pPr>
        <w:pStyle w:val="SpaceAbove"/>
      </w:pPr>
    </w:p>
    <w:p w:rsidR="0081772A" w:rsidRPr="00A33AF3" w:rsidRDefault="0081772A" w:rsidP="003739E4">
      <w:pPr>
        <w:pStyle w:val="Contents"/>
      </w:pPr>
      <w:r w:rsidRPr="00A33AF3">
        <w:t>Contents</w:t>
      </w:r>
    </w:p>
    <w:p w:rsidR="004C547F" w:rsidRDefault="0081772A">
      <w:pPr>
        <w:pStyle w:val="TOC6"/>
        <w:rPr>
          <w:rFonts w:asciiTheme="minorHAnsi" w:eastAsiaTheme="minorEastAsia" w:hAnsiTheme="minorHAnsi" w:cstheme="minorBidi"/>
          <w:noProof/>
          <w:szCs w:val="22"/>
          <w:lang w:eastAsia="en-AU"/>
        </w:rPr>
      </w:pPr>
      <w:r w:rsidRPr="00A33AF3">
        <w:fldChar w:fldCharType="begin"/>
      </w:r>
      <w:r w:rsidRPr="00A33AF3">
        <w:instrText xml:space="preserve"> TOC \h \z \t "</w:instrText>
      </w:r>
      <w:r>
        <w:instrText>Exec Summary Heading</w:instrText>
      </w:r>
      <w:r w:rsidRPr="00A33AF3">
        <w:instrText xml:space="preserve">,6" </w:instrText>
      </w:r>
      <w:r w:rsidRPr="00A33AF3">
        <w:fldChar w:fldCharType="separate"/>
      </w:r>
      <w:hyperlink w:anchor="_Toc370394614" w:history="1">
        <w:r w:rsidR="004C547F" w:rsidRPr="00F85F31">
          <w:rPr>
            <w:rStyle w:val="Hyperlink"/>
            <w:noProof/>
          </w:rPr>
          <w:t>Executive summary</w:t>
        </w:r>
        <w:r w:rsidR="004C547F">
          <w:rPr>
            <w:noProof/>
            <w:webHidden/>
          </w:rPr>
          <w:tab/>
        </w:r>
        <w:r w:rsidR="004C547F">
          <w:rPr>
            <w:noProof/>
            <w:webHidden/>
          </w:rPr>
          <w:fldChar w:fldCharType="begin"/>
        </w:r>
        <w:r w:rsidR="004C547F">
          <w:rPr>
            <w:noProof/>
            <w:webHidden/>
          </w:rPr>
          <w:instrText xml:space="preserve"> PAGEREF _Toc370394614 \h </w:instrText>
        </w:r>
        <w:r w:rsidR="004C547F">
          <w:rPr>
            <w:noProof/>
            <w:webHidden/>
          </w:rPr>
        </w:r>
        <w:r w:rsidR="004C547F">
          <w:rPr>
            <w:noProof/>
            <w:webHidden/>
          </w:rPr>
          <w:fldChar w:fldCharType="separate"/>
        </w:r>
        <w:r w:rsidR="00660A8E">
          <w:rPr>
            <w:noProof/>
            <w:webHidden/>
          </w:rPr>
          <w:t>viii</w:t>
        </w:r>
        <w:r w:rsidR="004C547F">
          <w:rPr>
            <w:noProof/>
            <w:webHidden/>
          </w:rPr>
          <w:fldChar w:fldCharType="end"/>
        </w:r>
      </w:hyperlink>
    </w:p>
    <w:p w:rsidR="0081772A" w:rsidRDefault="0081772A" w:rsidP="003739E4">
      <w:pPr>
        <w:pStyle w:val="TOC6"/>
      </w:pPr>
      <w:r w:rsidRPr="00A33AF3">
        <w:fldChar w:fldCharType="end"/>
      </w:r>
    </w:p>
    <w:sdt>
      <w:sdtPr>
        <w:rPr>
          <w:rFonts w:ascii="Times New Roman" w:hAnsi="Times New Roman"/>
          <w:b w:val="0"/>
          <w:noProof w:val="0"/>
          <w:color w:val="auto"/>
          <w:sz w:val="3276"/>
          <w:szCs w:val="20"/>
          <w:lang w:eastAsia="en-US"/>
        </w:rPr>
        <w:id w:val="-2124218312"/>
        <w:docPartObj>
          <w:docPartGallery w:val="Table of Contents"/>
          <w:docPartUnique/>
        </w:docPartObj>
      </w:sdtPr>
      <w:sdtEndPr>
        <w:rPr>
          <w:rFonts w:asciiTheme="minorHAnsi" w:hAnsiTheme="minorHAnsi"/>
          <w:sz w:val="24"/>
          <w:szCs w:val="24"/>
        </w:rPr>
      </w:sdtEndPr>
      <w:sdtContent>
        <w:p w:rsidR="004C547F" w:rsidRDefault="0081772A">
          <w:pPr>
            <w:pStyle w:val="TOC1"/>
            <w:rPr>
              <w:rFonts w:asciiTheme="minorHAnsi" w:eastAsiaTheme="minorEastAsia" w:hAnsiTheme="minorHAnsi" w:cstheme="minorBidi"/>
              <w:b w:val="0"/>
              <w:color w:val="auto"/>
            </w:rPr>
          </w:pPr>
          <w:r>
            <w:rPr>
              <w:b w:val="0"/>
              <w:color w:val="9757A6" w:themeColor="text2"/>
            </w:rPr>
            <w:fldChar w:fldCharType="begin"/>
          </w:r>
          <w:r>
            <w:instrText xml:space="preserve"> TOC \h \z \t "Heading 1,1,Heading 2,2,Heading 3,3,</w:instrText>
          </w:r>
          <w:r w:rsidRPr="005E7B6E">
            <w:instrText xml:space="preserve"> </w:instrText>
          </w:r>
          <w:r>
            <w:instrText xml:space="preserve">Part,5," </w:instrText>
          </w:r>
          <w:r>
            <w:rPr>
              <w:b w:val="0"/>
              <w:color w:val="9757A6" w:themeColor="text2"/>
            </w:rPr>
            <w:fldChar w:fldCharType="separate"/>
          </w:r>
          <w:hyperlink w:anchor="_Toc370394617" w:history="1">
            <w:r w:rsidR="004C547F" w:rsidRPr="00132AF8">
              <w:rPr>
                <w:rStyle w:val="Hyperlink"/>
              </w:rPr>
              <w:t>1</w:t>
            </w:r>
            <w:r w:rsidR="004C547F">
              <w:rPr>
                <w:rFonts w:asciiTheme="minorHAnsi" w:eastAsiaTheme="minorEastAsia" w:hAnsiTheme="minorHAnsi" w:cstheme="minorBidi"/>
                <w:b w:val="0"/>
                <w:color w:val="auto"/>
              </w:rPr>
              <w:tab/>
            </w:r>
            <w:r w:rsidR="004C547F" w:rsidRPr="00132AF8">
              <w:rPr>
                <w:rStyle w:val="Hyperlink"/>
              </w:rPr>
              <w:t>Introduction</w:t>
            </w:r>
            <w:r w:rsidR="004C547F">
              <w:rPr>
                <w:webHidden/>
              </w:rPr>
              <w:tab/>
            </w:r>
            <w:r w:rsidR="004C547F">
              <w:rPr>
                <w:webHidden/>
              </w:rPr>
              <w:fldChar w:fldCharType="begin"/>
            </w:r>
            <w:r w:rsidR="004C547F">
              <w:rPr>
                <w:webHidden/>
              </w:rPr>
              <w:instrText xml:space="preserve"> PAGEREF _Toc370394617 \h </w:instrText>
            </w:r>
            <w:r w:rsidR="004C547F">
              <w:rPr>
                <w:webHidden/>
              </w:rPr>
            </w:r>
            <w:r w:rsidR="004C547F">
              <w:rPr>
                <w:webHidden/>
              </w:rPr>
              <w:fldChar w:fldCharType="separate"/>
            </w:r>
            <w:r w:rsidR="00660A8E">
              <w:rPr>
                <w:webHidden/>
              </w:rPr>
              <w:t>1</w:t>
            </w:r>
            <w:r w:rsidR="004C547F">
              <w:rPr>
                <w:webHidden/>
              </w:rPr>
              <w:fldChar w:fldCharType="end"/>
            </w:r>
          </w:hyperlink>
        </w:p>
        <w:p w:rsidR="004C547F" w:rsidRDefault="009926D6">
          <w:pPr>
            <w:pStyle w:val="TOC1"/>
            <w:rPr>
              <w:rFonts w:asciiTheme="minorHAnsi" w:eastAsiaTheme="minorEastAsia" w:hAnsiTheme="minorHAnsi" w:cstheme="minorBidi"/>
              <w:b w:val="0"/>
              <w:color w:val="auto"/>
            </w:rPr>
          </w:pPr>
          <w:hyperlink w:anchor="_Toc370394618" w:history="1">
            <w:r w:rsidR="004C547F" w:rsidRPr="00132AF8">
              <w:rPr>
                <w:rStyle w:val="Hyperlink"/>
              </w:rPr>
              <w:t>2</w:t>
            </w:r>
            <w:r w:rsidR="004C547F">
              <w:rPr>
                <w:rFonts w:asciiTheme="minorHAnsi" w:eastAsiaTheme="minorEastAsia" w:hAnsiTheme="minorHAnsi" w:cstheme="minorBidi"/>
                <w:b w:val="0"/>
                <w:color w:val="auto"/>
              </w:rPr>
              <w:tab/>
            </w:r>
            <w:r w:rsidR="004C547F" w:rsidRPr="00132AF8">
              <w:rPr>
                <w:rStyle w:val="Hyperlink"/>
              </w:rPr>
              <w:t>Project overview</w:t>
            </w:r>
            <w:r w:rsidR="004C547F">
              <w:rPr>
                <w:webHidden/>
              </w:rPr>
              <w:tab/>
            </w:r>
            <w:r w:rsidR="004C547F">
              <w:rPr>
                <w:webHidden/>
              </w:rPr>
              <w:fldChar w:fldCharType="begin"/>
            </w:r>
            <w:r w:rsidR="004C547F">
              <w:rPr>
                <w:webHidden/>
              </w:rPr>
              <w:instrText xml:space="preserve"> PAGEREF _Toc370394618 \h </w:instrText>
            </w:r>
            <w:r w:rsidR="004C547F">
              <w:rPr>
                <w:webHidden/>
              </w:rPr>
            </w:r>
            <w:r w:rsidR="004C547F">
              <w:rPr>
                <w:webHidden/>
              </w:rPr>
              <w:fldChar w:fldCharType="separate"/>
            </w:r>
            <w:r w:rsidR="00660A8E">
              <w:rPr>
                <w:webHidden/>
              </w:rPr>
              <w:t>2</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19" w:history="1">
            <w:r w:rsidR="004C547F" w:rsidRPr="00132AF8">
              <w:rPr>
                <w:rStyle w:val="Hyperlink"/>
              </w:rPr>
              <w:t>2.1</w:t>
            </w:r>
            <w:r w:rsidR="004C547F">
              <w:rPr>
                <w:rFonts w:asciiTheme="minorHAnsi" w:eastAsiaTheme="minorEastAsia" w:hAnsiTheme="minorHAnsi" w:cstheme="minorBidi"/>
                <w:szCs w:val="22"/>
              </w:rPr>
              <w:tab/>
            </w:r>
            <w:r w:rsidR="004C547F" w:rsidRPr="00132AF8">
              <w:rPr>
                <w:rStyle w:val="Hyperlink"/>
              </w:rPr>
              <w:t>Methodology</w:t>
            </w:r>
            <w:r w:rsidR="004C547F">
              <w:rPr>
                <w:webHidden/>
              </w:rPr>
              <w:tab/>
            </w:r>
            <w:r w:rsidR="004C547F">
              <w:rPr>
                <w:webHidden/>
              </w:rPr>
              <w:fldChar w:fldCharType="begin"/>
            </w:r>
            <w:r w:rsidR="004C547F">
              <w:rPr>
                <w:webHidden/>
              </w:rPr>
              <w:instrText xml:space="preserve"> PAGEREF _Toc370394619 \h </w:instrText>
            </w:r>
            <w:r w:rsidR="004C547F">
              <w:rPr>
                <w:webHidden/>
              </w:rPr>
            </w:r>
            <w:r w:rsidR="004C547F">
              <w:rPr>
                <w:webHidden/>
              </w:rPr>
              <w:fldChar w:fldCharType="separate"/>
            </w:r>
            <w:r w:rsidR="00660A8E">
              <w:rPr>
                <w:webHidden/>
              </w:rPr>
              <w:t>2</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20" w:history="1">
            <w:r w:rsidR="004C547F" w:rsidRPr="00132AF8">
              <w:rPr>
                <w:rStyle w:val="Hyperlink"/>
              </w:rPr>
              <w:t>2.2</w:t>
            </w:r>
            <w:r w:rsidR="004C547F">
              <w:rPr>
                <w:rFonts w:asciiTheme="minorHAnsi" w:eastAsiaTheme="minorEastAsia" w:hAnsiTheme="minorHAnsi" w:cstheme="minorBidi"/>
                <w:szCs w:val="22"/>
              </w:rPr>
              <w:tab/>
            </w:r>
            <w:r w:rsidR="004C547F" w:rsidRPr="00132AF8">
              <w:rPr>
                <w:rStyle w:val="Hyperlink"/>
              </w:rPr>
              <w:t>Model suite</w:t>
            </w:r>
            <w:r w:rsidR="004C547F">
              <w:rPr>
                <w:webHidden/>
              </w:rPr>
              <w:tab/>
            </w:r>
            <w:r w:rsidR="004C547F">
              <w:rPr>
                <w:webHidden/>
              </w:rPr>
              <w:fldChar w:fldCharType="begin"/>
            </w:r>
            <w:r w:rsidR="004C547F">
              <w:rPr>
                <w:webHidden/>
              </w:rPr>
              <w:instrText xml:space="preserve"> PAGEREF _Toc370394620 \h </w:instrText>
            </w:r>
            <w:r w:rsidR="004C547F">
              <w:rPr>
                <w:webHidden/>
              </w:rPr>
            </w:r>
            <w:r w:rsidR="004C547F">
              <w:rPr>
                <w:webHidden/>
              </w:rPr>
              <w:fldChar w:fldCharType="separate"/>
            </w:r>
            <w:r w:rsidR="00660A8E">
              <w:rPr>
                <w:webHidden/>
              </w:rPr>
              <w:t>2</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21" w:history="1">
            <w:r w:rsidR="004C547F" w:rsidRPr="00132AF8">
              <w:rPr>
                <w:rStyle w:val="Hyperlink"/>
              </w:rPr>
              <w:t>2.2.1</w:t>
            </w:r>
            <w:r w:rsidR="004C547F">
              <w:rPr>
                <w:rFonts w:asciiTheme="minorHAnsi" w:eastAsiaTheme="minorEastAsia" w:hAnsiTheme="minorHAnsi" w:cstheme="minorBidi"/>
                <w:szCs w:val="22"/>
              </w:rPr>
              <w:tab/>
            </w:r>
            <w:r w:rsidR="004C547F" w:rsidRPr="00132AF8">
              <w:rPr>
                <w:rStyle w:val="Hyperlink"/>
              </w:rPr>
              <w:t>PowerMark LT</w:t>
            </w:r>
            <w:r w:rsidR="004C547F">
              <w:rPr>
                <w:webHidden/>
              </w:rPr>
              <w:tab/>
            </w:r>
            <w:r w:rsidR="004C547F">
              <w:rPr>
                <w:webHidden/>
              </w:rPr>
              <w:fldChar w:fldCharType="begin"/>
            </w:r>
            <w:r w:rsidR="004C547F">
              <w:rPr>
                <w:webHidden/>
              </w:rPr>
              <w:instrText xml:space="preserve"> PAGEREF _Toc370394621 \h </w:instrText>
            </w:r>
            <w:r w:rsidR="004C547F">
              <w:rPr>
                <w:webHidden/>
              </w:rPr>
            </w:r>
            <w:r w:rsidR="004C547F">
              <w:rPr>
                <w:webHidden/>
              </w:rPr>
              <w:fldChar w:fldCharType="separate"/>
            </w:r>
            <w:r w:rsidR="00660A8E">
              <w:rPr>
                <w:webHidden/>
              </w:rPr>
              <w:t>2</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22" w:history="1">
            <w:r w:rsidR="004C547F" w:rsidRPr="00132AF8">
              <w:rPr>
                <w:rStyle w:val="Hyperlink"/>
              </w:rPr>
              <w:t>2.2.2</w:t>
            </w:r>
            <w:r w:rsidR="004C547F">
              <w:rPr>
                <w:rFonts w:asciiTheme="minorHAnsi" w:eastAsiaTheme="minorEastAsia" w:hAnsiTheme="minorHAnsi" w:cstheme="minorBidi"/>
                <w:szCs w:val="22"/>
              </w:rPr>
              <w:tab/>
            </w:r>
            <w:r w:rsidR="004C547F" w:rsidRPr="00132AF8">
              <w:rPr>
                <w:rStyle w:val="Hyperlink"/>
              </w:rPr>
              <w:t>RECMark</w:t>
            </w:r>
            <w:r w:rsidR="004C547F">
              <w:rPr>
                <w:webHidden/>
              </w:rPr>
              <w:tab/>
            </w:r>
            <w:r w:rsidR="004C547F">
              <w:rPr>
                <w:webHidden/>
              </w:rPr>
              <w:fldChar w:fldCharType="begin"/>
            </w:r>
            <w:r w:rsidR="004C547F">
              <w:rPr>
                <w:webHidden/>
              </w:rPr>
              <w:instrText xml:space="preserve"> PAGEREF _Toc370394622 \h </w:instrText>
            </w:r>
            <w:r w:rsidR="004C547F">
              <w:rPr>
                <w:webHidden/>
              </w:rPr>
            </w:r>
            <w:r w:rsidR="004C547F">
              <w:rPr>
                <w:webHidden/>
              </w:rPr>
              <w:fldChar w:fldCharType="separate"/>
            </w:r>
            <w:r w:rsidR="00660A8E">
              <w:rPr>
                <w:webHidden/>
              </w:rPr>
              <w:t>3</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23" w:history="1">
            <w:r w:rsidR="004C547F" w:rsidRPr="00132AF8">
              <w:rPr>
                <w:rStyle w:val="Hyperlink"/>
                <w:lang w:val="en-US"/>
              </w:rPr>
              <w:t>2.3</w:t>
            </w:r>
            <w:r w:rsidR="004C547F">
              <w:rPr>
                <w:rFonts w:asciiTheme="minorHAnsi" w:eastAsiaTheme="minorEastAsia" w:hAnsiTheme="minorHAnsi" w:cstheme="minorBidi"/>
                <w:szCs w:val="22"/>
              </w:rPr>
              <w:tab/>
            </w:r>
            <w:r w:rsidR="004C547F" w:rsidRPr="00132AF8">
              <w:rPr>
                <w:rStyle w:val="Hyperlink"/>
                <w:lang w:val="en-US"/>
              </w:rPr>
              <w:t>Scenarios</w:t>
            </w:r>
            <w:r w:rsidR="004C547F">
              <w:rPr>
                <w:webHidden/>
              </w:rPr>
              <w:tab/>
            </w:r>
            <w:r w:rsidR="004C547F">
              <w:rPr>
                <w:webHidden/>
              </w:rPr>
              <w:fldChar w:fldCharType="begin"/>
            </w:r>
            <w:r w:rsidR="004C547F">
              <w:rPr>
                <w:webHidden/>
              </w:rPr>
              <w:instrText xml:space="preserve"> PAGEREF _Toc370394623 \h </w:instrText>
            </w:r>
            <w:r w:rsidR="004C547F">
              <w:rPr>
                <w:webHidden/>
              </w:rPr>
            </w:r>
            <w:r w:rsidR="004C547F">
              <w:rPr>
                <w:webHidden/>
              </w:rPr>
              <w:fldChar w:fldCharType="separate"/>
            </w:r>
            <w:r w:rsidR="00660A8E">
              <w:rPr>
                <w:webHidden/>
              </w:rPr>
              <w:t>4</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24" w:history="1">
            <w:r w:rsidR="004C547F" w:rsidRPr="00132AF8">
              <w:rPr>
                <w:rStyle w:val="Hyperlink"/>
                <w:lang w:val="en-US"/>
              </w:rPr>
              <w:t>2.3.1</w:t>
            </w:r>
            <w:r w:rsidR="004C547F">
              <w:rPr>
                <w:rFonts w:asciiTheme="minorHAnsi" w:eastAsiaTheme="minorEastAsia" w:hAnsiTheme="minorHAnsi" w:cstheme="minorBidi"/>
                <w:szCs w:val="22"/>
              </w:rPr>
              <w:tab/>
            </w:r>
            <w:r w:rsidR="004C547F" w:rsidRPr="00132AF8">
              <w:rPr>
                <w:rStyle w:val="Hyperlink"/>
                <w:lang w:val="en-US"/>
              </w:rPr>
              <w:t>Central Policy scenario</w:t>
            </w:r>
            <w:r w:rsidR="004C547F">
              <w:rPr>
                <w:webHidden/>
              </w:rPr>
              <w:tab/>
            </w:r>
            <w:r w:rsidR="004C547F">
              <w:rPr>
                <w:webHidden/>
              </w:rPr>
              <w:fldChar w:fldCharType="begin"/>
            </w:r>
            <w:r w:rsidR="004C547F">
              <w:rPr>
                <w:webHidden/>
              </w:rPr>
              <w:instrText xml:space="preserve"> PAGEREF _Toc370394624 \h </w:instrText>
            </w:r>
            <w:r w:rsidR="004C547F">
              <w:rPr>
                <w:webHidden/>
              </w:rPr>
            </w:r>
            <w:r w:rsidR="004C547F">
              <w:rPr>
                <w:webHidden/>
              </w:rPr>
              <w:fldChar w:fldCharType="separate"/>
            </w:r>
            <w:r w:rsidR="00660A8E">
              <w:rPr>
                <w:webHidden/>
              </w:rPr>
              <w:t>4</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25" w:history="1">
            <w:r w:rsidR="004C547F" w:rsidRPr="00132AF8">
              <w:rPr>
                <w:rStyle w:val="Hyperlink"/>
                <w:lang w:val="en-US"/>
              </w:rPr>
              <w:t>2.3.2</w:t>
            </w:r>
            <w:r w:rsidR="004C547F">
              <w:rPr>
                <w:rFonts w:asciiTheme="minorHAnsi" w:eastAsiaTheme="minorEastAsia" w:hAnsiTheme="minorHAnsi" w:cstheme="minorBidi"/>
                <w:szCs w:val="22"/>
              </w:rPr>
              <w:tab/>
            </w:r>
            <w:r w:rsidR="004C547F" w:rsidRPr="00132AF8">
              <w:rPr>
                <w:rStyle w:val="Hyperlink"/>
                <w:lang w:val="en-US"/>
              </w:rPr>
              <w:t>No Carbon Price scenario</w:t>
            </w:r>
            <w:r w:rsidR="004C547F">
              <w:rPr>
                <w:webHidden/>
              </w:rPr>
              <w:tab/>
            </w:r>
            <w:r w:rsidR="004C547F">
              <w:rPr>
                <w:webHidden/>
              </w:rPr>
              <w:fldChar w:fldCharType="begin"/>
            </w:r>
            <w:r w:rsidR="004C547F">
              <w:rPr>
                <w:webHidden/>
              </w:rPr>
              <w:instrText xml:space="preserve"> PAGEREF _Toc370394625 \h </w:instrText>
            </w:r>
            <w:r w:rsidR="004C547F">
              <w:rPr>
                <w:webHidden/>
              </w:rPr>
            </w:r>
            <w:r w:rsidR="004C547F">
              <w:rPr>
                <w:webHidden/>
              </w:rPr>
              <w:fldChar w:fldCharType="separate"/>
            </w:r>
            <w:r w:rsidR="00660A8E">
              <w:rPr>
                <w:webHidden/>
              </w:rPr>
              <w:t>4</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26" w:history="1">
            <w:r w:rsidR="004C547F" w:rsidRPr="00132AF8">
              <w:rPr>
                <w:rStyle w:val="Hyperlink"/>
                <w:lang w:val="en-US"/>
              </w:rPr>
              <w:t>2.3.3</w:t>
            </w:r>
            <w:r w:rsidR="004C547F">
              <w:rPr>
                <w:rFonts w:asciiTheme="minorHAnsi" w:eastAsiaTheme="minorEastAsia" w:hAnsiTheme="minorHAnsi" w:cstheme="minorBidi"/>
                <w:szCs w:val="22"/>
              </w:rPr>
              <w:tab/>
            </w:r>
            <w:r w:rsidR="004C547F" w:rsidRPr="00132AF8">
              <w:rPr>
                <w:rStyle w:val="Hyperlink"/>
                <w:lang w:val="en-US"/>
              </w:rPr>
              <w:t>High and Low Carbon Price scenarios</w:t>
            </w:r>
            <w:r w:rsidR="004C547F">
              <w:rPr>
                <w:webHidden/>
              </w:rPr>
              <w:tab/>
            </w:r>
            <w:r w:rsidR="004C547F">
              <w:rPr>
                <w:webHidden/>
              </w:rPr>
              <w:fldChar w:fldCharType="begin"/>
            </w:r>
            <w:r w:rsidR="004C547F">
              <w:rPr>
                <w:webHidden/>
              </w:rPr>
              <w:instrText xml:space="preserve"> PAGEREF _Toc370394626 \h </w:instrText>
            </w:r>
            <w:r w:rsidR="004C547F">
              <w:rPr>
                <w:webHidden/>
              </w:rPr>
            </w:r>
            <w:r w:rsidR="004C547F">
              <w:rPr>
                <w:webHidden/>
              </w:rPr>
              <w:fldChar w:fldCharType="separate"/>
            </w:r>
            <w:r w:rsidR="00660A8E">
              <w:rPr>
                <w:webHidden/>
              </w:rPr>
              <w:t>5</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27" w:history="1">
            <w:r w:rsidR="004C547F" w:rsidRPr="00132AF8">
              <w:rPr>
                <w:rStyle w:val="Hyperlink"/>
                <w:lang w:val="en-US"/>
              </w:rPr>
              <w:t>2.4</w:t>
            </w:r>
            <w:r w:rsidR="004C547F">
              <w:rPr>
                <w:rFonts w:asciiTheme="minorHAnsi" w:eastAsiaTheme="minorEastAsia" w:hAnsiTheme="minorHAnsi" w:cstheme="minorBidi"/>
                <w:szCs w:val="22"/>
              </w:rPr>
              <w:tab/>
            </w:r>
            <w:r w:rsidR="004C547F" w:rsidRPr="00132AF8">
              <w:rPr>
                <w:rStyle w:val="Hyperlink"/>
                <w:lang w:val="en-US"/>
              </w:rPr>
              <w:t>Sensitivities</w:t>
            </w:r>
            <w:r w:rsidR="004C547F">
              <w:rPr>
                <w:webHidden/>
              </w:rPr>
              <w:tab/>
            </w:r>
            <w:r w:rsidR="004C547F">
              <w:rPr>
                <w:webHidden/>
              </w:rPr>
              <w:fldChar w:fldCharType="begin"/>
            </w:r>
            <w:r w:rsidR="004C547F">
              <w:rPr>
                <w:webHidden/>
              </w:rPr>
              <w:instrText xml:space="preserve"> PAGEREF _Toc370394627 \h </w:instrText>
            </w:r>
            <w:r w:rsidR="004C547F">
              <w:rPr>
                <w:webHidden/>
              </w:rPr>
            </w:r>
            <w:r w:rsidR="004C547F">
              <w:rPr>
                <w:webHidden/>
              </w:rPr>
              <w:fldChar w:fldCharType="separate"/>
            </w:r>
            <w:r w:rsidR="00660A8E">
              <w:rPr>
                <w:webHidden/>
              </w:rPr>
              <w:t>5</w:t>
            </w:r>
            <w:r w:rsidR="004C547F">
              <w:rPr>
                <w:webHidden/>
              </w:rPr>
              <w:fldChar w:fldCharType="end"/>
            </w:r>
          </w:hyperlink>
        </w:p>
        <w:p w:rsidR="004C547F" w:rsidRDefault="009926D6">
          <w:pPr>
            <w:pStyle w:val="TOC1"/>
            <w:rPr>
              <w:rFonts w:asciiTheme="minorHAnsi" w:eastAsiaTheme="minorEastAsia" w:hAnsiTheme="minorHAnsi" w:cstheme="minorBidi"/>
              <w:b w:val="0"/>
              <w:color w:val="auto"/>
            </w:rPr>
          </w:pPr>
          <w:hyperlink w:anchor="_Toc370394628" w:history="1">
            <w:r w:rsidR="004C547F" w:rsidRPr="00132AF8">
              <w:rPr>
                <w:rStyle w:val="Hyperlink"/>
              </w:rPr>
              <w:t>3</w:t>
            </w:r>
            <w:r w:rsidR="004C547F">
              <w:rPr>
                <w:rFonts w:asciiTheme="minorHAnsi" w:eastAsiaTheme="minorEastAsia" w:hAnsiTheme="minorHAnsi" w:cstheme="minorBidi"/>
                <w:b w:val="0"/>
                <w:color w:val="auto"/>
              </w:rPr>
              <w:tab/>
            </w:r>
            <w:r w:rsidR="004C547F" w:rsidRPr="00132AF8">
              <w:rPr>
                <w:rStyle w:val="Hyperlink"/>
              </w:rPr>
              <w:t>Assumptions</w:t>
            </w:r>
            <w:r w:rsidR="004C547F">
              <w:rPr>
                <w:webHidden/>
              </w:rPr>
              <w:tab/>
            </w:r>
            <w:r w:rsidR="004C547F">
              <w:rPr>
                <w:webHidden/>
              </w:rPr>
              <w:fldChar w:fldCharType="begin"/>
            </w:r>
            <w:r w:rsidR="004C547F">
              <w:rPr>
                <w:webHidden/>
              </w:rPr>
              <w:instrText xml:space="preserve"> PAGEREF _Toc370394628 \h </w:instrText>
            </w:r>
            <w:r w:rsidR="004C547F">
              <w:rPr>
                <w:webHidden/>
              </w:rPr>
            </w:r>
            <w:r w:rsidR="004C547F">
              <w:rPr>
                <w:webHidden/>
              </w:rPr>
              <w:fldChar w:fldCharType="separate"/>
            </w:r>
            <w:r w:rsidR="00660A8E">
              <w:rPr>
                <w:webHidden/>
              </w:rPr>
              <w:t>6</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29" w:history="1">
            <w:r w:rsidR="004C547F" w:rsidRPr="00132AF8">
              <w:rPr>
                <w:rStyle w:val="Hyperlink"/>
              </w:rPr>
              <w:t>3.1</w:t>
            </w:r>
            <w:r w:rsidR="004C547F">
              <w:rPr>
                <w:rFonts w:asciiTheme="minorHAnsi" w:eastAsiaTheme="minorEastAsia" w:hAnsiTheme="minorHAnsi" w:cstheme="minorBidi"/>
                <w:szCs w:val="22"/>
              </w:rPr>
              <w:tab/>
            </w:r>
            <w:r w:rsidR="004C547F" w:rsidRPr="00132AF8">
              <w:rPr>
                <w:rStyle w:val="Hyperlink"/>
              </w:rPr>
              <w:t>Demand</w:t>
            </w:r>
            <w:r w:rsidR="004C547F">
              <w:rPr>
                <w:webHidden/>
              </w:rPr>
              <w:tab/>
            </w:r>
            <w:r w:rsidR="004C547F">
              <w:rPr>
                <w:webHidden/>
              </w:rPr>
              <w:fldChar w:fldCharType="begin"/>
            </w:r>
            <w:r w:rsidR="004C547F">
              <w:rPr>
                <w:webHidden/>
              </w:rPr>
              <w:instrText xml:space="preserve"> PAGEREF _Toc370394629 \h </w:instrText>
            </w:r>
            <w:r w:rsidR="004C547F">
              <w:rPr>
                <w:webHidden/>
              </w:rPr>
            </w:r>
            <w:r w:rsidR="004C547F">
              <w:rPr>
                <w:webHidden/>
              </w:rPr>
              <w:fldChar w:fldCharType="separate"/>
            </w:r>
            <w:r w:rsidR="00660A8E">
              <w:rPr>
                <w:webHidden/>
              </w:rPr>
              <w:t>6</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30" w:history="1">
            <w:r w:rsidR="004C547F" w:rsidRPr="00132AF8">
              <w:rPr>
                <w:rStyle w:val="Hyperlink"/>
              </w:rPr>
              <w:t>3.1.1</w:t>
            </w:r>
            <w:r w:rsidR="004C547F">
              <w:rPr>
                <w:rFonts w:asciiTheme="minorHAnsi" w:eastAsiaTheme="minorEastAsia" w:hAnsiTheme="minorHAnsi" w:cstheme="minorBidi"/>
                <w:szCs w:val="22"/>
              </w:rPr>
              <w:tab/>
            </w:r>
            <w:r w:rsidR="004C547F" w:rsidRPr="00132AF8">
              <w:rPr>
                <w:rStyle w:val="Hyperlink"/>
              </w:rPr>
              <w:t>Aggregate demand</w:t>
            </w:r>
            <w:r w:rsidR="004C547F">
              <w:rPr>
                <w:webHidden/>
              </w:rPr>
              <w:tab/>
            </w:r>
            <w:r w:rsidR="004C547F">
              <w:rPr>
                <w:webHidden/>
              </w:rPr>
              <w:fldChar w:fldCharType="begin"/>
            </w:r>
            <w:r w:rsidR="004C547F">
              <w:rPr>
                <w:webHidden/>
              </w:rPr>
              <w:instrText xml:space="preserve"> PAGEREF _Toc370394630 \h </w:instrText>
            </w:r>
            <w:r w:rsidR="004C547F">
              <w:rPr>
                <w:webHidden/>
              </w:rPr>
            </w:r>
            <w:r w:rsidR="004C547F">
              <w:rPr>
                <w:webHidden/>
              </w:rPr>
              <w:fldChar w:fldCharType="separate"/>
            </w:r>
            <w:r w:rsidR="00660A8E">
              <w:rPr>
                <w:webHidden/>
              </w:rPr>
              <w:t>6</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31" w:history="1">
            <w:r w:rsidR="004C547F" w:rsidRPr="00132AF8">
              <w:rPr>
                <w:rStyle w:val="Hyperlink"/>
              </w:rPr>
              <w:t>3.1.2</w:t>
            </w:r>
            <w:r w:rsidR="004C547F">
              <w:rPr>
                <w:rFonts w:asciiTheme="minorHAnsi" w:eastAsiaTheme="minorEastAsia" w:hAnsiTheme="minorHAnsi" w:cstheme="minorBidi"/>
                <w:szCs w:val="22"/>
              </w:rPr>
              <w:tab/>
            </w:r>
            <w:r w:rsidR="004C547F" w:rsidRPr="00132AF8">
              <w:rPr>
                <w:rStyle w:val="Hyperlink"/>
              </w:rPr>
              <w:t>Demand profiles</w:t>
            </w:r>
            <w:r w:rsidR="004C547F">
              <w:rPr>
                <w:webHidden/>
              </w:rPr>
              <w:tab/>
            </w:r>
            <w:r w:rsidR="004C547F">
              <w:rPr>
                <w:webHidden/>
              </w:rPr>
              <w:fldChar w:fldCharType="begin"/>
            </w:r>
            <w:r w:rsidR="004C547F">
              <w:rPr>
                <w:webHidden/>
              </w:rPr>
              <w:instrText xml:space="preserve"> PAGEREF _Toc370394631 \h </w:instrText>
            </w:r>
            <w:r w:rsidR="004C547F">
              <w:rPr>
                <w:webHidden/>
              </w:rPr>
            </w:r>
            <w:r w:rsidR="004C547F">
              <w:rPr>
                <w:webHidden/>
              </w:rPr>
              <w:fldChar w:fldCharType="separate"/>
            </w:r>
            <w:r w:rsidR="00660A8E">
              <w:rPr>
                <w:webHidden/>
              </w:rPr>
              <w:t>7</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32" w:history="1">
            <w:r w:rsidR="004C547F" w:rsidRPr="00132AF8">
              <w:rPr>
                <w:rStyle w:val="Hyperlink"/>
              </w:rPr>
              <w:t>3.2</w:t>
            </w:r>
            <w:r w:rsidR="004C547F">
              <w:rPr>
                <w:rFonts w:asciiTheme="minorHAnsi" w:eastAsiaTheme="minorEastAsia" w:hAnsiTheme="minorHAnsi" w:cstheme="minorBidi"/>
                <w:szCs w:val="22"/>
              </w:rPr>
              <w:tab/>
            </w:r>
            <w:r w:rsidR="004C547F" w:rsidRPr="00132AF8">
              <w:rPr>
                <w:rStyle w:val="Hyperlink"/>
              </w:rPr>
              <w:t>Other CGE inputs</w:t>
            </w:r>
            <w:r w:rsidR="004C547F">
              <w:rPr>
                <w:webHidden/>
              </w:rPr>
              <w:tab/>
            </w:r>
            <w:r w:rsidR="004C547F">
              <w:rPr>
                <w:webHidden/>
              </w:rPr>
              <w:fldChar w:fldCharType="begin"/>
            </w:r>
            <w:r w:rsidR="004C547F">
              <w:rPr>
                <w:webHidden/>
              </w:rPr>
              <w:instrText xml:space="preserve"> PAGEREF _Toc370394632 \h </w:instrText>
            </w:r>
            <w:r w:rsidR="004C547F">
              <w:rPr>
                <w:webHidden/>
              </w:rPr>
            </w:r>
            <w:r w:rsidR="004C547F">
              <w:rPr>
                <w:webHidden/>
              </w:rPr>
              <w:fldChar w:fldCharType="separate"/>
            </w:r>
            <w:r w:rsidR="00660A8E">
              <w:rPr>
                <w:webHidden/>
              </w:rPr>
              <w:t>7</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33" w:history="1">
            <w:r w:rsidR="004C547F" w:rsidRPr="00132AF8">
              <w:rPr>
                <w:rStyle w:val="Hyperlink"/>
              </w:rPr>
              <w:t>3.3</w:t>
            </w:r>
            <w:r w:rsidR="004C547F">
              <w:rPr>
                <w:rFonts w:asciiTheme="minorHAnsi" w:eastAsiaTheme="minorEastAsia" w:hAnsiTheme="minorHAnsi" w:cstheme="minorBidi"/>
                <w:szCs w:val="22"/>
              </w:rPr>
              <w:tab/>
            </w:r>
            <w:r w:rsidR="004C547F" w:rsidRPr="00132AF8">
              <w:rPr>
                <w:rStyle w:val="Hyperlink"/>
              </w:rPr>
              <w:t>Existing generators</w:t>
            </w:r>
            <w:r w:rsidR="004C547F">
              <w:rPr>
                <w:webHidden/>
              </w:rPr>
              <w:tab/>
            </w:r>
            <w:r w:rsidR="004C547F">
              <w:rPr>
                <w:webHidden/>
              </w:rPr>
              <w:fldChar w:fldCharType="begin"/>
            </w:r>
            <w:r w:rsidR="004C547F">
              <w:rPr>
                <w:webHidden/>
              </w:rPr>
              <w:instrText xml:space="preserve"> PAGEREF _Toc370394633 \h </w:instrText>
            </w:r>
            <w:r w:rsidR="004C547F">
              <w:rPr>
                <w:webHidden/>
              </w:rPr>
            </w:r>
            <w:r w:rsidR="004C547F">
              <w:rPr>
                <w:webHidden/>
              </w:rPr>
              <w:fldChar w:fldCharType="separate"/>
            </w:r>
            <w:r w:rsidR="00660A8E">
              <w:rPr>
                <w:webHidden/>
              </w:rPr>
              <w:t>8</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34" w:history="1">
            <w:r w:rsidR="004C547F" w:rsidRPr="00132AF8">
              <w:rPr>
                <w:rStyle w:val="Hyperlink"/>
              </w:rPr>
              <w:t>3.4</w:t>
            </w:r>
            <w:r w:rsidR="004C547F">
              <w:rPr>
                <w:rFonts w:asciiTheme="minorHAnsi" w:eastAsiaTheme="minorEastAsia" w:hAnsiTheme="minorHAnsi" w:cstheme="minorBidi"/>
                <w:szCs w:val="22"/>
              </w:rPr>
              <w:tab/>
            </w:r>
            <w:r w:rsidR="004C547F" w:rsidRPr="00132AF8">
              <w:rPr>
                <w:rStyle w:val="Hyperlink"/>
              </w:rPr>
              <w:t>New entrant generators</w:t>
            </w:r>
            <w:r w:rsidR="004C547F">
              <w:rPr>
                <w:webHidden/>
              </w:rPr>
              <w:tab/>
            </w:r>
            <w:r w:rsidR="004C547F">
              <w:rPr>
                <w:webHidden/>
              </w:rPr>
              <w:fldChar w:fldCharType="begin"/>
            </w:r>
            <w:r w:rsidR="004C547F">
              <w:rPr>
                <w:webHidden/>
              </w:rPr>
              <w:instrText xml:space="preserve"> PAGEREF _Toc370394634 \h </w:instrText>
            </w:r>
            <w:r w:rsidR="004C547F">
              <w:rPr>
                <w:webHidden/>
              </w:rPr>
            </w:r>
            <w:r w:rsidR="004C547F">
              <w:rPr>
                <w:webHidden/>
              </w:rPr>
              <w:fldChar w:fldCharType="separate"/>
            </w:r>
            <w:r w:rsidR="00660A8E">
              <w:rPr>
                <w:webHidden/>
              </w:rPr>
              <w:t>16</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35" w:history="1">
            <w:r w:rsidR="004C547F" w:rsidRPr="00132AF8">
              <w:rPr>
                <w:rStyle w:val="Hyperlink"/>
              </w:rPr>
              <w:t>3.4.1</w:t>
            </w:r>
            <w:r w:rsidR="004C547F">
              <w:rPr>
                <w:rFonts w:asciiTheme="minorHAnsi" w:eastAsiaTheme="minorEastAsia" w:hAnsiTheme="minorHAnsi" w:cstheme="minorBidi"/>
                <w:szCs w:val="22"/>
              </w:rPr>
              <w:tab/>
            </w:r>
            <w:r w:rsidR="004C547F" w:rsidRPr="00132AF8">
              <w:rPr>
                <w:rStyle w:val="Hyperlink"/>
              </w:rPr>
              <w:t>Starting capital costs</w:t>
            </w:r>
            <w:r w:rsidR="004C547F">
              <w:rPr>
                <w:webHidden/>
              </w:rPr>
              <w:tab/>
            </w:r>
            <w:r w:rsidR="004C547F">
              <w:rPr>
                <w:webHidden/>
              </w:rPr>
              <w:fldChar w:fldCharType="begin"/>
            </w:r>
            <w:r w:rsidR="004C547F">
              <w:rPr>
                <w:webHidden/>
              </w:rPr>
              <w:instrText xml:space="preserve"> PAGEREF _Toc370394635 \h </w:instrText>
            </w:r>
            <w:r w:rsidR="004C547F">
              <w:rPr>
                <w:webHidden/>
              </w:rPr>
            </w:r>
            <w:r w:rsidR="004C547F">
              <w:rPr>
                <w:webHidden/>
              </w:rPr>
              <w:fldChar w:fldCharType="separate"/>
            </w:r>
            <w:r w:rsidR="00660A8E">
              <w:rPr>
                <w:webHidden/>
              </w:rPr>
              <w:t>16</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36" w:history="1">
            <w:r w:rsidR="004C547F" w:rsidRPr="00132AF8">
              <w:rPr>
                <w:rStyle w:val="Hyperlink"/>
              </w:rPr>
              <w:t>3.4.1</w:t>
            </w:r>
            <w:r w:rsidR="004C547F">
              <w:rPr>
                <w:rFonts w:asciiTheme="minorHAnsi" w:eastAsiaTheme="minorEastAsia" w:hAnsiTheme="minorHAnsi" w:cstheme="minorBidi"/>
                <w:szCs w:val="22"/>
              </w:rPr>
              <w:tab/>
            </w:r>
            <w:r w:rsidR="004C547F" w:rsidRPr="00132AF8">
              <w:rPr>
                <w:rStyle w:val="Hyperlink"/>
              </w:rPr>
              <w:t>Learning rates</w:t>
            </w:r>
            <w:r w:rsidR="004C547F">
              <w:rPr>
                <w:webHidden/>
              </w:rPr>
              <w:tab/>
            </w:r>
            <w:r w:rsidR="004C547F">
              <w:rPr>
                <w:webHidden/>
              </w:rPr>
              <w:fldChar w:fldCharType="begin"/>
            </w:r>
            <w:r w:rsidR="004C547F">
              <w:rPr>
                <w:webHidden/>
              </w:rPr>
              <w:instrText xml:space="preserve"> PAGEREF _Toc370394636 \h </w:instrText>
            </w:r>
            <w:r w:rsidR="004C547F">
              <w:rPr>
                <w:webHidden/>
              </w:rPr>
            </w:r>
            <w:r w:rsidR="004C547F">
              <w:rPr>
                <w:webHidden/>
              </w:rPr>
              <w:fldChar w:fldCharType="separate"/>
            </w:r>
            <w:r w:rsidR="00660A8E">
              <w:rPr>
                <w:webHidden/>
              </w:rPr>
              <w:t>18</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37" w:history="1">
            <w:r w:rsidR="004C547F" w:rsidRPr="00132AF8">
              <w:rPr>
                <w:rStyle w:val="Hyperlink"/>
              </w:rPr>
              <w:t>3.4.2</w:t>
            </w:r>
            <w:r w:rsidR="004C547F">
              <w:rPr>
                <w:rFonts w:asciiTheme="minorHAnsi" w:eastAsiaTheme="minorEastAsia" w:hAnsiTheme="minorHAnsi" w:cstheme="minorBidi"/>
                <w:szCs w:val="22"/>
              </w:rPr>
              <w:tab/>
            </w:r>
            <w:r w:rsidR="004C547F" w:rsidRPr="00132AF8">
              <w:rPr>
                <w:rStyle w:val="Hyperlink"/>
              </w:rPr>
              <w:t>Other cost indices</w:t>
            </w:r>
            <w:r w:rsidR="004C547F">
              <w:rPr>
                <w:webHidden/>
              </w:rPr>
              <w:tab/>
            </w:r>
            <w:r w:rsidR="004C547F">
              <w:rPr>
                <w:webHidden/>
              </w:rPr>
              <w:fldChar w:fldCharType="begin"/>
            </w:r>
            <w:r w:rsidR="004C547F">
              <w:rPr>
                <w:webHidden/>
              </w:rPr>
              <w:instrText xml:space="preserve"> PAGEREF _Toc370394637 \h </w:instrText>
            </w:r>
            <w:r w:rsidR="004C547F">
              <w:rPr>
                <w:webHidden/>
              </w:rPr>
            </w:r>
            <w:r w:rsidR="004C547F">
              <w:rPr>
                <w:webHidden/>
              </w:rPr>
              <w:fldChar w:fldCharType="separate"/>
            </w:r>
            <w:r w:rsidR="00660A8E">
              <w:rPr>
                <w:webHidden/>
              </w:rPr>
              <w:t>21</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38" w:history="1">
            <w:r w:rsidR="004C547F" w:rsidRPr="00132AF8">
              <w:rPr>
                <w:rStyle w:val="Hyperlink"/>
              </w:rPr>
              <w:t>3.4.3</w:t>
            </w:r>
            <w:r w:rsidR="004C547F">
              <w:rPr>
                <w:rFonts w:asciiTheme="minorHAnsi" w:eastAsiaTheme="minorEastAsia" w:hAnsiTheme="minorHAnsi" w:cstheme="minorBidi"/>
                <w:szCs w:val="22"/>
              </w:rPr>
              <w:tab/>
            </w:r>
            <w:r w:rsidR="004C547F" w:rsidRPr="00132AF8">
              <w:rPr>
                <w:rStyle w:val="Hyperlink"/>
              </w:rPr>
              <w:t>Final capital costs</w:t>
            </w:r>
            <w:r w:rsidR="004C547F">
              <w:rPr>
                <w:webHidden/>
              </w:rPr>
              <w:tab/>
            </w:r>
            <w:r w:rsidR="004C547F">
              <w:rPr>
                <w:webHidden/>
              </w:rPr>
              <w:fldChar w:fldCharType="begin"/>
            </w:r>
            <w:r w:rsidR="004C547F">
              <w:rPr>
                <w:webHidden/>
              </w:rPr>
              <w:instrText xml:space="preserve"> PAGEREF _Toc370394638 \h </w:instrText>
            </w:r>
            <w:r w:rsidR="004C547F">
              <w:rPr>
                <w:webHidden/>
              </w:rPr>
            </w:r>
            <w:r w:rsidR="004C547F">
              <w:rPr>
                <w:webHidden/>
              </w:rPr>
              <w:fldChar w:fldCharType="separate"/>
            </w:r>
            <w:r w:rsidR="00660A8E">
              <w:rPr>
                <w:webHidden/>
              </w:rPr>
              <w:t>21</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39" w:history="1">
            <w:r w:rsidR="004C547F" w:rsidRPr="00132AF8">
              <w:rPr>
                <w:rStyle w:val="Hyperlink"/>
              </w:rPr>
              <w:t>3.4.1</w:t>
            </w:r>
            <w:r w:rsidR="004C547F">
              <w:rPr>
                <w:rFonts w:asciiTheme="minorHAnsi" w:eastAsiaTheme="minorEastAsia" w:hAnsiTheme="minorHAnsi" w:cstheme="minorBidi"/>
                <w:szCs w:val="22"/>
              </w:rPr>
              <w:tab/>
            </w:r>
            <w:r w:rsidR="004C547F" w:rsidRPr="00132AF8">
              <w:rPr>
                <w:rStyle w:val="Hyperlink"/>
              </w:rPr>
              <w:t>Other new entrant parameters</w:t>
            </w:r>
            <w:r w:rsidR="004C547F">
              <w:rPr>
                <w:webHidden/>
              </w:rPr>
              <w:tab/>
            </w:r>
            <w:r w:rsidR="004C547F">
              <w:rPr>
                <w:webHidden/>
              </w:rPr>
              <w:fldChar w:fldCharType="begin"/>
            </w:r>
            <w:r w:rsidR="004C547F">
              <w:rPr>
                <w:webHidden/>
              </w:rPr>
              <w:instrText xml:space="preserve"> PAGEREF _Toc370394639 \h </w:instrText>
            </w:r>
            <w:r w:rsidR="004C547F">
              <w:rPr>
                <w:webHidden/>
              </w:rPr>
            </w:r>
            <w:r w:rsidR="004C547F">
              <w:rPr>
                <w:webHidden/>
              </w:rPr>
              <w:fldChar w:fldCharType="separate"/>
            </w:r>
            <w:r w:rsidR="00660A8E">
              <w:rPr>
                <w:webHidden/>
              </w:rPr>
              <w:t>24</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40" w:history="1">
            <w:r w:rsidR="004C547F" w:rsidRPr="00132AF8">
              <w:rPr>
                <w:rStyle w:val="Hyperlink"/>
              </w:rPr>
              <w:t>3.5</w:t>
            </w:r>
            <w:r w:rsidR="004C547F">
              <w:rPr>
                <w:rFonts w:asciiTheme="minorHAnsi" w:eastAsiaTheme="minorEastAsia" w:hAnsiTheme="minorHAnsi" w:cstheme="minorBidi"/>
                <w:szCs w:val="22"/>
              </w:rPr>
              <w:tab/>
            </w:r>
            <w:r w:rsidR="004C547F" w:rsidRPr="00132AF8">
              <w:rPr>
                <w:rStyle w:val="Hyperlink"/>
              </w:rPr>
              <w:t>Fuel and CCS costs</w:t>
            </w:r>
            <w:r w:rsidR="004C547F">
              <w:rPr>
                <w:webHidden/>
              </w:rPr>
              <w:tab/>
            </w:r>
            <w:r w:rsidR="004C547F">
              <w:rPr>
                <w:webHidden/>
              </w:rPr>
              <w:fldChar w:fldCharType="begin"/>
            </w:r>
            <w:r w:rsidR="004C547F">
              <w:rPr>
                <w:webHidden/>
              </w:rPr>
              <w:instrText xml:space="preserve"> PAGEREF _Toc370394640 \h </w:instrText>
            </w:r>
            <w:r w:rsidR="004C547F">
              <w:rPr>
                <w:webHidden/>
              </w:rPr>
            </w:r>
            <w:r w:rsidR="004C547F">
              <w:rPr>
                <w:webHidden/>
              </w:rPr>
              <w:fldChar w:fldCharType="separate"/>
            </w:r>
            <w:r w:rsidR="00660A8E">
              <w:rPr>
                <w:webHidden/>
              </w:rPr>
              <w:t>26</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41" w:history="1">
            <w:r w:rsidR="004C547F" w:rsidRPr="00132AF8">
              <w:rPr>
                <w:rStyle w:val="Hyperlink"/>
              </w:rPr>
              <w:t>3.5.1</w:t>
            </w:r>
            <w:r w:rsidR="004C547F">
              <w:rPr>
                <w:rFonts w:asciiTheme="minorHAnsi" w:eastAsiaTheme="minorEastAsia" w:hAnsiTheme="minorHAnsi" w:cstheme="minorBidi"/>
                <w:szCs w:val="22"/>
              </w:rPr>
              <w:tab/>
            </w:r>
            <w:r w:rsidR="004C547F" w:rsidRPr="00132AF8">
              <w:rPr>
                <w:rStyle w:val="Hyperlink"/>
              </w:rPr>
              <w:t>Natural gas</w:t>
            </w:r>
            <w:r w:rsidR="004C547F">
              <w:rPr>
                <w:webHidden/>
              </w:rPr>
              <w:tab/>
            </w:r>
            <w:r w:rsidR="004C547F">
              <w:rPr>
                <w:webHidden/>
              </w:rPr>
              <w:fldChar w:fldCharType="begin"/>
            </w:r>
            <w:r w:rsidR="004C547F">
              <w:rPr>
                <w:webHidden/>
              </w:rPr>
              <w:instrText xml:space="preserve"> PAGEREF _Toc370394641 \h </w:instrText>
            </w:r>
            <w:r w:rsidR="004C547F">
              <w:rPr>
                <w:webHidden/>
              </w:rPr>
            </w:r>
            <w:r w:rsidR="004C547F">
              <w:rPr>
                <w:webHidden/>
              </w:rPr>
              <w:fldChar w:fldCharType="separate"/>
            </w:r>
            <w:r w:rsidR="00660A8E">
              <w:rPr>
                <w:webHidden/>
              </w:rPr>
              <w:t>26</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42" w:history="1">
            <w:r w:rsidR="004C547F" w:rsidRPr="00132AF8">
              <w:rPr>
                <w:rStyle w:val="Hyperlink"/>
              </w:rPr>
              <w:t>3.5.2</w:t>
            </w:r>
            <w:r w:rsidR="004C547F">
              <w:rPr>
                <w:rFonts w:asciiTheme="minorHAnsi" w:eastAsiaTheme="minorEastAsia" w:hAnsiTheme="minorHAnsi" w:cstheme="minorBidi"/>
                <w:szCs w:val="22"/>
              </w:rPr>
              <w:tab/>
            </w:r>
            <w:r w:rsidR="004C547F" w:rsidRPr="00132AF8">
              <w:rPr>
                <w:rStyle w:val="Hyperlink"/>
              </w:rPr>
              <w:t>Coal</w:t>
            </w:r>
            <w:r w:rsidR="004C547F">
              <w:rPr>
                <w:webHidden/>
              </w:rPr>
              <w:tab/>
            </w:r>
            <w:r w:rsidR="004C547F">
              <w:rPr>
                <w:webHidden/>
              </w:rPr>
              <w:fldChar w:fldCharType="begin"/>
            </w:r>
            <w:r w:rsidR="004C547F">
              <w:rPr>
                <w:webHidden/>
              </w:rPr>
              <w:instrText xml:space="preserve"> PAGEREF _Toc370394642 \h </w:instrText>
            </w:r>
            <w:r w:rsidR="004C547F">
              <w:rPr>
                <w:webHidden/>
              </w:rPr>
            </w:r>
            <w:r w:rsidR="004C547F">
              <w:rPr>
                <w:webHidden/>
              </w:rPr>
              <w:fldChar w:fldCharType="separate"/>
            </w:r>
            <w:r w:rsidR="00660A8E">
              <w:rPr>
                <w:webHidden/>
              </w:rPr>
              <w:t>28</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43" w:history="1">
            <w:r w:rsidR="004C547F" w:rsidRPr="00132AF8">
              <w:rPr>
                <w:rStyle w:val="Hyperlink"/>
              </w:rPr>
              <w:t>3.5.3</w:t>
            </w:r>
            <w:r w:rsidR="004C547F">
              <w:rPr>
                <w:rFonts w:asciiTheme="minorHAnsi" w:eastAsiaTheme="minorEastAsia" w:hAnsiTheme="minorHAnsi" w:cstheme="minorBidi"/>
                <w:szCs w:val="22"/>
              </w:rPr>
              <w:tab/>
            </w:r>
            <w:r w:rsidR="004C547F" w:rsidRPr="00132AF8">
              <w:rPr>
                <w:rStyle w:val="Hyperlink"/>
              </w:rPr>
              <w:t>Carbon transport and storage costs</w:t>
            </w:r>
            <w:r w:rsidR="004C547F">
              <w:rPr>
                <w:webHidden/>
              </w:rPr>
              <w:tab/>
            </w:r>
            <w:r w:rsidR="004C547F">
              <w:rPr>
                <w:webHidden/>
              </w:rPr>
              <w:fldChar w:fldCharType="begin"/>
            </w:r>
            <w:r w:rsidR="004C547F">
              <w:rPr>
                <w:webHidden/>
              </w:rPr>
              <w:instrText xml:space="preserve"> PAGEREF _Toc370394643 \h </w:instrText>
            </w:r>
            <w:r w:rsidR="004C547F">
              <w:rPr>
                <w:webHidden/>
              </w:rPr>
            </w:r>
            <w:r w:rsidR="004C547F">
              <w:rPr>
                <w:webHidden/>
              </w:rPr>
              <w:fldChar w:fldCharType="separate"/>
            </w:r>
            <w:r w:rsidR="00660A8E">
              <w:rPr>
                <w:webHidden/>
              </w:rPr>
              <w:t>28</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44" w:history="1">
            <w:r w:rsidR="004C547F" w:rsidRPr="00132AF8">
              <w:rPr>
                <w:rStyle w:val="Hyperlink"/>
              </w:rPr>
              <w:t>3.6</w:t>
            </w:r>
            <w:r w:rsidR="004C547F">
              <w:rPr>
                <w:rFonts w:asciiTheme="minorHAnsi" w:eastAsiaTheme="minorEastAsia" w:hAnsiTheme="minorHAnsi" w:cstheme="minorBidi"/>
                <w:szCs w:val="22"/>
              </w:rPr>
              <w:tab/>
            </w:r>
            <w:r w:rsidR="004C547F" w:rsidRPr="00132AF8">
              <w:rPr>
                <w:rStyle w:val="Hyperlink"/>
              </w:rPr>
              <w:t>Energy constrained and intermittent generation</w:t>
            </w:r>
            <w:r w:rsidR="004C547F">
              <w:rPr>
                <w:webHidden/>
              </w:rPr>
              <w:tab/>
            </w:r>
            <w:r w:rsidR="004C547F">
              <w:rPr>
                <w:webHidden/>
              </w:rPr>
              <w:fldChar w:fldCharType="begin"/>
            </w:r>
            <w:r w:rsidR="004C547F">
              <w:rPr>
                <w:webHidden/>
              </w:rPr>
              <w:instrText xml:space="preserve"> PAGEREF _Toc370394644 \h </w:instrText>
            </w:r>
            <w:r w:rsidR="004C547F">
              <w:rPr>
                <w:webHidden/>
              </w:rPr>
            </w:r>
            <w:r w:rsidR="004C547F">
              <w:rPr>
                <w:webHidden/>
              </w:rPr>
              <w:fldChar w:fldCharType="separate"/>
            </w:r>
            <w:r w:rsidR="00660A8E">
              <w:rPr>
                <w:webHidden/>
              </w:rPr>
              <w:t>29</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45" w:history="1">
            <w:r w:rsidR="004C547F" w:rsidRPr="00132AF8">
              <w:rPr>
                <w:rStyle w:val="Hyperlink"/>
              </w:rPr>
              <w:t>3.6.1</w:t>
            </w:r>
            <w:r w:rsidR="004C547F">
              <w:rPr>
                <w:rFonts w:asciiTheme="minorHAnsi" w:eastAsiaTheme="minorEastAsia" w:hAnsiTheme="minorHAnsi" w:cstheme="minorBidi"/>
                <w:szCs w:val="22"/>
              </w:rPr>
              <w:tab/>
            </w:r>
            <w:r w:rsidR="004C547F" w:rsidRPr="00132AF8">
              <w:rPr>
                <w:rStyle w:val="Hyperlink"/>
              </w:rPr>
              <w:t>Hydro</w:t>
            </w:r>
            <w:r w:rsidR="004C547F">
              <w:rPr>
                <w:webHidden/>
              </w:rPr>
              <w:tab/>
            </w:r>
            <w:r w:rsidR="004C547F">
              <w:rPr>
                <w:webHidden/>
              </w:rPr>
              <w:fldChar w:fldCharType="begin"/>
            </w:r>
            <w:r w:rsidR="004C547F">
              <w:rPr>
                <w:webHidden/>
              </w:rPr>
              <w:instrText xml:space="preserve"> PAGEREF _Toc370394645 \h </w:instrText>
            </w:r>
            <w:r w:rsidR="004C547F">
              <w:rPr>
                <w:webHidden/>
              </w:rPr>
            </w:r>
            <w:r w:rsidR="004C547F">
              <w:rPr>
                <w:webHidden/>
              </w:rPr>
              <w:fldChar w:fldCharType="separate"/>
            </w:r>
            <w:r w:rsidR="00660A8E">
              <w:rPr>
                <w:webHidden/>
              </w:rPr>
              <w:t>29</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46" w:history="1">
            <w:r w:rsidR="004C547F" w:rsidRPr="00132AF8">
              <w:rPr>
                <w:rStyle w:val="Hyperlink"/>
              </w:rPr>
              <w:t>3.6.2</w:t>
            </w:r>
            <w:r w:rsidR="004C547F">
              <w:rPr>
                <w:rFonts w:asciiTheme="minorHAnsi" w:eastAsiaTheme="minorEastAsia" w:hAnsiTheme="minorHAnsi" w:cstheme="minorBidi"/>
                <w:szCs w:val="22"/>
              </w:rPr>
              <w:tab/>
            </w:r>
            <w:r w:rsidR="004C547F" w:rsidRPr="00132AF8">
              <w:rPr>
                <w:rStyle w:val="Hyperlink"/>
              </w:rPr>
              <w:t>Wind</w:t>
            </w:r>
            <w:r w:rsidR="004C547F">
              <w:rPr>
                <w:webHidden/>
              </w:rPr>
              <w:tab/>
            </w:r>
            <w:r w:rsidR="004C547F">
              <w:rPr>
                <w:webHidden/>
              </w:rPr>
              <w:fldChar w:fldCharType="begin"/>
            </w:r>
            <w:r w:rsidR="004C547F">
              <w:rPr>
                <w:webHidden/>
              </w:rPr>
              <w:instrText xml:space="preserve"> PAGEREF _Toc370394646 \h </w:instrText>
            </w:r>
            <w:r w:rsidR="004C547F">
              <w:rPr>
                <w:webHidden/>
              </w:rPr>
            </w:r>
            <w:r w:rsidR="004C547F">
              <w:rPr>
                <w:webHidden/>
              </w:rPr>
              <w:fldChar w:fldCharType="separate"/>
            </w:r>
            <w:r w:rsidR="00660A8E">
              <w:rPr>
                <w:webHidden/>
              </w:rPr>
              <w:t>29</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47" w:history="1">
            <w:r w:rsidR="004C547F" w:rsidRPr="00132AF8">
              <w:rPr>
                <w:rStyle w:val="Hyperlink"/>
              </w:rPr>
              <w:t>3.6.3</w:t>
            </w:r>
            <w:r w:rsidR="004C547F">
              <w:rPr>
                <w:rFonts w:asciiTheme="minorHAnsi" w:eastAsiaTheme="minorEastAsia" w:hAnsiTheme="minorHAnsi" w:cstheme="minorBidi"/>
                <w:szCs w:val="22"/>
              </w:rPr>
              <w:tab/>
            </w:r>
            <w:r w:rsidR="004C547F" w:rsidRPr="00132AF8">
              <w:rPr>
                <w:rStyle w:val="Hyperlink"/>
              </w:rPr>
              <w:t>Solar</w:t>
            </w:r>
            <w:r w:rsidR="004C547F">
              <w:rPr>
                <w:webHidden/>
              </w:rPr>
              <w:tab/>
            </w:r>
            <w:r w:rsidR="004C547F">
              <w:rPr>
                <w:webHidden/>
              </w:rPr>
              <w:fldChar w:fldCharType="begin"/>
            </w:r>
            <w:r w:rsidR="004C547F">
              <w:rPr>
                <w:webHidden/>
              </w:rPr>
              <w:instrText xml:space="preserve"> PAGEREF _Toc370394647 \h </w:instrText>
            </w:r>
            <w:r w:rsidR="004C547F">
              <w:rPr>
                <w:webHidden/>
              </w:rPr>
            </w:r>
            <w:r w:rsidR="004C547F">
              <w:rPr>
                <w:webHidden/>
              </w:rPr>
              <w:fldChar w:fldCharType="separate"/>
            </w:r>
            <w:r w:rsidR="00660A8E">
              <w:rPr>
                <w:webHidden/>
              </w:rPr>
              <w:t>30</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48" w:history="1">
            <w:r w:rsidR="004C547F" w:rsidRPr="00132AF8">
              <w:rPr>
                <w:rStyle w:val="Hyperlink"/>
              </w:rPr>
              <w:t>3.7</w:t>
            </w:r>
            <w:r w:rsidR="004C547F">
              <w:rPr>
                <w:rFonts w:asciiTheme="minorHAnsi" w:eastAsiaTheme="minorEastAsia" w:hAnsiTheme="minorHAnsi" w:cstheme="minorBidi"/>
                <w:szCs w:val="22"/>
              </w:rPr>
              <w:tab/>
            </w:r>
            <w:r w:rsidR="004C547F" w:rsidRPr="00132AF8">
              <w:rPr>
                <w:rStyle w:val="Hyperlink"/>
              </w:rPr>
              <w:t>End of life and refurbishment</w:t>
            </w:r>
            <w:r w:rsidR="004C547F">
              <w:rPr>
                <w:webHidden/>
              </w:rPr>
              <w:tab/>
            </w:r>
            <w:r w:rsidR="004C547F">
              <w:rPr>
                <w:webHidden/>
              </w:rPr>
              <w:fldChar w:fldCharType="begin"/>
            </w:r>
            <w:r w:rsidR="004C547F">
              <w:rPr>
                <w:webHidden/>
              </w:rPr>
              <w:instrText xml:space="preserve"> PAGEREF _Toc370394648 \h </w:instrText>
            </w:r>
            <w:r w:rsidR="004C547F">
              <w:rPr>
                <w:webHidden/>
              </w:rPr>
            </w:r>
            <w:r w:rsidR="004C547F">
              <w:rPr>
                <w:webHidden/>
              </w:rPr>
              <w:fldChar w:fldCharType="separate"/>
            </w:r>
            <w:r w:rsidR="00660A8E">
              <w:rPr>
                <w:webHidden/>
              </w:rPr>
              <w:t>30</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49" w:history="1">
            <w:r w:rsidR="004C547F" w:rsidRPr="00132AF8">
              <w:rPr>
                <w:rStyle w:val="Hyperlink"/>
              </w:rPr>
              <w:t>3.7.1</w:t>
            </w:r>
            <w:r w:rsidR="004C547F">
              <w:rPr>
                <w:rFonts w:asciiTheme="minorHAnsi" w:eastAsiaTheme="minorEastAsia" w:hAnsiTheme="minorHAnsi" w:cstheme="minorBidi"/>
                <w:szCs w:val="22"/>
              </w:rPr>
              <w:tab/>
            </w:r>
            <w:r w:rsidR="004C547F" w:rsidRPr="00132AF8">
              <w:rPr>
                <w:rStyle w:val="Hyperlink"/>
              </w:rPr>
              <w:t>Retirement criteria</w:t>
            </w:r>
            <w:r w:rsidR="004C547F">
              <w:rPr>
                <w:webHidden/>
              </w:rPr>
              <w:tab/>
            </w:r>
            <w:r w:rsidR="004C547F">
              <w:rPr>
                <w:webHidden/>
              </w:rPr>
              <w:fldChar w:fldCharType="begin"/>
            </w:r>
            <w:r w:rsidR="004C547F">
              <w:rPr>
                <w:webHidden/>
              </w:rPr>
              <w:instrText xml:space="preserve"> PAGEREF _Toc370394649 \h </w:instrText>
            </w:r>
            <w:r w:rsidR="004C547F">
              <w:rPr>
                <w:webHidden/>
              </w:rPr>
            </w:r>
            <w:r w:rsidR="004C547F">
              <w:rPr>
                <w:webHidden/>
              </w:rPr>
              <w:fldChar w:fldCharType="separate"/>
            </w:r>
            <w:r w:rsidR="00660A8E">
              <w:rPr>
                <w:webHidden/>
              </w:rPr>
              <w:t>30</w:t>
            </w:r>
            <w:r w:rsidR="004C547F">
              <w:rPr>
                <w:webHidden/>
              </w:rPr>
              <w:fldChar w:fldCharType="end"/>
            </w:r>
          </w:hyperlink>
        </w:p>
        <w:p w:rsidR="004C547F" w:rsidRDefault="009926D6">
          <w:pPr>
            <w:pStyle w:val="TOC3"/>
            <w:rPr>
              <w:rFonts w:asciiTheme="minorHAnsi" w:eastAsiaTheme="minorEastAsia" w:hAnsiTheme="minorHAnsi" w:cstheme="minorBidi"/>
              <w:szCs w:val="22"/>
            </w:rPr>
          </w:pPr>
          <w:hyperlink w:anchor="_Toc370394650" w:history="1">
            <w:r w:rsidR="004C547F" w:rsidRPr="00132AF8">
              <w:rPr>
                <w:rStyle w:val="Hyperlink"/>
              </w:rPr>
              <w:t>3.7.2</w:t>
            </w:r>
            <w:r w:rsidR="004C547F">
              <w:rPr>
                <w:rFonts w:asciiTheme="minorHAnsi" w:eastAsiaTheme="minorEastAsia" w:hAnsiTheme="minorHAnsi" w:cstheme="minorBidi"/>
                <w:szCs w:val="22"/>
              </w:rPr>
              <w:tab/>
            </w:r>
            <w:r w:rsidR="004C547F" w:rsidRPr="00132AF8">
              <w:rPr>
                <w:rStyle w:val="Hyperlink"/>
              </w:rPr>
              <w:t>Refurbishment</w:t>
            </w:r>
            <w:r w:rsidR="004C547F">
              <w:rPr>
                <w:webHidden/>
              </w:rPr>
              <w:tab/>
            </w:r>
            <w:r w:rsidR="004C547F">
              <w:rPr>
                <w:webHidden/>
              </w:rPr>
              <w:fldChar w:fldCharType="begin"/>
            </w:r>
            <w:r w:rsidR="004C547F">
              <w:rPr>
                <w:webHidden/>
              </w:rPr>
              <w:instrText xml:space="preserve"> PAGEREF _Toc370394650 \h </w:instrText>
            </w:r>
            <w:r w:rsidR="004C547F">
              <w:rPr>
                <w:webHidden/>
              </w:rPr>
            </w:r>
            <w:r w:rsidR="004C547F">
              <w:rPr>
                <w:webHidden/>
              </w:rPr>
              <w:fldChar w:fldCharType="separate"/>
            </w:r>
            <w:r w:rsidR="00660A8E">
              <w:rPr>
                <w:webHidden/>
              </w:rPr>
              <w:t>30</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51" w:history="1">
            <w:r w:rsidR="004C547F" w:rsidRPr="00132AF8">
              <w:rPr>
                <w:rStyle w:val="Hyperlink"/>
              </w:rPr>
              <w:t>3.8</w:t>
            </w:r>
            <w:r w:rsidR="004C547F">
              <w:rPr>
                <w:rFonts w:asciiTheme="minorHAnsi" w:eastAsiaTheme="minorEastAsia" w:hAnsiTheme="minorHAnsi" w:cstheme="minorBidi"/>
                <w:szCs w:val="22"/>
              </w:rPr>
              <w:tab/>
            </w:r>
            <w:r w:rsidR="004C547F" w:rsidRPr="00132AF8">
              <w:rPr>
                <w:rStyle w:val="Hyperlink"/>
              </w:rPr>
              <w:t>Embedded and off-grid generation</w:t>
            </w:r>
            <w:r w:rsidR="004C547F">
              <w:rPr>
                <w:webHidden/>
              </w:rPr>
              <w:tab/>
            </w:r>
            <w:r w:rsidR="004C547F">
              <w:rPr>
                <w:webHidden/>
              </w:rPr>
              <w:fldChar w:fldCharType="begin"/>
            </w:r>
            <w:r w:rsidR="004C547F">
              <w:rPr>
                <w:webHidden/>
              </w:rPr>
              <w:instrText xml:space="preserve"> PAGEREF _Toc370394651 \h </w:instrText>
            </w:r>
            <w:r w:rsidR="004C547F">
              <w:rPr>
                <w:webHidden/>
              </w:rPr>
            </w:r>
            <w:r w:rsidR="004C547F">
              <w:rPr>
                <w:webHidden/>
              </w:rPr>
              <w:fldChar w:fldCharType="separate"/>
            </w:r>
            <w:r w:rsidR="00660A8E">
              <w:rPr>
                <w:webHidden/>
              </w:rPr>
              <w:t>31</w:t>
            </w:r>
            <w:r w:rsidR="004C547F">
              <w:rPr>
                <w:webHidden/>
              </w:rPr>
              <w:fldChar w:fldCharType="end"/>
            </w:r>
          </w:hyperlink>
        </w:p>
        <w:p w:rsidR="004C547F" w:rsidRDefault="009926D6">
          <w:pPr>
            <w:pStyle w:val="TOC1"/>
            <w:rPr>
              <w:rFonts w:asciiTheme="minorHAnsi" w:eastAsiaTheme="minorEastAsia" w:hAnsiTheme="minorHAnsi" w:cstheme="minorBidi"/>
              <w:b w:val="0"/>
              <w:color w:val="auto"/>
            </w:rPr>
          </w:pPr>
          <w:hyperlink w:anchor="_Toc370394652" w:history="1">
            <w:r w:rsidR="004C547F" w:rsidRPr="00132AF8">
              <w:rPr>
                <w:rStyle w:val="Hyperlink"/>
              </w:rPr>
              <w:t>4</w:t>
            </w:r>
            <w:r w:rsidR="004C547F">
              <w:rPr>
                <w:rFonts w:asciiTheme="minorHAnsi" w:eastAsiaTheme="minorEastAsia" w:hAnsiTheme="minorHAnsi" w:cstheme="minorBidi"/>
                <w:b w:val="0"/>
                <w:color w:val="auto"/>
              </w:rPr>
              <w:tab/>
            </w:r>
            <w:r w:rsidR="004C547F" w:rsidRPr="00132AF8">
              <w:rPr>
                <w:rStyle w:val="Hyperlink"/>
              </w:rPr>
              <w:t>Policy and No Carbon Price scenario results</w:t>
            </w:r>
            <w:r w:rsidR="004C547F">
              <w:rPr>
                <w:webHidden/>
              </w:rPr>
              <w:tab/>
            </w:r>
            <w:r w:rsidR="004C547F">
              <w:rPr>
                <w:webHidden/>
              </w:rPr>
              <w:fldChar w:fldCharType="begin"/>
            </w:r>
            <w:r w:rsidR="004C547F">
              <w:rPr>
                <w:webHidden/>
              </w:rPr>
              <w:instrText xml:space="preserve"> PAGEREF _Toc370394652 \h </w:instrText>
            </w:r>
            <w:r w:rsidR="004C547F">
              <w:rPr>
                <w:webHidden/>
              </w:rPr>
            </w:r>
            <w:r w:rsidR="004C547F">
              <w:rPr>
                <w:webHidden/>
              </w:rPr>
              <w:fldChar w:fldCharType="separate"/>
            </w:r>
            <w:r w:rsidR="00660A8E">
              <w:rPr>
                <w:webHidden/>
              </w:rPr>
              <w:t>33</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53" w:history="1">
            <w:r w:rsidR="004C547F" w:rsidRPr="00132AF8">
              <w:rPr>
                <w:rStyle w:val="Hyperlink"/>
              </w:rPr>
              <w:t>4.1</w:t>
            </w:r>
            <w:r w:rsidR="004C547F">
              <w:rPr>
                <w:rFonts w:asciiTheme="minorHAnsi" w:eastAsiaTheme="minorEastAsia" w:hAnsiTheme="minorHAnsi" w:cstheme="minorBidi"/>
                <w:szCs w:val="22"/>
              </w:rPr>
              <w:tab/>
            </w:r>
            <w:r w:rsidR="004C547F" w:rsidRPr="00132AF8">
              <w:rPr>
                <w:rStyle w:val="Hyperlink"/>
              </w:rPr>
              <w:t>Demand</w:t>
            </w:r>
            <w:r w:rsidR="004C547F">
              <w:rPr>
                <w:webHidden/>
              </w:rPr>
              <w:tab/>
            </w:r>
            <w:r w:rsidR="004C547F">
              <w:rPr>
                <w:webHidden/>
              </w:rPr>
              <w:fldChar w:fldCharType="begin"/>
            </w:r>
            <w:r w:rsidR="004C547F">
              <w:rPr>
                <w:webHidden/>
              </w:rPr>
              <w:instrText xml:space="preserve"> PAGEREF _Toc370394653 \h </w:instrText>
            </w:r>
            <w:r w:rsidR="004C547F">
              <w:rPr>
                <w:webHidden/>
              </w:rPr>
            </w:r>
            <w:r w:rsidR="004C547F">
              <w:rPr>
                <w:webHidden/>
              </w:rPr>
              <w:fldChar w:fldCharType="separate"/>
            </w:r>
            <w:r w:rsidR="00660A8E">
              <w:rPr>
                <w:webHidden/>
              </w:rPr>
              <w:t>33</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54" w:history="1">
            <w:r w:rsidR="004C547F" w:rsidRPr="00132AF8">
              <w:rPr>
                <w:rStyle w:val="Hyperlink"/>
              </w:rPr>
              <w:t>4.2</w:t>
            </w:r>
            <w:r w:rsidR="004C547F">
              <w:rPr>
                <w:rFonts w:asciiTheme="minorHAnsi" w:eastAsiaTheme="minorEastAsia" w:hAnsiTheme="minorHAnsi" w:cstheme="minorBidi"/>
                <w:szCs w:val="22"/>
              </w:rPr>
              <w:tab/>
            </w:r>
            <w:r w:rsidR="004C547F" w:rsidRPr="00132AF8">
              <w:rPr>
                <w:rStyle w:val="Hyperlink"/>
              </w:rPr>
              <w:t>Emissions and generation outcomes</w:t>
            </w:r>
            <w:r w:rsidR="004C547F">
              <w:rPr>
                <w:webHidden/>
              </w:rPr>
              <w:tab/>
            </w:r>
            <w:r w:rsidR="004C547F">
              <w:rPr>
                <w:webHidden/>
              </w:rPr>
              <w:fldChar w:fldCharType="begin"/>
            </w:r>
            <w:r w:rsidR="004C547F">
              <w:rPr>
                <w:webHidden/>
              </w:rPr>
              <w:instrText xml:space="preserve"> PAGEREF _Toc370394654 \h </w:instrText>
            </w:r>
            <w:r w:rsidR="004C547F">
              <w:rPr>
                <w:webHidden/>
              </w:rPr>
            </w:r>
            <w:r w:rsidR="004C547F">
              <w:rPr>
                <w:webHidden/>
              </w:rPr>
              <w:fldChar w:fldCharType="separate"/>
            </w:r>
            <w:r w:rsidR="00660A8E">
              <w:rPr>
                <w:webHidden/>
              </w:rPr>
              <w:t>34</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55" w:history="1">
            <w:r w:rsidR="004C547F" w:rsidRPr="00132AF8">
              <w:rPr>
                <w:rStyle w:val="Hyperlink"/>
              </w:rPr>
              <w:t>4.3</w:t>
            </w:r>
            <w:r w:rsidR="004C547F">
              <w:rPr>
                <w:rFonts w:asciiTheme="minorHAnsi" w:eastAsiaTheme="minorEastAsia" w:hAnsiTheme="minorHAnsi" w:cstheme="minorBidi"/>
                <w:szCs w:val="22"/>
              </w:rPr>
              <w:tab/>
            </w:r>
            <w:r w:rsidR="004C547F" w:rsidRPr="00132AF8">
              <w:rPr>
                <w:rStyle w:val="Hyperlink"/>
              </w:rPr>
              <w:t>Investment and capacity</w:t>
            </w:r>
            <w:r w:rsidR="004C547F">
              <w:rPr>
                <w:webHidden/>
              </w:rPr>
              <w:tab/>
            </w:r>
            <w:r w:rsidR="004C547F">
              <w:rPr>
                <w:webHidden/>
              </w:rPr>
              <w:fldChar w:fldCharType="begin"/>
            </w:r>
            <w:r w:rsidR="004C547F">
              <w:rPr>
                <w:webHidden/>
              </w:rPr>
              <w:instrText xml:space="preserve"> PAGEREF _Toc370394655 \h </w:instrText>
            </w:r>
            <w:r w:rsidR="004C547F">
              <w:rPr>
                <w:webHidden/>
              </w:rPr>
            </w:r>
            <w:r w:rsidR="004C547F">
              <w:rPr>
                <w:webHidden/>
              </w:rPr>
              <w:fldChar w:fldCharType="separate"/>
            </w:r>
            <w:r w:rsidR="00660A8E">
              <w:rPr>
                <w:webHidden/>
              </w:rPr>
              <w:t>43</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56" w:history="1">
            <w:r w:rsidR="004C547F" w:rsidRPr="00132AF8">
              <w:rPr>
                <w:rStyle w:val="Hyperlink"/>
              </w:rPr>
              <w:t>4.4</w:t>
            </w:r>
            <w:r w:rsidR="004C547F">
              <w:rPr>
                <w:rFonts w:asciiTheme="minorHAnsi" w:eastAsiaTheme="minorEastAsia" w:hAnsiTheme="minorHAnsi" w:cstheme="minorBidi"/>
                <w:szCs w:val="22"/>
              </w:rPr>
              <w:tab/>
            </w:r>
            <w:r w:rsidR="004C547F" w:rsidRPr="00132AF8">
              <w:rPr>
                <w:rStyle w:val="Hyperlink"/>
              </w:rPr>
              <w:t>Electricity prices</w:t>
            </w:r>
            <w:r w:rsidR="004C547F">
              <w:rPr>
                <w:webHidden/>
              </w:rPr>
              <w:tab/>
            </w:r>
            <w:r w:rsidR="004C547F">
              <w:rPr>
                <w:webHidden/>
              </w:rPr>
              <w:fldChar w:fldCharType="begin"/>
            </w:r>
            <w:r w:rsidR="004C547F">
              <w:rPr>
                <w:webHidden/>
              </w:rPr>
              <w:instrText xml:space="preserve"> PAGEREF _Toc370394656 \h </w:instrText>
            </w:r>
            <w:r w:rsidR="004C547F">
              <w:rPr>
                <w:webHidden/>
              </w:rPr>
            </w:r>
            <w:r w:rsidR="004C547F">
              <w:rPr>
                <w:webHidden/>
              </w:rPr>
              <w:fldChar w:fldCharType="separate"/>
            </w:r>
            <w:r w:rsidR="00660A8E">
              <w:rPr>
                <w:webHidden/>
              </w:rPr>
              <w:t>46</w:t>
            </w:r>
            <w:r w:rsidR="004C547F">
              <w:rPr>
                <w:webHidden/>
              </w:rPr>
              <w:fldChar w:fldCharType="end"/>
            </w:r>
          </w:hyperlink>
        </w:p>
        <w:p w:rsidR="004C547F" w:rsidRDefault="009926D6">
          <w:pPr>
            <w:pStyle w:val="TOC1"/>
            <w:rPr>
              <w:rFonts w:asciiTheme="minorHAnsi" w:eastAsiaTheme="minorEastAsia" w:hAnsiTheme="minorHAnsi" w:cstheme="minorBidi"/>
              <w:b w:val="0"/>
              <w:color w:val="auto"/>
            </w:rPr>
          </w:pPr>
          <w:hyperlink w:anchor="_Toc370394657" w:history="1">
            <w:r w:rsidR="004C547F" w:rsidRPr="00132AF8">
              <w:rPr>
                <w:rStyle w:val="Hyperlink"/>
              </w:rPr>
              <w:t>5</w:t>
            </w:r>
            <w:r w:rsidR="004C547F">
              <w:rPr>
                <w:rFonts w:asciiTheme="minorHAnsi" w:eastAsiaTheme="minorEastAsia" w:hAnsiTheme="minorHAnsi" w:cstheme="minorBidi"/>
                <w:b w:val="0"/>
                <w:color w:val="auto"/>
              </w:rPr>
              <w:tab/>
            </w:r>
            <w:r w:rsidR="004C547F" w:rsidRPr="00132AF8">
              <w:rPr>
                <w:rStyle w:val="Hyperlink"/>
              </w:rPr>
              <w:t>Scenario and sensitivity results</w:t>
            </w:r>
            <w:r w:rsidR="004C547F">
              <w:rPr>
                <w:webHidden/>
              </w:rPr>
              <w:tab/>
            </w:r>
            <w:r w:rsidR="004C547F">
              <w:rPr>
                <w:webHidden/>
              </w:rPr>
              <w:fldChar w:fldCharType="begin"/>
            </w:r>
            <w:r w:rsidR="004C547F">
              <w:rPr>
                <w:webHidden/>
              </w:rPr>
              <w:instrText xml:space="preserve"> PAGEREF _Toc370394657 \h </w:instrText>
            </w:r>
            <w:r w:rsidR="004C547F">
              <w:rPr>
                <w:webHidden/>
              </w:rPr>
            </w:r>
            <w:r w:rsidR="004C547F">
              <w:rPr>
                <w:webHidden/>
              </w:rPr>
              <w:fldChar w:fldCharType="separate"/>
            </w:r>
            <w:r w:rsidR="00660A8E">
              <w:rPr>
                <w:webHidden/>
              </w:rPr>
              <w:t>51</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58" w:history="1">
            <w:r w:rsidR="004C547F" w:rsidRPr="00132AF8">
              <w:rPr>
                <w:rStyle w:val="Hyperlink"/>
              </w:rPr>
              <w:t>5.1</w:t>
            </w:r>
            <w:r w:rsidR="004C547F">
              <w:rPr>
                <w:rFonts w:asciiTheme="minorHAnsi" w:eastAsiaTheme="minorEastAsia" w:hAnsiTheme="minorHAnsi" w:cstheme="minorBidi"/>
                <w:szCs w:val="22"/>
              </w:rPr>
              <w:tab/>
            </w:r>
            <w:r w:rsidR="004C547F" w:rsidRPr="00132AF8">
              <w:rPr>
                <w:rStyle w:val="Hyperlink"/>
              </w:rPr>
              <w:t>High and Low Carbon Price scenarios</w:t>
            </w:r>
            <w:r w:rsidR="004C547F">
              <w:rPr>
                <w:webHidden/>
              </w:rPr>
              <w:tab/>
            </w:r>
            <w:r w:rsidR="004C547F">
              <w:rPr>
                <w:webHidden/>
              </w:rPr>
              <w:fldChar w:fldCharType="begin"/>
            </w:r>
            <w:r w:rsidR="004C547F">
              <w:rPr>
                <w:webHidden/>
              </w:rPr>
              <w:instrText xml:space="preserve"> PAGEREF _Toc370394658 \h </w:instrText>
            </w:r>
            <w:r w:rsidR="004C547F">
              <w:rPr>
                <w:webHidden/>
              </w:rPr>
            </w:r>
            <w:r w:rsidR="004C547F">
              <w:rPr>
                <w:webHidden/>
              </w:rPr>
              <w:fldChar w:fldCharType="separate"/>
            </w:r>
            <w:r w:rsidR="00660A8E">
              <w:rPr>
                <w:webHidden/>
              </w:rPr>
              <w:t>51</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59" w:history="1">
            <w:r w:rsidR="004C547F" w:rsidRPr="00132AF8">
              <w:rPr>
                <w:rStyle w:val="Hyperlink"/>
              </w:rPr>
              <w:t>5.2</w:t>
            </w:r>
            <w:r w:rsidR="004C547F">
              <w:rPr>
                <w:rFonts w:asciiTheme="minorHAnsi" w:eastAsiaTheme="minorEastAsia" w:hAnsiTheme="minorHAnsi" w:cstheme="minorBidi"/>
                <w:szCs w:val="22"/>
              </w:rPr>
              <w:tab/>
            </w:r>
            <w:r w:rsidR="004C547F" w:rsidRPr="00132AF8">
              <w:rPr>
                <w:rStyle w:val="Hyperlink"/>
              </w:rPr>
              <w:t>High and Low Demand sensitivities</w:t>
            </w:r>
            <w:r w:rsidR="004C547F">
              <w:rPr>
                <w:webHidden/>
              </w:rPr>
              <w:tab/>
            </w:r>
            <w:r w:rsidR="004C547F">
              <w:rPr>
                <w:webHidden/>
              </w:rPr>
              <w:fldChar w:fldCharType="begin"/>
            </w:r>
            <w:r w:rsidR="004C547F">
              <w:rPr>
                <w:webHidden/>
              </w:rPr>
              <w:instrText xml:space="preserve"> PAGEREF _Toc370394659 \h </w:instrText>
            </w:r>
            <w:r w:rsidR="004C547F">
              <w:rPr>
                <w:webHidden/>
              </w:rPr>
            </w:r>
            <w:r w:rsidR="004C547F">
              <w:rPr>
                <w:webHidden/>
              </w:rPr>
              <w:fldChar w:fldCharType="separate"/>
            </w:r>
            <w:r w:rsidR="00660A8E">
              <w:rPr>
                <w:webHidden/>
              </w:rPr>
              <w:t>56</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60" w:history="1">
            <w:r w:rsidR="004C547F" w:rsidRPr="00132AF8">
              <w:rPr>
                <w:rStyle w:val="Hyperlink"/>
              </w:rPr>
              <w:t>5.3</w:t>
            </w:r>
            <w:r w:rsidR="004C547F">
              <w:rPr>
                <w:rFonts w:asciiTheme="minorHAnsi" w:eastAsiaTheme="minorEastAsia" w:hAnsiTheme="minorHAnsi" w:cstheme="minorBidi"/>
                <w:szCs w:val="22"/>
              </w:rPr>
              <w:tab/>
            </w:r>
            <w:r w:rsidR="004C547F" w:rsidRPr="00132AF8">
              <w:rPr>
                <w:rStyle w:val="Hyperlink"/>
              </w:rPr>
              <w:t>High and Low Fuel Price sensitivities</w:t>
            </w:r>
            <w:r w:rsidR="004C547F">
              <w:rPr>
                <w:webHidden/>
              </w:rPr>
              <w:tab/>
            </w:r>
            <w:r w:rsidR="004C547F">
              <w:rPr>
                <w:webHidden/>
              </w:rPr>
              <w:fldChar w:fldCharType="begin"/>
            </w:r>
            <w:r w:rsidR="004C547F">
              <w:rPr>
                <w:webHidden/>
              </w:rPr>
              <w:instrText xml:space="preserve"> PAGEREF _Toc370394660 \h </w:instrText>
            </w:r>
            <w:r w:rsidR="004C547F">
              <w:rPr>
                <w:webHidden/>
              </w:rPr>
            </w:r>
            <w:r w:rsidR="004C547F">
              <w:rPr>
                <w:webHidden/>
              </w:rPr>
              <w:fldChar w:fldCharType="separate"/>
            </w:r>
            <w:r w:rsidR="00660A8E">
              <w:rPr>
                <w:webHidden/>
              </w:rPr>
              <w:t>60</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61" w:history="1">
            <w:r w:rsidR="004C547F" w:rsidRPr="00132AF8">
              <w:rPr>
                <w:rStyle w:val="Hyperlink"/>
              </w:rPr>
              <w:t>5.4</w:t>
            </w:r>
            <w:r w:rsidR="004C547F">
              <w:rPr>
                <w:rFonts w:asciiTheme="minorHAnsi" w:eastAsiaTheme="minorEastAsia" w:hAnsiTheme="minorHAnsi" w:cstheme="minorBidi"/>
                <w:szCs w:val="22"/>
              </w:rPr>
              <w:tab/>
            </w:r>
            <w:r w:rsidR="004C547F" w:rsidRPr="00132AF8">
              <w:rPr>
                <w:rStyle w:val="Hyperlink"/>
              </w:rPr>
              <w:t>Technology cost sensitivities</w:t>
            </w:r>
            <w:r w:rsidR="004C547F">
              <w:rPr>
                <w:webHidden/>
              </w:rPr>
              <w:tab/>
            </w:r>
            <w:r w:rsidR="004C547F">
              <w:rPr>
                <w:webHidden/>
              </w:rPr>
              <w:fldChar w:fldCharType="begin"/>
            </w:r>
            <w:r w:rsidR="004C547F">
              <w:rPr>
                <w:webHidden/>
              </w:rPr>
              <w:instrText xml:space="preserve"> PAGEREF _Toc370394661 \h </w:instrText>
            </w:r>
            <w:r w:rsidR="004C547F">
              <w:rPr>
                <w:webHidden/>
              </w:rPr>
            </w:r>
            <w:r w:rsidR="004C547F">
              <w:rPr>
                <w:webHidden/>
              </w:rPr>
              <w:fldChar w:fldCharType="separate"/>
            </w:r>
            <w:r w:rsidR="00660A8E">
              <w:rPr>
                <w:webHidden/>
              </w:rPr>
              <w:t>64</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62" w:history="1">
            <w:r w:rsidR="004C547F" w:rsidRPr="00132AF8">
              <w:rPr>
                <w:rStyle w:val="Hyperlink"/>
              </w:rPr>
              <w:t>5.5</w:t>
            </w:r>
            <w:r w:rsidR="004C547F">
              <w:rPr>
                <w:rFonts w:asciiTheme="minorHAnsi" w:eastAsiaTheme="minorEastAsia" w:hAnsiTheme="minorHAnsi" w:cstheme="minorBidi"/>
                <w:szCs w:val="22"/>
              </w:rPr>
              <w:tab/>
            </w:r>
            <w:r w:rsidR="004C547F" w:rsidRPr="00132AF8">
              <w:rPr>
                <w:rStyle w:val="Hyperlink"/>
              </w:rPr>
              <w:t>Restrictions on geothermal and CCS</w:t>
            </w:r>
            <w:r w:rsidR="004C547F">
              <w:rPr>
                <w:webHidden/>
              </w:rPr>
              <w:tab/>
            </w:r>
            <w:r w:rsidR="004C547F">
              <w:rPr>
                <w:webHidden/>
              </w:rPr>
              <w:fldChar w:fldCharType="begin"/>
            </w:r>
            <w:r w:rsidR="004C547F">
              <w:rPr>
                <w:webHidden/>
              </w:rPr>
              <w:instrText xml:space="preserve"> PAGEREF _Toc370394662 \h </w:instrText>
            </w:r>
            <w:r w:rsidR="004C547F">
              <w:rPr>
                <w:webHidden/>
              </w:rPr>
            </w:r>
            <w:r w:rsidR="004C547F">
              <w:rPr>
                <w:webHidden/>
              </w:rPr>
              <w:fldChar w:fldCharType="separate"/>
            </w:r>
            <w:r w:rsidR="00660A8E">
              <w:rPr>
                <w:webHidden/>
              </w:rPr>
              <w:t>69</w:t>
            </w:r>
            <w:r w:rsidR="004C547F">
              <w:rPr>
                <w:webHidden/>
              </w:rPr>
              <w:fldChar w:fldCharType="end"/>
            </w:r>
          </w:hyperlink>
        </w:p>
        <w:p w:rsidR="004C547F" w:rsidRDefault="009926D6">
          <w:pPr>
            <w:pStyle w:val="TOC2"/>
            <w:rPr>
              <w:rFonts w:asciiTheme="minorHAnsi" w:eastAsiaTheme="minorEastAsia" w:hAnsiTheme="minorHAnsi" w:cstheme="minorBidi"/>
              <w:szCs w:val="22"/>
            </w:rPr>
          </w:pPr>
          <w:hyperlink w:anchor="_Toc370394663" w:history="1">
            <w:r w:rsidR="004C547F" w:rsidRPr="00132AF8">
              <w:rPr>
                <w:rStyle w:val="Hyperlink"/>
              </w:rPr>
              <w:t>5.6</w:t>
            </w:r>
            <w:r w:rsidR="004C547F">
              <w:rPr>
                <w:rFonts w:asciiTheme="minorHAnsi" w:eastAsiaTheme="minorEastAsia" w:hAnsiTheme="minorHAnsi" w:cstheme="minorBidi"/>
                <w:szCs w:val="22"/>
              </w:rPr>
              <w:tab/>
            </w:r>
            <w:r w:rsidR="004C547F" w:rsidRPr="00132AF8">
              <w:rPr>
                <w:rStyle w:val="Hyperlink"/>
              </w:rPr>
              <w:t>Summary of sensitivities</w:t>
            </w:r>
            <w:r w:rsidR="004C547F">
              <w:rPr>
                <w:webHidden/>
              </w:rPr>
              <w:tab/>
            </w:r>
            <w:r w:rsidR="004C547F">
              <w:rPr>
                <w:webHidden/>
              </w:rPr>
              <w:fldChar w:fldCharType="begin"/>
            </w:r>
            <w:r w:rsidR="004C547F">
              <w:rPr>
                <w:webHidden/>
              </w:rPr>
              <w:instrText xml:space="preserve"> PAGEREF _Toc370394663 \h </w:instrText>
            </w:r>
            <w:r w:rsidR="004C547F">
              <w:rPr>
                <w:webHidden/>
              </w:rPr>
            </w:r>
            <w:r w:rsidR="004C547F">
              <w:rPr>
                <w:webHidden/>
              </w:rPr>
              <w:fldChar w:fldCharType="separate"/>
            </w:r>
            <w:r w:rsidR="00660A8E">
              <w:rPr>
                <w:webHidden/>
              </w:rPr>
              <w:t>72</w:t>
            </w:r>
            <w:r w:rsidR="004C547F">
              <w:rPr>
                <w:webHidden/>
              </w:rPr>
              <w:fldChar w:fldCharType="end"/>
            </w:r>
          </w:hyperlink>
        </w:p>
        <w:p w:rsidR="0081772A" w:rsidRPr="00F370F2" w:rsidRDefault="0081772A" w:rsidP="003739E4">
          <w:r>
            <w:fldChar w:fldCharType="end"/>
          </w:r>
        </w:p>
      </w:sdtContent>
    </w:sdt>
    <w:p w:rsidR="0081772A" w:rsidRPr="00F370F2" w:rsidRDefault="0081772A" w:rsidP="003739E4"/>
    <w:p w:rsidR="004C547F" w:rsidRDefault="0081772A">
      <w:pPr>
        <w:pStyle w:val="TOC7"/>
        <w:rPr>
          <w:rFonts w:asciiTheme="minorHAnsi" w:eastAsiaTheme="minorEastAsia" w:hAnsiTheme="minorHAnsi" w:cstheme="minorBidi"/>
          <w:szCs w:val="22"/>
          <w:lang w:eastAsia="en-AU"/>
        </w:rPr>
      </w:pPr>
      <w:r>
        <w:fldChar w:fldCharType="begin"/>
      </w:r>
      <w:r>
        <w:instrText xml:space="preserve"> TOC \o "7-7" \h \z </w:instrText>
      </w:r>
      <w:r>
        <w:fldChar w:fldCharType="separate"/>
      </w:r>
      <w:hyperlink w:anchor="_Toc370394664" w:history="1">
        <w:r w:rsidR="004C547F" w:rsidRPr="00440D8A">
          <w:rPr>
            <w:rStyle w:val="Hyperlink"/>
          </w:rPr>
          <w:t>Appendix A</w:t>
        </w:r>
        <w:r w:rsidR="004C547F">
          <w:rPr>
            <w:rFonts w:asciiTheme="minorHAnsi" w:eastAsiaTheme="minorEastAsia" w:hAnsiTheme="minorHAnsi" w:cstheme="minorBidi"/>
            <w:szCs w:val="22"/>
            <w:lang w:eastAsia="en-AU"/>
          </w:rPr>
          <w:tab/>
        </w:r>
        <w:r w:rsidR="004C547F" w:rsidRPr="00440D8A">
          <w:rPr>
            <w:rStyle w:val="Hyperlink"/>
          </w:rPr>
          <w:t>PowerMark LT</w:t>
        </w:r>
        <w:r w:rsidR="004C547F">
          <w:rPr>
            <w:webHidden/>
          </w:rPr>
          <w:tab/>
        </w:r>
        <w:r w:rsidR="004C547F">
          <w:rPr>
            <w:webHidden/>
          </w:rPr>
          <w:fldChar w:fldCharType="begin"/>
        </w:r>
        <w:r w:rsidR="004C547F">
          <w:rPr>
            <w:webHidden/>
          </w:rPr>
          <w:instrText xml:space="preserve"> PAGEREF _Toc370394664 \h </w:instrText>
        </w:r>
        <w:r w:rsidR="004C547F">
          <w:rPr>
            <w:webHidden/>
          </w:rPr>
        </w:r>
        <w:r w:rsidR="004C547F">
          <w:rPr>
            <w:webHidden/>
          </w:rPr>
          <w:fldChar w:fldCharType="separate"/>
        </w:r>
        <w:r w:rsidR="00660A8E">
          <w:rPr>
            <w:webHidden/>
          </w:rPr>
          <w:t>A-1</w:t>
        </w:r>
        <w:r w:rsidR="004C547F">
          <w:rPr>
            <w:webHidden/>
          </w:rPr>
          <w:fldChar w:fldCharType="end"/>
        </w:r>
      </w:hyperlink>
    </w:p>
    <w:p w:rsidR="004C547F" w:rsidRDefault="009926D6">
      <w:pPr>
        <w:pStyle w:val="TOC7"/>
        <w:rPr>
          <w:rFonts w:asciiTheme="minorHAnsi" w:eastAsiaTheme="minorEastAsia" w:hAnsiTheme="minorHAnsi" w:cstheme="minorBidi"/>
          <w:szCs w:val="22"/>
          <w:lang w:eastAsia="en-AU"/>
        </w:rPr>
      </w:pPr>
      <w:hyperlink w:anchor="_Toc370394665" w:history="1">
        <w:r w:rsidR="004C547F" w:rsidRPr="00440D8A">
          <w:rPr>
            <w:rStyle w:val="Hyperlink"/>
          </w:rPr>
          <w:t>Appendix B</w:t>
        </w:r>
        <w:r w:rsidR="004C547F">
          <w:rPr>
            <w:rFonts w:asciiTheme="minorHAnsi" w:eastAsiaTheme="minorEastAsia" w:hAnsiTheme="minorHAnsi" w:cstheme="minorBidi"/>
            <w:szCs w:val="22"/>
            <w:lang w:eastAsia="en-AU"/>
          </w:rPr>
          <w:tab/>
        </w:r>
        <w:r w:rsidR="004C547F" w:rsidRPr="00440D8A">
          <w:rPr>
            <w:rStyle w:val="Hyperlink"/>
          </w:rPr>
          <w:t>RECMark</w:t>
        </w:r>
        <w:r w:rsidR="004C547F">
          <w:rPr>
            <w:webHidden/>
          </w:rPr>
          <w:tab/>
        </w:r>
        <w:r w:rsidR="004C547F">
          <w:rPr>
            <w:webHidden/>
          </w:rPr>
          <w:fldChar w:fldCharType="begin"/>
        </w:r>
        <w:r w:rsidR="004C547F">
          <w:rPr>
            <w:webHidden/>
          </w:rPr>
          <w:instrText xml:space="preserve"> PAGEREF _Toc370394665 \h </w:instrText>
        </w:r>
        <w:r w:rsidR="004C547F">
          <w:rPr>
            <w:webHidden/>
          </w:rPr>
        </w:r>
        <w:r w:rsidR="004C547F">
          <w:rPr>
            <w:webHidden/>
          </w:rPr>
          <w:fldChar w:fldCharType="separate"/>
        </w:r>
        <w:r w:rsidR="00660A8E">
          <w:rPr>
            <w:webHidden/>
          </w:rPr>
          <w:t>B-1</w:t>
        </w:r>
        <w:r w:rsidR="004C547F">
          <w:rPr>
            <w:webHidden/>
          </w:rPr>
          <w:fldChar w:fldCharType="end"/>
        </w:r>
      </w:hyperlink>
    </w:p>
    <w:p w:rsidR="0081772A" w:rsidRPr="000504DD" w:rsidRDefault="0081772A" w:rsidP="003739E4">
      <w:pPr>
        <w:pStyle w:val="BodyText"/>
      </w:pPr>
      <w:r>
        <w:rPr>
          <w:b/>
          <w:bCs/>
          <w:noProof/>
          <w:lang w:val="en-US"/>
        </w:rPr>
        <w:fldChar w:fldCharType="end"/>
      </w:r>
    </w:p>
    <w:p w:rsidR="0081772A" w:rsidRPr="00AA18E5" w:rsidRDefault="0081772A" w:rsidP="003739E4">
      <w:pPr>
        <w:pStyle w:val="SpaceAboveInTOC"/>
      </w:pPr>
    </w:p>
    <w:p w:rsidR="0081772A" w:rsidRDefault="0081772A" w:rsidP="003739E4">
      <w:pPr>
        <w:pStyle w:val="TOAHeading"/>
      </w:pPr>
      <w:r>
        <w:t>List of figures</w:t>
      </w:r>
    </w:p>
    <w:p w:rsidR="004C547F" w:rsidRPr="004C547F" w:rsidRDefault="0081772A">
      <w:pPr>
        <w:pStyle w:val="TableofFigures"/>
        <w:rPr>
          <w:rFonts w:eastAsiaTheme="minorEastAsia"/>
        </w:rPr>
      </w:pPr>
      <w:r w:rsidRPr="004C547F">
        <w:fldChar w:fldCharType="begin"/>
      </w:r>
      <w:r w:rsidRPr="004C547F">
        <w:instrText xml:space="preserve"> TOC \h \z \c "Figure ES" \*FirstCap </w:instrText>
      </w:r>
      <w:r w:rsidRPr="004C547F">
        <w:fldChar w:fldCharType="separate"/>
      </w:r>
      <w:hyperlink w:anchor="_Toc370394666" w:history="1">
        <w:r w:rsidR="004C547F" w:rsidRPr="004C547F">
          <w:t>Figure ES 1</w:t>
        </w:r>
        <w:r w:rsidR="004C547F" w:rsidRPr="004C547F">
          <w:rPr>
            <w:rFonts w:eastAsiaTheme="minorEastAsia"/>
          </w:rPr>
          <w:tab/>
        </w:r>
        <w:r w:rsidR="004C547F" w:rsidRPr="004C547F">
          <w:t>Aggregate emissions – No Carbon Price and Central Policy scenarios</w:t>
        </w:r>
        <w:r w:rsidR="004C547F" w:rsidRPr="004C547F">
          <w:rPr>
            <w:webHidden/>
          </w:rPr>
          <w:tab/>
        </w:r>
        <w:r w:rsidR="004C547F" w:rsidRPr="004C547F">
          <w:rPr>
            <w:webHidden/>
          </w:rPr>
          <w:fldChar w:fldCharType="begin"/>
        </w:r>
        <w:r w:rsidR="004C547F" w:rsidRPr="004C547F">
          <w:rPr>
            <w:webHidden/>
          </w:rPr>
          <w:instrText xml:space="preserve"> PAGEREF _Toc370394666 \h </w:instrText>
        </w:r>
        <w:r w:rsidR="004C547F" w:rsidRPr="004C547F">
          <w:rPr>
            <w:webHidden/>
          </w:rPr>
        </w:r>
        <w:r w:rsidR="004C547F" w:rsidRPr="004C547F">
          <w:rPr>
            <w:webHidden/>
          </w:rPr>
          <w:fldChar w:fldCharType="separate"/>
        </w:r>
        <w:r w:rsidR="00660A8E">
          <w:rPr>
            <w:noProof/>
            <w:webHidden/>
          </w:rPr>
          <w:t>ix</w:t>
        </w:r>
        <w:r w:rsidR="004C547F" w:rsidRPr="004C547F">
          <w:rPr>
            <w:webHidden/>
          </w:rPr>
          <w:fldChar w:fldCharType="end"/>
        </w:r>
      </w:hyperlink>
    </w:p>
    <w:p w:rsidR="004C547F" w:rsidRPr="004C547F" w:rsidRDefault="009926D6">
      <w:pPr>
        <w:pStyle w:val="TableofFigures"/>
        <w:rPr>
          <w:rFonts w:eastAsiaTheme="minorEastAsia"/>
        </w:rPr>
      </w:pPr>
      <w:hyperlink w:anchor="_Toc370394667" w:history="1">
        <w:r w:rsidR="004C547F" w:rsidRPr="004C547F">
          <w:t>Figure ES 2</w:t>
        </w:r>
        <w:r w:rsidR="004C547F" w:rsidRPr="004C547F">
          <w:rPr>
            <w:rFonts w:eastAsiaTheme="minorEastAsia"/>
          </w:rPr>
          <w:tab/>
        </w:r>
        <w:r w:rsidR="004C547F" w:rsidRPr="004C547F">
          <w:t>Generation by fuel type –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_Toc370394667 \h </w:instrText>
        </w:r>
        <w:r w:rsidR="004C547F" w:rsidRPr="004C547F">
          <w:rPr>
            <w:webHidden/>
          </w:rPr>
        </w:r>
        <w:r w:rsidR="004C547F" w:rsidRPr="004C547F">
          <w:rPr>
            <w:webHidden/>
          </w:rPr>
          <w:fldChar w:fldCharType="separate"/>
        </w:r>
        <w:r w:rsidR="00660A8E">
          <w:rPr>
            <w:noProof/>
            <w:webHidden/>
          </w:rPr>
          <w:t>x</w:t>
        </w:r>
        <w:r w:rsidR="004C547F" w:rsidRPr="004C547F">
          <w:rPr>
            <w:webHidden/>
          </w:rPr>
          <w:fldChar w:fldCharType="end"/>
        </w:r>
      </w:hyperlink>
    </w:p>
    <w:p w:rsidR="004C547F" w:rsidRPr="004C547F" w:rsidRDefault="009926D6">
      <w:pPr>
        <w:pStyle w:val="TableofFigures"/>
        <w:rPr>
          <w:rFonts w:eastAsiaTheme="minorEastAsia"/>
        </w:rPr>
      </w:pPr>
      <w:hyperlink w:anchor="_Toc370394668" w:history="1">
        <w:r w:rsidR="004C547F" w:rsidRPr="004C547F">
          <w:t>Figure ES 3</w:t>
        </w:r>
        <w:r w:rsidR="004C547F" w:rsidRPr="004C547F">
          <w:rPr>
            <w:rFonts w:eastAsiaTheme="minorEastAsia"/>
          </w:rPr>
          <w:tab/>
        </w:r>
        <w:r w:rsidR="004C547F" w:rsidRPr="004C547F">
          <w:t>Generation by fuel type – No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_Toc370394668 \h </w:instrText>
        </w:r>
        <w:r w:rsidR="004C547F" w:rsidRPr="004C547F">
          <w:rPr>
            <w:webHidden/>
          </w:rPr>
        </w:r>
        <w:r w:rsidR="004C547F" w:rsidRPr="004C547F">
          <w:rPr>
            <w:webHidden/>
          </w:rPr>
          <w:fldChar w:fldCharType="separate"/>
        </w:r>
        <w:r w:rsidR="00660A8E">
          <w:rPr>
            <w:noProof/>
            <w:webHidden/>
          </w:rPr>
          <w:t>x</w:t>
        </w:r>
        <w:r w:rsidR="004C547F" w:rsidRPr="004C547F">
          <w:rPr>
            <w:webHidden/>
          </w:rPr>
          <w:fldChar w:fldCharType="end"/>
        </w:r>
      </w:hyperlink>
    </w:p>
    <w:p w:rsidR="004C547F" w:rsidRPr="004C547F" w:rsidRDefault="009926D6">
      <w:pPr>
        <w:pStyle w:val="TableofFigures"/>
        <w:rPr>
          <w:rFonts w:eastAsiaTheme="minorEastAsia"/>
        </w:rPr>
      </w:pPr>
      <w:hyperlink w:anchor="_Toc370394669" w:history="1">
        <w:r w:rsidR="004C547F" w:rsidRPr="004C547F">
          <w:t>Figure ES 4</w:t>
        </w:r>
        <w:r w:rsidR="004C547F" w:rsidRPr="004C547F">
          <w:rPr>
            <w:rFonts w:eastAsiaTheme="minorEastAsia"/>
          </w:rPr>
          <w:tab/>
        </w:r>
        <w:r w:rsidR="004C547F" w:rsidRPr="004C547F">
          <w:t>Aggregate emissions – carbon price scenarios</w:t>
        </w:r>
        <w:r w:rsidR="004C547F" w:rsidRPr="004C547F">
          <w:rPr>
            <w:webHidden/>
          </w:rPr>
          <w:tab/>
        </w:r>
        <w:r w:rsidR="004C547F" w:rsidRPr="004C547F">
          <w:rPr>
            <w:webHidden/>
          </w:rPr>
          <w:fldChar w:fldCharType="begin"/>
        </w:r>
        <w:r w:rsidR="004C547F" w:rsidRPr="004C547F">
          <w:rPr>
            <w:webHidden/>
          </w:rPr>
          <w:instrText xml:space="preserve"> PAGEREF _Toc370394669 \h </w:instrText>
        </w:r>
        <w:r w:rsidR="004C547F" w:rsidRPr="004C547F">
          <w:rPr>
            <w:webHidden/>
          </w:rPr>
        </w:r>
        <w:r w:rsidR="004C547F" w:rsidRPr="004C547F">
          <w:rPr>
            <w:webHidden/>
          </w:rPr>
          <w:fldChar w:fldCharType="separate"/>
        </w:r>
        <w:r w:rsidR="00660A8E">
          <w:rPr>
            <w:noProof/>
            <w:webHidden/>
          </w:rPr>
          <w:t>xi</w:t>
        </w:r>
        <w:r w:rsidR="004C547F" w:rsidRPr="004C547F">
          <w:rPr>
            <w:webHidden/>
          </w:rPr>
          <w:fldChar w:fldCharType="end"/>
        </w:r>
      </w:hyperlink>
    </w:p>
    <w:p w:rsidR="004C547F" w:rsidRPr="004C547F" w:rsidRDefault="009926D6">
      <w:pPr>
        <w:pStyle w:val="TableofFigures"/>
        <w:rPr>
          <w:rFonts w:eastAsiaTheme="minorEastAsia"/>
        </w:rPr>
      </w:pPr>
      <w:hyperlink w:anchor="_Toc370394670" w:history="1">
        <w:r w:rsidR="004C547F" w:rsidRPr="004C547F">
          <w:t>Figure ES 5</w:t>
        </w:r>
        <w:r w:rsidR="004C547F" w:rsidRPr="004C547F">
          <w:rPr>
            <w:rFonts w:eastAsiaTheme="minorEastAsia"/>
          </w:rPr>
          <w:tab/>
        </w:r>
        <w:r w:rsidR="004C547F" w:rsidRPr="004C547F">
          <w:t>Change in emissions from Central Policy scenario – all sensitivities</w:t>
        </w:r>
        <w:r w:rsidR="004C547F" w:rsidRPr="004C547F">
          <w:rPr>
            <w:webHidden/>
          </w:rPr>
          <w:tab/>
        </w:r>
        <w:r w:rsidR="004C547F" w:rsidRPr="004C547F">
          <w:rPr>
            <w:webHidden/>
          </w:rPr>
          <w:fldChar w:fldCharType="begin"/>
        </w:r>
        <w:r w:rsidR="004C547F" w:rsidRPr="004C547F">
          <w:rPr>
            <w:webHidden/>
          </w:rPr>
          <w:instrText xml:space="preserve"> PAGEREF _Toc370394670 \h </w:instrText>
        </w:r>
        <w:r w:rsidR="004C547F" w:rsidRPr="004C547F">
          <w:rPr>
            <w:webHidden/>
          </w:rPr>
        </w:r>
        <w:r w:rsidR="004C547F" w:rsidRPr="004C547F">
          <w:rPr>
            <w:webHidden/>
          </w:rPr>
          <w:fldChar w:fldCharType="separate"/>
        </w:r>
        <w:r w:rsidR="00660A8E">
          <w:rPr>
            <w:noProof/>
            <w:webHidden/>
          </w:rPr>
          <w:t>xii</w:t>
        </w:r>
        <w:r w:rsidR="004C547F" w:rsidRPr="004C547F">
          <w:rPr>
            <w:webHidden/>
          </w:rPr>
          <w:fldChar w:fldCharType="end"/>
        </w:r>
      </w:hyperlink>
    </w:p>
    <w:p w:rsidR="0081772A" w:rsidRPr="004C547F" w:rsidRDefault="0081772A" w:rsidP="003739E4">
      <w:pPr>
        <w:pStyle w:val="TableofFigures"/>
      </w:pPr>
      <w:r w:rsidRPr="004C547F">
        <w:fldChar w:fldCharType="end"/>
      </w:r>
    </w:p>
    <w:p w:rsidR="004C547F" w:rsidRPr="004C547F" w:rsidRDefault="0081772A">
      <w:pPr>
        <w:pStyle w:val="TableofFigures"/>
        <w:rPr>
          <w:rFonts w:eastAsiaTheme="minorEastAsia"/>
        </w:rPr>
      </w:pPr>
      <w:r w:rsidRPr="004C547F">
        <w:fldChar w:fldCharType="begin"/>
      </w:r>
      <w:r w:rsidRPr="004C547F">
        <w:instrText xml:space="preserve"> TOC \h \z \c "Figure" \*FirstCap </w:instrText>
      </w:r>
      <w:r w:rsidRPr="004C547F">
        <w:fldChar w:fldCharType="separate"/>
      </w:r>
      <w:hyperlink w:anchor="_Toc370394671" w:history="1">
        <w:r w:rsidR="004C547F" w:rsidRPr="004C547F">
          <w:t>Figure 1</w:t>
        </w:r>
        <w:r w:rsidR="004C547F" w:rsidRPr="004C547F">
          <w:rPr>
            <w:rFonts w:eastAsiaTheme="minorEastAsia"/>
          </w:rPr>
          <w:tab/>
        </w:r>
        <w:r w:rsidR="004C547F" w:rsidRPr="004C547F">
          <w:t>Aggregate demand</w:t>
        </w:r>
        <w:r w:rsidR="004C547F" w:rsidRPr="004C547F">
          <w:rPr>
            <w:webHidden/>
          </w:rPr>
          <w:tab/>
        </w:r>
        <w:r w:rsidR="004C547F" w:rsidRPr="004C547F">
          <w:rPr>
            <w:webHidden/>
          </w:rPr>
          <w:fldChar w:fldCharType="begin"/>
        </w:r>
        <w:r w:rsidR="004C547F" w:rsidRPr="004C547F">
          <w:rPr>
            <w:webHidden/>
          </w:rPr>
          <w:instrText xml:space="preserve"> PAGEREF _Toc370394671 \h </w:instrText>
        </w:r>
        <w:r w:rsidR="004C547F" w:rsidRPr="004C547F">
          <w:rPr>
            <w:webHidden/>
          </w:rPr>
        </w:r>
        <w:r w:rsidR="004C547F" w:rsidRPr="004C547F">
          <w:rPr>
            <w:webHidden/>
          </w:rPr>
          <w:fldChar w:fldCharType="separate"/>
        </w:r>
        <w:r w:rsidR="00660A8E">
          <w:rPr>
            <w:noProof/>
            <w:webHidden/>
          </w:rPr>
          <w:t>6</w:t>
        </w:r>
        <w:r w:rsidR="004C547F" w:rsidRPr="004C547F">
          <w:rPr>
            <w:webHidden/>
          </w:rPr>
          <w:fldChar w:fldCharType="end"/>
        </w:r>
      </w:hyperlink>
    </w:p>
    <w:p w:rsidR="004C547F" w:rsidRPr="004C547F" w:rsidRDefault="009926D6">
      <w:pPr>
        <w:pStyle w:val="TableofFigures"/>
        <w:rPr>
          <w:rFonts w:eastAsiaTheme="minorEastAsia"/>
        </w:rPr>
      </w:pPr>
      <w:hyperlink w:anchor="_Toc370394672" w:history="1">
        <w:r w:rsidR="004C547F" w:rsidRPr="004C547F">
          <w:t>Figure 2</w:t>
        </w:r>
        <w:r w:rsidR="004C547F" w:rsidRPr="004C547F">
          <w:rPr>
            <w:rFonts w:eastAsiaTheme="minorEastAsia"/>
          </w:rPr>
          <w:tab/>
        </w:r>
        <w:r w:rsidR="004C547F" w:rsidRPr="004C547F">
          <w:t>Carbon price assumptions</w:t>
        </w:r>
        <w:r w:rsidR="004C547F" w:rsidRPr="004C547F">
          <w:rPr>
            <w:webHidden/>
          </w:rPr>
          <w:tab/>
        </w:r>
        <w:r w:rsidR="004C547F" w:rsidRPr="004C547F">
          <w:rPr>
            <w:webHidden/>
          </w:rPr>
          <w:fldChar w:fldCharType="begin"/>
        </w:r>
        <w:r w:rsidR="004C547F" w:rsidRPr="004C547F">
          <w:rPr>
            <w:webHidden/>
          </w:rPr>
          <w:instrText xml:space="preserve"> PAGEREF _Toc370394672 \h </w:instrText>
        </w:r>
        <w:r w:rsidR="004C547F" w:rsidRPr="004C547F">
          <w:rPr>
            <w:webHidden/>
          </w:rPr>
        </w:r>
        <w:r w:rsidR="004C547F" w:rsidRPr="004C547F">
          <w:rPr>
            <w:webHidden/>
          </w:rPr>
          <w:fldChar w:fldCharType="separate"/>
        </w:r>
        <w:r w:rsidR="00660A8E">
          <w:rPr>
            <w:noProof/>
            <w:webHidden/>
          </w:rPr>
          <w:t>8</w:t>
        </w:r>
        <w:r w:rsidR="004C547F" w:rsidRPr="004C547F">
          <w:rPr>
            <w:webHidden/>
          </w:rPr>
          <w:fldChar w:fldCharType="end"/>
        </w:r>
      </w:hyperlink>
    </w:p>
    <w:p w:rsidR="004C547F" w:rsidRPr="004C547F" w:rsidRDefault="009926D6">
      <w:pPr>
        <w:pStyle w:val="TableofFigures"/>
        <w:rPr>
          <w:rFonts w:eastAsiaTheme="minorEastAsia"/>
        </w:rPr>
      </w:pPr>
      <w:hyperlink w:anchor="_Toc370394673" w:history="1">
        <w:r w:rsidR="004C547F" w:rsidRPr="004C547F">
          <w:t>Figure 3</w:t>
        </w:r>
        <w:r w:rsidR="004C547F" w:rsidRPr="004C547F">
          <w:rPr>
            <w:rFonts w:eastAsiaTheme="minorEastAsia"/>
          </w:rPr>
          <w:tab/>
        </w:r>
        <w:r w:rsidR="004C547F" w:rsidRPr="004C547F">
          <w:t>Base capital cost comparison with AETA 2012</w:t>
        </w:r>
        <w:r w:rsidR="004C547F" w:rsidRPr="004C547F">
          <w:rPr>
            <w:webHidden/>
          </w:rPr>
          <w:tab/>
        </w:r>
        <w:r w:rsidR="004C547F" w:rsidRPr="004C547F">
          <w:rPr>
            <w:webHidden/>
          </w:rPr>
          <w:fldChar w:fldCharType="begin"/>
        </w:r>
        <w:r w:rsidR="004C547F" w:rsidRPr="004C547F">
          <w:rPr>
            <w:webHidden/>
          </w:rPr>
          <w:instrText xml:space="preserve"> PAGEREF _Toc370394673 \h </w:instrText>
        </w:r>
        <w:r w:rsidR="004C547F" w:rsidRPr="004C547F">
          <w:rPr>
            <w:webHidden/>
          </w:rPr>
        </w:r>
        <w:r w:rsidR="004C547F" w:rsidRPr="004C547F">
          <w:rPr>
            <w:webHidden/>
          </w:rPr>
          <w:fldChar w:fldCharType="separate"/>
        </w:r>
        <w:r w:rsidR="00660A8E">
          <w:rPr>
            <w:noProof/>
            <w:webHidden/>
          </w:rPr>
          <w:t>17</w:t>
        </w:r>
        <w:r w:rsidR="004C547F" w:rsidRPr="004C547F">
          <w:rPr>
            <w:webHidden/>
          </w:rPr>
          <w:fldChar w:fldCharType="end"/>
        </w:r>
      </w:hyperlink>
    </w:p>
    <w:p w:rsidR="004C547F" w:rsidRPr="004C547F" w:rsidRDefault="009926D6">
      <w:pPr>
        <w:pStyle w:val="TableofFigures"/>
        <w:rPr>
          <w:rFonts w:eastAsiaTheme="minorEastAsia"/>
        </w:rPr>
      </w:pPr>
      <w:hyperlink w:anchor="_Toc370394674" w:history="1">
        <w:r w:rsidR="004C547F" w:rsidRPr="004C547F">
          <w:t>Figure 4</w:t>
        </w:r>
        <w:r w:rsidR="004C547F" w:rsidRPr="004C547F">
          <w:rPr>
            <w:rFonts w:eastAsiaTheme="minorEastAsia"/>
          </w:rPr>
          <w:tab/>
        </w:r>
        <w:r w:rsidR="004C547F" w:rsidRPr="004C547F">
          <w:t>Final capital costs for new entrant technologies for selected years –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_Toc370394674 \h </w:instrText>
        </w:r>
        <w:r w:rsidR="004C547F" w:rsidRPr="004C547F">
          <w:rPr>
            <w:webHidden/>
          </w:rPr>
        </w:r>
        <w:r w:rsidR="004C547F" w:rsidRPr="004C547F">
          <w:rPr>
            <w:webHidden/>
          </w:rPr>
          <w:fldChar w:fldCharType="separate"/>
        </w:r>
        <w:r w:rsidR="00660A8E">
          <w:rPr>
            <w:noProof/>
            <w:webHidden/>
          </w:rPr>
          <w:t>23</w:t>
        </w:r>
        <w:r w:rsidR="004C547F" w:rsidRPr="004C547F">
          <w:rPr>
            <w:webHidden/>
          </w:rPr>
          <w:fldChar w:fldCharType="end"/>
        </w:r>
      </w:hyperlink>
    </w:p>
    <w:p w:rsidR="004C547F" w:rsidRPr="004C547F" w:rsidRDefault="009926D6">
      <w:pPr>
        <w:pStyle w:val="TableofFigures"/>
        <w:rPr>
          <w:rFonts w:eastAsiaTheme="minorEastAsia"/>
        </w:rPr>
      </w:pPr>
      <w:hyperlink w:anchor="_Toc370394675" w:history="1">
        <w:r w:rsidR="004C547F" w:rsidRPr="004C547F">
          <w:t>Figure 5</w:t>
        </w:r>
        <w:r w:rsidR="004C547F" w:rsidRPr="004C547F">
          <w:rPr>
            <w:rFonts w:eastAsiaTheme="minorEastAsia"/>
          </w:rPr>
          <w:tab/>
        </w:r>
        <w:r w:rsidR="004C547F" w:rsidRPr="004C547F">
          <w:t>International and netback gas price –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_Toc370394675 \h </w:instrText>
        </w:r>
        <w:r w:rsidR="004C547F" w:rsidRPr="004C547F">
          <w:rPr>
            <w:webHidden/>
          </w:rPr>
        </w:r>
        <w:r w:rsidR="004C547F" w:rsidRPr="004C547F">
          <w:rPr>
            <w:webHidden/>
          </w:rPr>
          <w:fldChar w:fldCharType="separate"/>
        </w:r>
        <w:r w:rsidR="00660A8E">
          <w:rPr>
            <w:noProof/>
            <w:webHidden/>
          </w:rPr>
          <w:t>27</w:t>
        </w:r>
        <w:r w:rsidR="004C547F" w:rsidRPr="004C547F">
          <w:rPr>
            <w:webHidden/>
          </w:rPr>
          <w:fldChar w:fldCharType="end"/>
        </w:r>
      </w:hyperlink>
    </w:p>
    <w:p w:rsidR="004C547F" w:rsidRPr="004C547F" w:rsidRDefault="009926D6">
      <w:pPr>
        <w:pStyle w:val="TableofFigures"/>
        <w:rPr>
          <w:rFonts w:eastAsiaTheme="minorEastAsia"/>
        </w:rPr>
      </w:pPr>
      <w:hyperlink w:anchor="_Toc370394676" w:history="1">
        <w:r w:rsidR="004C547F" w:rsidRPr="004C547F">
          <w:t>Figure 6</w:t>
        </w:r>
        <w:r w:rsidR="004C547F" w:rsidRPr="004C547F">
          <w:rPr>
            <w:rFonts w:eastAsiaTheme="minorEastAsia"/>
          </w:rPr>
          <w:tab/>
        </w:r>
        <w:r w:rsidR="004C547F" w:rsidRPr="004C547F">
          <w:t>New entrant coal prices</w:t>
        </w:r>
        <w:r w:rsidR="004C547F" w:rsidRPr="004C547F">
          <w:rPr>
            <w:webHidden/>
          </w:rPr>
          <w:tab/>
        </w:r>
        <w:r w:rsidR="004C547F" w:rsidRPr="004C547F">
          <w:rPr>
            <w:webHidden/>
          </w:rPr>
          <w:fldChar w:fldCharType="begin"/>
        </w:r>
        <w:r w:rsidR="004C547F" w:rsidRPr="004C547F">
          <w:rPr>
            <w:webHidden/>
          </w:rPr>
          <w:instrText xml:space="preserve"> PAGEREF _Toc370394676 \h </w:instrText>
        </w:r>
        <w:r w:rsidR="004C547F" w:rsidRPr="004C547F">
          <w:rPr>
            <w:webHidden/>
          </w:rPr>
        </w:r>
        <w:r w:rsidR="004C547F" w:rsidRPr="004C547F">
          <w:rPr>
            <w:webHidden/>
          </w:rPr>
          <w:fldChar w:fldCharType="separate"/>
        </w:r>
        <w:r w:rsidR="00660A8E">
          <w:rPr>
            <w:noProof/>
            <w:webHidden/>
          </w:rPr>
          <w:t>28</w:t>
        </w:r>
        <w:r w:rsidR="004C547F" w:rsidRPr="004C547F">
          <w:rPr>
            <w:webHidden/>
          </w:rPr>
          <w:fldChar w:fldCharType="end"/>
        </w:r>
      </w:hyperlink>
    </w:p>
    <w:p w:rsidR="004C547F" w:rsidRPr="004C547F" w:rsidRDefault="009926D6">
      <w:pPr>
        <w:pStyle w:val="TableofFigures"/>
        <w:rPr>
          <w:rFonts w:eastAsiaTheme="minorEastAsia"/>
        </w:rPr>
      </w:pPr>
      <w:hyperlink w:anchor="_Toc370394677" w:history="1">
        <w:r w:rsidR="004C547F" w:rsidRPr="004C547F">
          <w:t>Figure 7</w:t>
        </w:r>
        <w:r w:rsidR="004C547F" w:rsidRPr="004C547F">
          <w:rPr>
            <w:rFonts w:eastAsiaTheme="minorEastAsia"/>
          </w:rPr>
          <w:tab/>
        </w:r>
        <w:r w:rsidR="004C547F" w:rsidRPr="004C547F">
          <w:t>Small-scale solar generation output assumptions</w:t>
        </w:r>
        <w:r w:rsidR="004C547F" w:rsidRPr="004C547F">
          <w:rPr>
            <w:webHidden/>
          </w:rPr>
          <w:tab/>
        </w:r>
        <w:r w:rsidR="004C547F" w:rsidRPr="004C547F">
          <w:rPr>
            <w:webHidden/>
          </w:rPr>
          <w:fldChar w:fldCharType="begin"/>
        </w:r>
        <w:r w:rsidR="004C547F" w:rsidRPr="004C547F">
          <w:rPr>
            <w:webHidden/>
          </w:rPr>
          <w:instrText xml:space="preserve"> PAGEREF _Toc370394677 \h </w:instrText>
        </w:r>
        <w:r w:rsidR="004C547F" w:rsidRPr="004C547F">
          <w:rPr>
            <w:webHidden/>
          </w:rPr>
        </w:r>
        <w:r w:rsidR="004C547F" w:rsidRPr="004C547F">
          <w:rPr>
            <w:webHidden/>
          </w:rPr>
          <w:fldChar w:fldCharType="separate"/>
        </w:r>
        <w:r w:rsidR="00660A8E">
          <w:rPr>
            <w:noProof/>
            <w:webHidden/>
          </w:rPr>
          <w:t>32</w:t>
        </w:r>
        <w:r w:rsidR="004C547F" w:rsidRPr="004C547F">
          <w:rPr>
            <w:webHidden/>
          </w:rPr>
          <w:fldChar w:fldCharType="end"/>
        </w:r>
      </w:hyperlink>
    </w:p>
    <w:p w:rsidR="004C547F" w:rsidRPr="004C547F" w:rsidRDefault="009926D6">
      <w:pPr>
        <w:pStyle w:val="TableofFigures"/>
        <w:rPr>
          <w:rFonts w:eastAsiaTheme="minorEastAsia"/>
        </w:rPr>
      </w:pPr>
      <w:hyperlink w:anchor="_Toc370394678" w:history="1">
        <w:r w:rsidR="004C547F" w:rsidRPr="004C547F">
          <w:t>Figure 8</w:t>
        </w:r>
        <w:r w:rsidR="004C547F" w:rsidRPr="004C547F">
          <w:rPr>
            <w:rFonts w:eastAsiaTheme="minorEastAsia"/>
          </w:rPr>
          <w:tab/>
        </w:r>
        <w:r w:rsidR="004C547F" w:rsidRPr="004C547F">
          <w:t>Aggregate demand</w:t>
        </w:r>
        <w:r w:rsidR="004C547F" w:rsidRPr="004C547F">
          <w:rPr>
            <w:webHidden/>
          </w:rPr>
          <w:tab/>
        </w:r>
        <w:r w:rsidR="004C547F" w:rsidRPr="004C547F">
          <w:rPr>
            <w:webHidden/>
          </w:rPr>
          <w:fldChar w:fldCharType="begin"/>
        </w:r>
        <w:r w:rsidR="004C547F" w:rsidRPr="004C547F">
          <w:rPr>
            <w:webHidden/>
          </w:rPr>
          <w:instrText xml:space="preserve"> PAGEREF _Toc370394678 \h </w:instrText>
        </w:r>
        <w:r w:rsidR="004C547F" w:rsidRPr="004C547F">
          <w:rPr>
            <w:webHidden/>
          </w:rPr>
        </w:r>
        <w:r w:rsidR="004C547F" w:rsidRPr="004C547F">
          <w:rPr>
            <w:webHidden/>
          </w:rPr>
          <w:fldChar w:fldCharType="separate"/>
        </w:r>
        <w:r w:rsidR="00660A8E">
          <w:rPr>
            <w:noProof/>
            <w:webHidden/>
          </w:rPr>
          <w:t>33</w:t>
        </w:r>
        <w:r w:rsidR="004C547F" w:rsidRPr="004C547F">
          <w:rPr>
            <w:webHidden/>
          </w:rPr>
          <w:fldChar w:fldCharType="end"/>
        </w:r>
      </w:hyperlink>
    </w:p>
    <w:p w:rsidR="004C547F" w:rsidRPr="004C547F" w:rsidRDefault="009926D6">
      <w:pPr>
        <w:pStyle w:val="TableofFigures"/>
        <w:rPr>
          <w:rFonts w:eastAsiaTheme="minorEastAsia"/>
        </w:rPr>
      </w:pPr>
      <w:hyperlink w:anchor="_Toc370394679" w:history="1">
        <w:r w:rsidR="004C547F" w:rsidRPr="004C547F">
          <w:t>Figure 9</w:t>
        </w:r>
        <w:r w:rsidR="004C547F" w:rsidRPr="004C547F">
          <w:rPr>
            <w:rFonts w:eastAsiaTheme="minorEastAsia"/>
          </w:rPr>
          <w:tab/>
        </w:r>
        <w:r w:rsidR="004C547F" w:rsidRPr="004C547F">
          <w:t>Demand by grid – No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_Toc370394679 \h </w:instrText>
        </w:r>
        <w:r w:rsidR="004C547F" w:rsidRPr="004C547F">
          <w:rPr>
            <w:webHidden/>
          </w:rPr>
        </w:r>
        <w:r w:rsidR="004C547F" w:rsidRPr="004C547F">
          <w:rPr>
            <w:webHidden/>
          </w:rPr>
          <w:fldChar w:fldCharType="separate"/>
        </w:r>
        <w:r w:rsidR="00660A8E">
          <w:rPr>
            <w:noProof/>
            <w:webHidden/>
          </w:rPr>
          <w:t>34</w:t>
        </w:r>
        <w:r w:rsidR="004C547F" w:rsidRPr="004C547F">
          <w:rPr>
            <w:webHidden/>
          </w:rPr>
          <w:fldChar w:fldCharType="end"/>
        </w:r>
      </w:hyperlink>
    </w:p>
    <w:p w:rsidR="004C547F" w:rsidRPr="004C547F" w:rsidRDefault="009926D6">
      <w:pPr>
        <w:pStyle w:val="TableofFigures"/>
        <w:rPr>
          <w:rFonts w:eastAsiaTheme="minorEastAsia"/>
        </w:rPr>
      </w:pPr>
      <w:hyperlink w:anchor="_Toc370394680" w:history="1">
        <w:r w:rsidR="004C547F" w:rsidRPr="004C547F">
          <w:t>Figure 10</w:t>
        </w:r>
        <w:r w:rsidR="004C547F" w:rsidRPr="004C547F">
          <w:rPr>
            <w:rFonts w:eastAsiaTheme="minorEastAsia"/>
          </w:rPr>
          <w:tab/>
        </w:r>
        <w:r w:rsidR="004C547F" w:rsidRPr="004C547F">
          <w:t>Demand by grid –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_Toc370394680 \h </w:instrText>
        </w:r>
        <w:r w:rsidR="004C547F" w:rsidRPr="004C547F">
          <w:rPr>
            <w:webHidden/>
          </w:rPr>
        </w:r>
        <w:r w:rsidR="004C547F" w:rsidRPr="004C547F">
          <w:rPr>
            <w:webHidden/>
          </w:rPr>
          <w:fldChar w:fldCharType="separate"/>
        </w:r>
        <w:r w:rsidR="00660A8E">
          <w:rPr>
            <w:noProof/>
            <w:webHidden/>
          </w:rPr>
          <w:t>34</w:t>
        </w:r>
        <w:r w:rsidR="004C547F" w:rsidRPr="004C547F">
          <w:rPr>
            <w:webHidden/>
          </w:rPr>
          <w:fldChar w:fldCharType="end"/>
        </w:r>
      </w:hyperlink>
    </w:p>
    <w:p w:rsidR="004C547F" w:rsidRPr="004C547F" w:rsidRDefault="009926D6">
      <w:pPr>
        <w:pStyle w:val="TableofFigures"/>
        <w:rPr>
          <w:rFonts w:eastAsiaTheme="minorEastAsia"/>
        </w:rPr>
      </w:pPr>
      <w:hyperlink w:anchor="_Toc370394681" w:history="1">
        <w:r w:rsidR="004C547F" w:rsidRPr="004C547F">
          <w:t>Figure 11</w:t>
        </w:r>
        <w:r w:rsidR="004C547F" w:rsidRPr="004C547F">
          <w:rPr>
            <w:rFonts w:eastAsiaTheme="minorEastAsia"/>
          </w:rPr>
          <w:tab/>
        </w:r>
        <w:r w:rsidR="004C547F" w:rsidRPr="004C547F">
          <w:t>Aggregate emissions – No Carbon Price and Central Policy scenarios</w:t>
        </w:r>
        <w:r w:rsidR="004C547F" w:rsidRPr="004C547F">
          <w:rPr>
            <w:webHidden/>
          </w:rPr>
          <w:tab/>
        </w:r>
        <w:r w:rsidR="004C547F" w:rsidRPr="004C547F">
          <w:rPr>
            <w:webHidden/>
          </w:rPr>
          <w:fldChar w:fldCharType="begin"/>
        </w:r>
        <w:r w:rsidR="004C547F" w:rsidRPr="004C547F">
          <w:rPr>
            <w:webHidden/>
          </w:rPr>
          <w:instrText xml:space="preserve"> PAGEREF _Toc370394681 \h </w:instrText>
        </w:r>
        <w:r w:rsidR="004C547F" w:rsidRPr="004C547F">
          <w:rPr>
            <w:webHidden/>
          </w:rPr>
        </w:r>
        <w:r w:rsidR="004C547F" w:rsidRPr="004C547F">
          <w:rPr>
            <w:webHidden/>
          </w:rPr>
          <w:fldChar w:fldCharType="separate"/>
        </w:r>
        <w:r w:rsidR="00660A8E">
          <w:rPr>
            <w:noProof/>
            <w:webHidden/>
          </w:rPr>
          <w:t>35</w:t>
        </w:r>
        <w:r w:rsidR="004C547F" w:rsidRPr="004C547F">
          <w:rPr>
            <w:webHidden/>
          </w:rPr>
          <w:fldChar w:fldCharType="end"/>
        </w:r>
      </w:hyperlink>
    </w:p>
    <w:p w:rsidR="004C547F" w:rsidRPr="004C547F" w:rsidRDefault="009926D6">
      <w:pPr>
        <w:pStyle w:val="TableofFigures"/>
        <w:rPr>
          <w:rFonts w:eastAsiaTheme="minorEastAsia"/>
        </w:rPr>
      </w:pPr>
      <w:hyperlink w:anchor="_Toc370394682" w:history="1">
        <w:r w:rsidR="004C547F" w:rsidRPr="004C547F">
          <w:t>Figure 12</w:t>
        </w:r>
        <w:r w:rsidR="004C547F" w:rsidRPr="004C547F">
          <w:rPr>
            <w:rFonts w:eastAsiaTheme="minorEastAsia"/>
          </w:rPr>
          <w:tab/>
        </w:r>
        <w:r w:rsidR="004C547F" w:rsidRPr="004C547F">
          <w:t>Generation by fuel type – No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_Toc370394682 \h </w:instrText>
        </w:r>
        <w:r w:rsidR="004C547F" w:rsidRPr="004C547F">
          <w:rPr>
            <w:webHidden/>
          </w:rPr>
        </w:r>
        <w:r w:rsidR="004C547F" w:rsidRPr="004C547F">
          <w:rPr>
            <w:webHidden/>
          </w:rPr>
          <w:fldChar w:fldCharType="separate"/>
        </w:r>
        <w:r w:rsidR="00660A8E">
          <w:rPr>
            <w:noProof/>
            <w:webHidden/>
          </w:rPr>
          <w:t>36</w:t>
        </w:r>
        <w:r w:rsidR="004C547F" w:rsidRPr="004C547F">
          <w:rPr>
            <w:webHidden/>
          </w:rPr>
          <w:fldChar w:fldCharType="end"/>
        </w:r>
      </w:hyperlink>
    </w:p>
    <w:p w:rsidR="004C547F" w:rsidRPr="004C547F" w:rsidRDefault="009926D6">
      <w:pPr>
        <w:pStyle w:val="TableofFigures"/>
        <w:rPr>
          <w:rFonts w:eastAsiaTheme="minorEastAsia"/>
        </w:rPr>
      </w:pPr>
      <w:hyperlink w:anchor="_Toc370394683" w:history="1">
        <w:r w:rsidR="004C547F" w:rsidRPr="004C547F">
          <w:t>Figure 13</w:t>
        </w:r>
        <w:r w:rsidR="004C547F" w:rsidRPr="004C547F">
          <w:rPr>
            <w:rFonts w:eastAsiaTheme="minorEastAsia"/>
          </w:rPr>
          <w:tab/>
        </w:r>
        <w:r w:rsidR="004C547F" w:rsidRPr="004C547F">
          <w:t>Emissions by fuel type – No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_Toc370394683 \h </w:instrText>
        </w:r>
        <w:r w:rsidR="004C547F" w:rsidRPr="004C547F">
          <w:rPr>
            <w:webHidden/>
          </w:rPr>
        </w:r>
        <w:r w:rsidR="004C547F" w:rsidRPr="004C547F">
          <w:rPr>
            <w:webHidden/>
          </w:rPr>
          <w:fldChar w:fldCharType="separate"/>
        </w:r>
        <w:r w:rsidR="00660A8E">
          <w:rPr>
            <w:noProof/>
            <w:webHidden/>
          </w:rPr>
          <w:t>36</w:t>
        </w:r>
        <w:r w:rsidR="004C547F" w:rsidRPr="004C547F">
          <w:rPr>
            <w:webHidden/>
          </w:rPr>
          <w:fldChar w:fldCharType="end"/>
        </w:r>
      </w:hyperlink>
    </w:p>
    <w:p w:rsidR="004C547F" w:rsidRPr="004C547F" w:rsidRDefault="009926D6">
      <w:pPr>
        <w:pStyle w:val="TableofFigures"/>
        <w:rPr>
          <w:rFonts w:eastAsiaTheme="minorEastAsia"/>
        </w:rPr>
      </w:pPr>
      <w:hyperlink w:anchor="_Toc370394684" w:history="1">
        <w:r w:rsidR="004C547F" w:rsidRPr="004C547F">
          <w:t>Figure 14</w:t>
        </w:r>
        <w:r w:rsidR="004C547F" w:rsidRPr="004C547F">
          <w:rPr>
            <w:rFonts w:eastAsiaTheme="minorEastAsia"/>
          </w:rPr>
          <w:tab/>
        </w:r>
        <w:r w:rsidR="004C547F" w:rsidRPr="004C547F">
          <w:t>Emissions by grid – No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_Toc370394684 \h </w:instrText>
        </w:r>
        <w:r w:rsidR="004C547F" w:rsidRPr="004C547F">
          <w:rPr>
            <w:webHidden/>
          </w:rPr>
        </w:r>
        <w:r w:rsidR="004C547F" w:rsidRPr="004C547F">
          <w:rPr>
            <w:webHidden/>
          </w:rPr>
          <w:fldChar w:fldCharType="separate"/>
        </w:r>
        <w:r w:rsidR="00660A8E">
          <w:rPr>
            <w:noProof/>
            <w:webHidden/>
          </w:rPr>
          <w:t>37</w:t>
        </w:r>
        <w:r w:rsidR="004C547F" w:rsidRPr="004C547F">
          <w:rPr>
            <w:webHidden/>
          </w:rPr>
          <w:fldChar w:fldCharType="end"/>
        </w:r>
      </w:hyperlink>
    </w:p>
    <w:p w:rsidR="004C547F" w:rsidRPr="004C547F" w:rsidRDefault="009926D6">
      <w:pPr>
        <w:pStyle w:val="TableofFigures"/>
        <w:rPr>
          <w:rFonts w:eastAsiaTheme="minorEastAsia"/>
        </w:rPr>
      </w:pPr>
      <w:hyperlink w:anchor="_Toc370394685" w:history="1">
        <w:r w:rsidR="004C547F" w:rsidRPr="004C547F">
          <w:t>Figure 15</w:t>
        </w:r>
        <w:r w:rsidR="004C547F" w:rsidRPr="004C547F">
          <w:rPr>
            <w:rFonts w:eastAsiaTheme="minorEastAsia"/>
          </w:rPr>
          <w:tab/>
        </w:r>
        <w:r w:rsidR="004C547F" w:rsidRPr="004C547F">
          <w:t>Generation by fuel type –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_Toc370394685 \h </w:instrText>
        </w:r>
        <w:r w:rsidR="004C547F" w:rsidRPr="004C547F">
          <w:rPr>
            <w:webHidden/>
          </w:rPr>
        </w:r>
        <w:r w:rsidR="004C547F" w:rsidRPr="004C547F">
          <w:rPr>
            <w:webHidden/>
          </w:rPr>
          <w:fldChar w:fldCharType="separate"/>
        </w:r>
        <w:r w:rsidR="00660A8E">
          <w:rPr>
            <w:noProof/>
            <w:webHidden/>
          </w:rPr>
          <w:t>38</w:t>
        </w:r>
        <w:r w:rsidR="004C547F" w:rsidRPr="004C547F">
          <w:rPr>
            <w:webHidden/>
          </w:rPr>
          <w:fldChar w:fldCharType="end"/>
        </w:r>
      </w:hyperlink>
    </w:p>
    <w:p w:rsidR="004C547F" w:rsidRPr="004C547F" w:rsidRDefault="009926D6">
      <w:pPr>
        <w:pStyle w:val="TableofFigures"/>
        <w:rPr>
          <w:rFonts w:eastAsiaTheme="minorEastAsia"/>
        </w:rPr>
      </w:pPr>
      <w:hyperlink w:anchor="_Toc370394686" w:history="1">
        <w:r w:rsidR="004C547F" w:rsidRPr="004C547F">
          <w:t>Figure 16</w:t>
        </w:r>
        <w:r w:rsidR="004C547F" w:rsidRPr="004C547F">
          <w:rPr>
            <w:rFonts w:eastAsiaTheme="minorEastAsia"/>
          </w:rPr>
          <w:tab/>
        </w:r>
        <w:r w:rsidR="004C547F" w:rsidRPr="004C547F">
          <w:t>Emissions by fuel type –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_Toc370394686 \h </w:instrText>
        </w:r>
        <w:r w:rsidR="004C547F" w:rsidRPr="004C547F">
          <w:rPr>
            <w:webHidden/>
          </w:rPr>
        </w:r>
        <w:r w:rsidR="004C547F" w:rsidRPr="004C547F">
          <w:rPr>
            <w:webHidden/>
          </w:rPr>
          <w:fldChar w:fldCharType="separate"/>
        </w:r>
        <w:r w:rsidR="00660A8E">
          <w:rPr>
            <w:noProof/>
            <w:webHidden/>
          </w:rPr>
          <w:t>39</w:t>
        </w:r>
        <w:r w:rsidR="004C547F" w:rsidRPr="004C547F">
          <w:rPr>
            <w:webHidden/>
          </w:rPr>
          <w:fldChar w:fldCharType="end"/>
        </w:r>
      </w:hyperlink>
    </w:p>
    <w:p w:rsidR="004C547F" w:rsidRPr="004C547F" w:rsidRDefault="009926D6">
      <w:pPr>
        <w:pStyle w:val="TableofFigures"/>
        <w:rPr>
          <w:rFonts w:eastAsiaTheme="minorEastAsia"/>
        </w:rPr>
      </w:pPr>
      <w:hyperlink w:anchor="_Toc370394687" w:history="1">
        <w:r w:rsidR="004C547F" w:rsidRPr="004C547F">
          <w:t>Figure 17</w:t>
        </w:r>
        <w:r w:rsidR="004C547F" w:rsidRPr="004C547F">
          <w:rPr>
            <w:rFonts w:eastAsiaTheme="minorEastAsia"/>
          </w:rPr>
          <w:tab/>
        </w:r>
        <w:r w:rsidR="004C547F" w:rsidRPr="004C547F">
          <w:t>Emissions by grid –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_Toc370394687 \h </w:instrText>
        </w:r>
        <w:r w:rsidR="004C547F" w:rsidRPr="004C547F">
          <w:rPr>
            <w:webHidden/>
          </w:rPr>
        </w:r>
        <w:r w:rsidR="004C547F" w:rsidRPr="004C547F">
          <w:rPr>
            <w:webHidden/>
          </w:rPr>
          <w:fldChar w:fldCharType="separate"/>
        </w:r>
        <w:r w:rsidR="00660A8E">
          <w:rPr>
            <w:noProof/>
            <w:webHidden/>
          </w:rPr>
          <w:t>39</w:t>
        </w:r>
        <w:r w:rsidR="004C547F" w:rsidRPr="004C547F">
          <w:rPr>
            <w:webHidden/>
          </w:rPr>
          <w:fldChar w:fldCharType="end"/>
        </w:r>
      </w:hyperlink>
    </w:p>
    <w:p w:rsidR="004C547F" w:rsidRPr="004C547F" w:rsidRDefault="009926D6">
      <w:pPr>
        <w:pStyle w:val="TableofFigures"/>
        <w:rPr>
          <w:rFonts w:eastAsiaTheme="minorEastAsia"/>
        </w:rPr>
      </w:pPr>
      <w:hyperlink w:anchor="_Toc370394688" w:history="1">
        <w:r w:rsidR="004C547F" w:rsidRPr="004C547F">
          <w:t>Figure 18</w:t>
        </w:r>
        <w:r w:rsidR="004C547F" w:rsidRPr="004C547F">
          <w:rPr>
            <w:rFonts w:eastAsiaTheme="minorEastAsia"/>
          </w:rPr>
          <w:tab/>
        </w:r>
        <w:r w:rsidR="004C547F" w:rsidRPr="004C547F">
          <w:t>Emissions by state – No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_Toc370394688 \h </w:instrText>
        </w:r>
        <w:r w:rsidR="004C547F" w:rsidRPr="004C547F">
          <w:rPr>
            <w:webHidden/>
          </w:rPr>
        </w:r>
        <w:r w:rsidR="004C547F" w:rsidRPr="004C547F">
          <w:rPr>
            <w:webHidden/>
          </w:rPr>
          <w:fldChar w:fldCharType="separate"/>
        </w:r>
        <w:r w:rsidR="00660A8E">
          <w:rPr>
            <w:noProof/>
            <w:webHidden/>
          </w:rPr>
          <w:t>40</w:t>
        </w:r>
        <w:r w:rsidR="004C547F" w:rsidRPr="004C547F">
          <w:rPr>
            <w:webHidden/>
          </w:rPr>
          <w:fldChar w:fldCharType="end"/>
        </w:r>
      </w:hyperlink>
    </w:p>
    <w:p w:rsidR="004C547F" w:rsidRPr="004C547F" w:rsidRDefault="009926D6">
      <w:pPr>
        <w:pStyle w:val="TableofFigures"/>
        <w:rPr>
          <w:rFonts w:eastAsiaTheme="minorEastAsia"/>
        </w:rPr>
      </w:pPr>
      <w:hyperlink w:anchor="_Toc370394689" w:history="1">
        <w:r w:rsidR="004C547F" w:rsidRPr="004C547F">
          <w:t>Figure 19</w:t>
        </w:r>
        <w:r w:rsidR="004C547F" w:rsidRPr="004C547F">
          <w:rPr>
            <w:rFonts w:eastAsiaTheme="minorEastAsia"/>
          </w:rPr>
          <w:tab/>
        </w:r>
        <w:r w:rsidR="004C547F" w:rsidRPr="004C547F">
          <w:t>Emissions by state –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_Toc370394689 \h </w:instrText>
        </w:r>
        <w:r w:rsidR="004C547F" w:rsidRPr="004C547F">
          <w:rPr>
            <w:webHidden/>
          </w:rPr>
        </w:r>
        <w:r w:rsidR="004C547F" w:rsidRPr="004C547F">
          <w:rPr>
            <w:webHidden/>
          </w:rPr>
          <w:fldChar w:fldCharType="separate"/>
        </w:r>
        <w:r w:rsidR="00660A8E">
          <w:rPr>
            <w:noProof/>
            <w:webHidden/>
          </w:rPr>
          <w:t>40</w:t>
        </w:r>
        <w:r w:rsidR="004C547F" w:rsidRPr="004C547F">
          <w:rPr>
            <w:webHidden/>
          </w:rPr>
          <w:fldChar w:fldCharType="end"/>
        </w:r>
      </w:hyperlink>
    </w:p>
    <w:p w:rsidR="004C547F" w:rsidRPr="004C547F" w:rsidRDefault="009926D6">
      <w:pPr>
        <w:pStyle w:val="TableofFigures"/>
        <w:rPr>
          <w:rFonts w:eastAsiaTheme="minorEastAsia"/>
        </w:rPr>
      </w:pPr>
      <w:hyperlink w:anchor="_Toc370394690" w:history="1">
        <w:r w:rsidR="004C547F" w:rsidRPr="004C547F">
          <w:t>Figure 20</w:t>
        </w:r>
        <w:r w:rsidR="004C547F" w:rsidRPr="004C547F">
          <w:rPr>
            <w:rFonts w:eastAsiaTheme="minorEastAsia"/>
          </w:rPr>
          <w:tab/>
        </w:r>
        <w:r w:rsidR="004C547F" w:rsidRPr="004C547F">
          <w:t>Emissions intensity by state (sent out) – No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_Toc370394690 \h </w:instrText>
        </w:r>
        <w:r w:rsidR="004C547F" w:rsidRPr="004C547F">
          <w:rPr>
            <w:webHidden/>
          </w:rPr>
        </w:r>
        <w:r w:rsidR="004C547F" w:rsidRPr="004C547F">
          <w:rPr>
            <w:webHidden/>
          </w:rPr>
          <w:fldChar w:fldCharType="separate"/>
        </w:r>
        <w:r w:rsidR="00660A8E">
          <w:rPr>
            <w:noProof/>
            <w:webHidden/>
          </w:rPr>
          <w:t>41</w:t>
        </w:r>
        <w:r w:rsidR="004C547F" w:rsidRPr="004C547F">
          <w:rPr>
            <w:webHidden/>
          </w:rPr>
          <w:fldChar w:fldCharType="end"/>
        </w:r>
      </w:hyperlink>
    </w:p>
    <w:p w:rsidR="004C547F" w:rsidRPr="004C547F" w:rsidRDefault="009926D6">
      <w:pPr>
        <w:pStyle w:val="TableofFigures"/>
        <w:rPr>
          <w:rFonts w:eastAsiaTheme="minorEastAsia"/>
        </w:rPr>
      </w:pPr>
      <w:hyperlink w:anchor="_Toc370394691" w:history="1">
        <w:r w:rsidR="004C547F" w:rsidRPr="004C547F">
          <w:t>Figure 21</w:t>
        </w:r>
        <w:r w:rsidR="004C547F" w:rsidRPr="004C547F">
          <w:rPr>
            <w:rFonts w:eastAsiaTheme="minorEastAsia"/>
          </w:rPr>
          <w:tab/>
        </w:r>
        <w:r w:rsidR="004C547F" w:rsidRPr="004C547F">
          <w:t>Emissions intensity by state (sent out) –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_Toc370394691 \h </w:instrText>
        </w:r>
        <w:r w:rsidR="004C547F" w:rsidRPr="004C547F">
          <w:rPr>
            <w:webHidden/>
          </w:rPr>
        </w:r>
        <w:r w:rsidR="004C547F" w:rsidRPr="004C547F">
          <w:rPr>
            <w:webHidden/>
          </w:rPr>
          <w:fldChar w:fldCharType="separate"/>
        </w:r>
        <w:r w:rsidR="00660A8E">
          <w:rPr>
            <w:noProof/>
            <w:webHidden/>
          </w:rPr>
          <w:t>42</w:t>
        </w:r>
        <w:r w:rsidR="004C547F" w:rsidRPr="004C547F">
          <w:rPr>
            <w:webHidden/>
          </w:rPr>
          <w:fldChar w:fldCharType="end"/>
        </w:r>
      </w:hyperlink>
    </w:p>
    <w:p w:rsidR="004C547F" w:rsidRPr="004C547F" w:rsidRDefault="009926D6">
      <w:pPr>
        <w:pStyle w:val="TableofFigures"/>
        <w:rPr>
          <w:rFonts w:eastAsiaTheme="minorEastAsia"/>
        </w:rPr>
      </w:pPr>
      <w:hyperlink w:anchor="_Toc370394692" w:history="1">
        <w:r w:rsidR="004C547F" w:rsidRPr="004C547F">
          <w:t>Figure 22</w:t>
        </w:r>
        <w:r w:rsidR="004C547F" w:rsidRPr="004C547F">
          <w:rPr>
            <w:rFonts w:eastAsiaTheme="minorEastAsia"/>
          </w:rPr>
          <w:tab/>
        </w:r>
        <w:r w:rsidR="004C547F" w:rsidRPr="004C547F">
          <w:t>Emissions trends under core scenarios and with counter-factual simulations</w:t>
        </w:r>
        <w:r w:rsidR="004C547F" w:rsidRPr="004C547F">
          <w:rPr>
            <w:webHidden/>
          </w:rPr>
          <w:tab/>
        </w:r>
        <w:r w:rsidR="004C547F" w:rsidRPr="004C547F">
          <w:rPr>
            <w:webHidden/>
          </w:rPr>
          <w:fldChar w:fldCharType="begin"/>
        </w:r>
        <w:r w:rsidR="004C547F" w:rsidRPr="004C547F">
          <w:rPr>
            <w:webHidden/>
          </w:rPr>
          <w:instrText xml:space="preserve"> PAGEREF _Toc370394692 \h </w:instrText>
        </w:r>
        <w:r w:rsidR="004C547F" w:rsidRPr="004C547F">
          <w:rPr>
            <w:webHidden/>
          </w:rPr>
        </w:r>
        <w:r w:rsidR="004C547F" w:rsidRPr="004C547F">
          <w:rPr>
            <w:webHidden/>
          </w:rPr>
          <w:fldChar w:fldCharType="separate"/>
        </w:r>
        <w:r w:rsidR="00660A8E">
          <w:rPr>
            <w:noProof/>
            <w:webHidden/>
          </w:rPr>
          <w:t>43</w:t>
        </w:r>
        <w:r w:rsidR="004C547F" w:rsidRPr="004C547F">
          <w:rPr>
            <w:webHidden/>
          </w:rPr>
          <w:fldChar w:fldCharType="end"/>
        </w:r>
      </w:hyperlink>
    </w:p>
    <w:p w:rsidR="004C547F" w:rsidRPr="004C547F" w:rsidRDefault="009926D6">
      <w:pPr>
        <w:pStyle w:val="TableofFigures"/>
        <w:rPr>
          <w:rFonts w:eastAsiaTheme="minorEastAsia"/>
        </w:rPr>
      </w:pPr>
      <w:hyperlink w:anchor="_Toc370394693" w:history="1">
        <w:r w:rsidR="004C547F" w:rsidRPr="004C547F">
          <w:t>Figure 23</w:t>
        </w:r>
        <w:r w:rsidR="004C547F" w:rsidRPr="004C547F">
          <w:rPr>
            <w:rFonts w:eastAsiaTheme="minorEastAsia"/>
          </w:rPr>
          <w:tab/>
        </w:r>
        <w:r w:rsidR="004C547F" w:rsidRPr="004C547F">
          <w:t>Generation capacity – No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_Toc370394693 \h </w:instrText>
        </w:r>
        <w:r w:rsidR="004C547F" w:rsidRPr="004C547F">
          <w:rPr>
            <w:webHidden/>
          </w:rPr>
        </w:r>
        <w:r w:rsidR="004C547F" w:rsidRPr="004C547F">
          <w:rPr>
            <w:webHidden/>
          </w:rPr>
          <w:fldChar w:fldCharType="separate"/>
        </w:r>
        <w:r w:rsidR="00660A8E">
          <w:rPr>
            <w:noProof/>
            <w:webHidden/>
          </w:rPr>
          <w:t>44</w:t>
        </w:r>
        <w:r w:rsidR="004C547F" w:rsidRPr="004C547F">
          <w:rPr>
            <w:webHidden/>
          </w:rPr>
          <w:fldChar w:fldCharType="end"/>
        </w:r>
      </w:hyperlink>
    </w:p>
    <w:p w:rsidR="004C547F" w:rsidRPr="004C547F" w:rsidRDefault="009926D6">
      <w:pPr>
        <w:pStyle w:val="TableofFigures"/>
        <w:rPr>
          <w:rFonts w:eastAsiaTheme="minorEastAsia"/>
        </w:rPr>
      </w:pPr>
      <w:hyperlink w:anchor="_Toc370394694" w:history="1">
        <w:r w:rsidR="004C547F" w:rsidRPr="004C547F">
          <w:t>Figure 24</w:t>
        </w:r>
        <w:r w:rsidR="004C547F" w:rsidRPr="004C547F">
          <w:rPr>
            <w:rFonts w:eastAsiaTheme="minorEastAsia"/>
          </w:rPr>
          <w:tab/>
        </w:r>
        <w:r w:rsidR="004C547F" w:rsidRPr="004C547F">
          <w:t>Generation capacity –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_Toc370394694 \h </w:instrText>
        </w:r>
        <w:r w:rsidR="004C547F" w:rsidRPr="004C547F">
          <w:rPr>
            <w:webHidden/>
          </w:rPr>
        </w:r>
        <w:r w:rsidR="004C547F" w:rsidRPr="004C547F">
          <w:rPr>
            <w:webHidden/>
          </w:rPr>
          <w:fldChar w:fldCharType="separate"/>
        </w:r>
        <w:r w:rsidR="00660A8E">
          <w:rPr>
            <w:noProof/>
            <w:webHidden/>
          </w:rPr>
          <w:t>44</w:t>
        </w:r>
        <w:r w:rsidR="004C547F" w:rsidRPr="004C547F">
          <w:rPr>
            <w:webHidden/>
          </w:rPr>
          <w:fldChar w:fldCharType="end"/>
        </w:r>
      </w:hyperlink>
    </w:p>
    <w:p w:rsidR="004C547F" w:rsidRPr="004C547F" w:rsidRDefault="009926D6">
      <w:pPr>
        <w:pStyle w:val="TableofFigures"/>
        <w:rPr>
          <w:rFonts w:eastAsiaTheme="minorEastAsia"/>
        </w:rPr>
      </w:pPr>
      <w:hyperlink w:anchor="_Toc370394695" w:history="1">
        <w:r w:rsidR="004C547F" w:rsidRPr="004C547F">
          <w:t>Figure 25</w:t>
        </w:r>
        <w:r w:rsidR="004C547F" w:rsidRPr="004C547F">
          <w:rPr>
            <w:rFonts w:eastAsiaTheme="minorEastAsia"/>
          </w:rPr>
          <w:tab/>
        </w:r>
        <w:r w:rsidR="004C547F" w:rsidRPr="004C547F">
          <w:t>Installed generation capacity – No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_Toc370394695 \h </w:instrText>
        </w:r>
        <w:r w:rsidR="004C547F" w:rsidRPr="004C547F">
          <w:rPr>
            <w:webHidden/>
          </w:rPr>
        </w:r>
        <w:r w:rsidR="004C547F" w:rsidRPr="004C547F">
          <w:rPr>
            <w:webHidden/>
          </w:rPr>
          <w:fldChar w:fldCharType="separate"/>
        </w:r>
        <w:r w:rsidR="00660A8E">
          <w:rPr>
            <w:noProof/>
            <w:webHidden/>
          </w:rPr>
          <w:t>45</w:t>
        </w:r>
        <w:r w:rsidR="004C547F" w:rsidRPr="004C547F">
          <w:rPr>
            <w:webHidden/>
          </w:rPr>
          <w:fldChar w:fldCharType="end"/>
        </w:r>
      </w:hyperlink>
    </w:p>
    <w:p w:rsidR="004C547F" w:rsidRPr="004C547F" w:rsidRDefault="009926D6">
      <w:pPr>
        <w:pStyle w:val="TableofFigures"/>
        <w:rPr>
          <w:rFonts w:eastAsiaTheme="minorEastAsia"/>
        </w:rPr>
      </w:pPr>
      <w:hyperlink w:anchor="_Toc370394696" w:history="1">
        <w:r w:rsidR="004C547F" w:rsidRPr="004C547F">
          <w:t>Figure 26</w:t>
        </w:r>
        <w:r w:rsidR="004C547F" w:rsidRPr="004C547F">
          <w:rPr>
            <w:rFonts w:eastAsiaTheme="minorEastAsia"/>
          </w:rPr>
          <w:tab/>
        </w:r>
        <w:r w:rsidR="004C547F" w:rsidRPr="004C547F">
          <w:t>Installed generation capacity –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_Toc370394696 \h </w:instrText>
        </w:r>
        <w:r w:rsidR="004C547F" w:rsidRPr="004C547F">
          <w:rPr>
            <w:webHidden/>
          </w:rPr>
        </w:r>
        <w:r w:rsidR="004C547F" w:rsidRPr="004C547F">
          <w:rPr>
            <w:webHidden/>
          </w:rPr>
          <w:fldChar w:fldCharType="separate"/>
        </w:r>
        <w:r w:rsidR="00660A8E">
          <w:rPr>
            <w:noProof/>
            <w:webHidden/>
          </w:rPr>
          <w:t>46</w:t>
        </w:r>
        <w:r w:rsidR="004C547F" w:rsidRPr="004C547F">
          <w:rPr>
            <w:webHidden/>
          </w:rPr>
          <w:fldChar w:fldCharType="end"/>
        </w:r>
      </w:hyperlink>
    </w:p>
    <w:p w:rsidR="004C547F" w:rsidRPr="004C547F" w:rsidRDefault="009926D6">
      <w:pPr>
        <w:pStyle w:val="TableofFigures"/>
        <w:rPr>
          <w:rFonts w:eastAsiaTheme="minorEastAsia"/>
        </w:rPr>
      </w:pPr>
      <w:hyperlink w:anchor="_Toc370394697" w:history="1">
        <w:r w:rsidR="004C547F" w:rsidRPr="004C547F">
          <w:t>Figure 27</w:t>
        </w:r>
        <w:r w:rsidR="004C547F" w:rsidRPr="004C547F">
          <w:rPr>
            <w:rFonts w:eastAsiaTheme="minorEastAsia"/>
          </w:rPr>
          <w:tab/>
        </w:r>
        <w:r w:rsidR="004C547F" w:rsidRPr="004C547F">
          <w:t>Wholesale electricity prices – No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_Toc370394697 \h </w:instrText>
        </w:r>
        <w:r w:rsidR="004C547F" w:rsidRPr="004C547F">
          <w:rPr>
            <w:webHidden/>
          </w:rPr>
        </w:r>
        <w:r w:rsidR="004C547F" w:rsidRPr="004C547F">
          <w:rPr>
            <w:webHidden/>
          </w:rPr>
          <w:fldChar w:fldCharType="separate"/>
        </w:r>
        <w:r w:rsidR="00660A8E">
          <w:rPr>
            <w:noProof/>
            <w:webHidden/>
          </w:rPr>
          <w:t>47</w:t>
        </w:r>
        <w:r w:rsidR="004C547F" w:rsidRPr="004C547F">
          <w:rPr>
            <w:webHidden/>
          </w:rPr>
          <w:fldChar w:fldCharType="end"/>
        </w:r>
      </w:hyperlink>
    </w:p>
    <w:p w:rsidR="004C547F" w:rsidRPr="004C547F" w:rsidRDefault="009926D6">
      <w:pPr>
        <w:pStyle w:val="TableofFigures"/>
        <w:rPr>
          <w:rFonts w:eastAsiaTheme="minorEastAsia"/>
        </w:rPr>
      </w:pPr>
      <w:hyperlink w:anchor="_Toc370394698" w:history="1">
        <w:r w:rsidR="004C547F" w:rsidRPr="004C547F">
          <w:t>Figure 28</w:t>
        </w:r>
        <w:r w:rsidR="004C547F" w:rsidRPr="004C547F">
          <w:rPr>
            <w:rFonts w:eastAsiaTheme="minorEastAsia"/>
          </w:rPr>
          <w:tab/>
        </w:r>
        <w:r w:rsidR="004C547F" w:rsidRPr="004C547F">
          <w:t>Wholesale electricity prices –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_Toc370394698 \h </w:instrText>
        </w:r>
        <w:r w:rsidR="004C547F" w:rsidRPr="004C547F">
          <w:rPr>
            <w:webHidden/>
          </w:rPr>
        </w:r>
        <w:r w:rsidR="004C547F" w:rsidRPr="004C547F">
          <w:rPr>
            <w:webHidden/>
          </w:rPr>
          <w:fldChar w:fldCharType="separate"/>
        </w:r>
        <w:r w:rsidR="00660A8E">
          <w:rPr>
            <w:noProof/>
            <w:webHidden/>
          </w:rPr>
          <w:t>47</w:t>
        </w:r>
        <w:r w:rsidR="004C547F" w:rsidRPr="004C547F">
          <w:rPr>
            <w:webHidden/>
          </w:rPr>
          <w:fldChar w:fldCharType="end"/>
        </w:r>
      </w:hyperlink>
    </w:p>
    <w:p w:rsidR="004C547F" w:rsidRPr="004C547F" w:rsidRDefault="009926D6">
      <w:pPr>
        <w:pStyle w:val="TableofFigures"/>
        <w:rPr>
          <w:rFonts w:eastAsiaTheme="minorEastAsia"/>
        </w:rPr>
      </w:pPr>
      <w:hyperlink w:anchor="_Toc370394699" w:history="1">
        <w:r w:rsidR="004C547F" w:rsidRPr="004C547F">
          <w:t>Figure 29</w:t>
        </w:r>
        <w:r w:rsidR="004C547F" w:rsidRPr="004C547F">
          <w:rPr>
            <w:rFonts w:eastAsiaTheme="minorEastAsia"/>
          </w:rPr>
          <w:tab/>
        </w:r>
        <w:r w:rsidR="004C547F" w:rsidRPr="004C547F">
          <w:t>Residential retail electricity prices – No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_Toc370394699 \h </w:instrText>
        </w:r>
        <w:r w:rsidR="004C547F" w:rsidRPr="004C547F">
          <w:rPr>
            <w:webHidden/>
          </w:rPr>
        </w:r>
        <w:r w:rsidR="004C547F" w:rsidRPr="004C547F">
          <w:rPr>
            <w:webHidden/>
          </w:rPr>
          <w:fldChar w:fldCharType="separate"/>
        </w:r>
        <w:r w:rsidR="00660A8E">
          <w:rPr>
            <w:noProof/>
            <w:webHidden/>
          </w:rPr>
          <w:t>48</w:t>
        </w:r>
        <w:r w:rsidR="004C547F" w:rsidRPr="004C547F">
          <w:rPr>
            <w:webHidden/>
          </w:rPr>
          <w:fldChar w:fldCharType="end"/>
        </w:r>
      </w:hyperlink>
    </w:p>
    <w:p w:rsidR="004C547F" w:rsidRPr="004C547F" w:rsidRDefault="009926D6">
      <w:pPr>
        <w:pStyle w:val="TableofFigures"/>
        <w:rPr>
          <w:rFonts w:eastAsiaTheme="minorEastAsia"/>
        </w:rPr>
      </w:pPr>
      <w:hyperlink w:anchor="_Toc370394700" w:history="1">
        <w:r w:rsidR="004C547F" w:rsidRPr="004C547F">
          <w:t>Figure 30</w:t>
        </w:r>
        <w:r w:rsidR="004C547F" w:rsidRPr="004C547F">
          <w:rPr>
            <w:rFonts w:eastAsiaTheme="minorEastAsia"/>
          </w:rPr>
          <w:tab/>
        </w:r>
        <w:r w:rsidR="004C547F" w:rsidRPr="004C547F">
          <w:t>Residential retail electricity prices –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_Toc370394700 \h </w:instrText>
        </w:r>
        <w:r w:rsidR="004C547F" w:rsidRPr="004C547F">
          <w:rPr>
            <w:webHidden/>
          </w:rPr>
        </w:r>
        <w:r w:rsidR="004C547F" w:rsidRPr="004C547F">
          <w:rPr>
            <w:webHidden/>
          </w:rPr>
          <w:fldChar w:fldCharType="separate"/>
        </w:r>
        <w:r w:rsidR="00660A8E">
          <w:rPr>
            <w:noProof/>
            <w:webHidden/>
          </w:rPr>
          <w:t>48</w:t>
        </w:r>
        <w:r w:rsidR="004C547F" w:rsidRPr="004C547F">
          <w:rPr>
            <w:webHidden/>
          </w:rPr>
          <w:fldChar w:fldCharType="end"/>
        </w:r>
      </w:hyperlink>
    </w:p>
    <w:p w:rsidR="004C547F" w:rsidRPr="004C547F" w:rsidRDefault="009926D6">
      <w:pPr>
        <w:pStyle w:val="TableofFigures"/>
        <w:rPr>
          <w:rFonts w:eastAsiaTheme="minorEastAsia"/>
        </w:rPr>
      </w:pPr>
      <w:hyperlink w:anchor="_Toc370394701" w:history="1">
        <w:r w:rsidR="004C547F" w:rsidRPr="004C547F">
          <w:t>Figure 31</w:t>
        </w:r>
        <w:r w:rsidR="004C547F" w:rsidRPr="004C547F">
          <w:rPr>
            <w:rFonts w:eastAsiaTheme="minorEastAsia"/>
          </w:rPr>
          <w:tab/>
        </w:r>
        <w:r w:rsidR="004C547F" w:rsidRPr="004C547F">
          <w:t>Percentage change in residential retail tariffs – No Carbon Price scenario to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_Toc370394701 \h </w:instrText>
        </w:r>
        <w:r w:rsidR="004C547F" w:rsidRPr="004C547F">
          <w:rPr>
            <w:webHidden/>
          </w:rPr>
        </w:r>
        <w:r w:rsidR="004C547F" w:rsidRPr="004C547F">
          <w:rPr>
            <w:webHidden/>
          </w:rPr>
          <w:fldChar w:fldCharType="separate"/>
        </w:r>
        <w:r w:rsidR="00660A8E">
          <w:rPr>
            <w:noProof/>
            <w:webHidden/>
          </w:rPr>
          <w:t>49</w:t>
        </w:r>
        <w:r w:rsidR="004C547F" w:rsidRPr="004C547F">
          <w:rPr>
            <w:webHidden/>
          </w:rPr>
          <w:fldChar w:fldCharType="end"/>
        </w:r>
      </w:hyperlink>
    </w:p>
    <w:p w:rsidR="004C547F" w:rsidRPr="004C547F" w:rsidRDefault="009926D6">
      <w:pPr>
        <w:pStyle w:val="TableofFigures"/>
        <w:rPr>
          <w:rFonts w:eastAsiaTheme="minorEastAsia"/>
        </w:rPr>
      </w:pPr>
      <w:hyperlink w:anchor="_Toc370394702" w:history="1">
        <w:r w:rsidR="004C547F" w:rsidRPr="004C547F">
          <w:t>Figure 32</w:t>
        </w:r>
        <w:r w:rsidR="004C547F" w:rsidRPr="004C547F">
          <w:rPr>
            <w:rFonts w:eastAsiaTheme="minorEastAsia"/>
          </w:rPr>
          <w:tab/>
        </w:r>
        <w:r w:rsidR="004C547F" w:rsidRPr="004C547F">
          <w:t>Industrial customer electricity prices – No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_Toc370394702 \h </w:instrText>
        </w:r>
        <w:r w:rsidR="004C547F" w:rsidRPr="004C547F">
          <w:rPr>
            <w:webHidden/>
          </w:rPr>
        </w:r>
        <w:r w:rsidR="004C547F" w:rsidRPr="004C547F">
          <w:rPr>
            <w:webHidden/>
          </w:rPr>
          <w:fldChar w:fldCharType="separate"/>
        </w:r>
        <w:r w:rsidR="00660A8E">
          <w:rPr>
            <w:noProof/>
            <w:webHidden/>
          </w:rPr>
          <w:t>49</w:t>
        </w:r>
        <w:r w:rsidR="004C547F" w:rsidRPr="004C547F">
          <w:rPr>
            <w:webHidden/>
          </w:rPr>
          <w:fldChar w:fldCharType="end"/>
        </w:r>
      </w:hyperlink>
    </w:p>
    <w:p w:rsidR="004C547F" w:rsidRPr="004C547F" w:rsidRDefault="009926D6">
      <w:pPr>
        <w:pStyle w:val="TableofFigures"/>
        <w:rPr>
          <w:rFonts w:eastAsiaTheme="minorEastAsia"/>
        </w:rPr>
      </w:pPr>
      <w:hyperlink w:anchor="_Toc370394703" w:history="1">
        <w:r w:rsidR="004C547F" w:rsidRPr="004C547F">
          <w:t>Figure 33</w:t>
        </w:r>
        <w:r w:rsidR="004C547F" w:rsidRPr="004C547F">
          <w:rPr>
            <w:rFonts w:eastAsiaTheme="minorEastAsia"/>
          </w:rPr>
          <w:tab/>
        </w:r>
        <w:r w:rsidR="004C547F" w:rsidRPr="004C547F">
          <w:t>Industrial Customer electricity prices –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_Toc370394703 \h </w:instrText>
        </w:r>
        <w:r w:rsidR="004C547F" w:rsidRPr="004C547F">
          <w:rPr>
            <w:webHidden/>
          </w:rPr>
        </w:r>
        <w:r w:rsidR="004C547F" w:rsidRPr="004C547F">
          <w:rPr>
            <w:webHidden/>
          </w:rPr>
          <w:fldChar w:fldCharType="separate"/>
        </w:r>
        <w:r w:rsidR="00660A8E">
          <w:rPr>
            <w:noProof/>
            <w:webHidden/>
          </w:rPr>
          <w:t>50</w:t>
        </w:r>
        <w:r w:rsidR="004C547F" w:rsidRPr="004C547F">
          <w:rPr>
            <w:webHidden/>
          </w:rPr>
          <w:fldChar w:fldCharType="end"/>
        </w:r>
      </w:hyperlink>
    </w:p>
    <w:p w:rsidR="004C547F" w:rsidRPr="004C547F" w:rsidRDefault="009926D6">
      <w:pPr>
        <w:pStyle w:val="TableofFigures"/>
        <w:rPr>
          <w:rFonts w:eastAsiaTheme="minorEastAsia"/>
        </w:rPr>
      </w:pPr>
      <w:hyperlink w:anchor="_Toc370394704" w:history="1">
        <w:r w:rsidR="004C547F" w:rsidRPr="004C547F">
          <w:t>Figure 34</w:t>
        </w:r>
        <w:r w:rsidR="004C547F" w:rsidRPr="004C547F">
          <w:rPr>
            <w:rFonts w:eastAsiaTheme="minorEastAsia"/>
          </w:rPr>
          <w:tab/>
        </w:r>
        <w:r w:rsidR="004C547F" w:rsidRPr="004C547F">
          <w:t>Carbon price assumptions</w:t>
        </w:r>
        <w:r w:rsidR="004C547F" w:rsidRPr="004C547F">
          <w:rPr>
            <w:webHidden/>
          </w:rPr>
          <w:tab/>
        </w:r>
        <w:r w:rsidR="004C547F" w:rsidRPr="004C547F">
          <w:rPr>
            <w:webHidden/>
          </w:rPr>
          <w:fldChar w:fldCharType="begin"/>
        </w:r>
        <w:r w:rsidR="004C547F" w:rsidRPr="004C547F">
          <w:rPr>
            <w:webHidden/>
          </w:rPr>
          <w:instrText xml:space="preserve"> PAGEREF _Toc370394704 \h </w:instrText>
        </w:r>
        <w:r w:rsidR="004C547F" w:rsidRPr="004C547F">
          <w:rPr>
            <w:webHidden/>
          </w:rPr>
        </w:r>
        <w:r w:rsidR="004C547F" w:rsidRPr="004C547F">
          <w:rPr>
            <w:webHidden/>
          </w:rPr>
          <w:fldChar w:fldCharType="separate"/>
        </w:r>
        <w:r w:rsidR="00660A8E">
          <w:rPr>
            <w:noProof/>
            <w:webHidden/>
          </w:rPr>
          <w:t>52</w:t>
        </w:r>
        <w:r w:rsidR="004C547F" w:rsidRPr="004C547F">
          <w:rPr>
            <w:webHidden/>
          </w:rPr>
          <w:fldChar w:fldCharType="end"/>
        </w:r>
      </w:hyperlink>
    </w:p>
    <w:p w:rsidR="004C547F" w:rsidRPr="004C547F" w:rsidRDefault="009926D6">
      <w:pPr>
        <w:pStyle w:val="TableofFigures"/>
        <w:rPr>
          <w:rFonts w:eastAsiaTheme="minorEastAsia"/>
        </w:rPr>
      </w:pPr>
      <w:hyperlink w:anchor="_Toc370394705" w:history="1">
        <w:r w:rsidR="004C547F" w:rsidRPr="004C547F">
          <w:t>Figure 35</w:t>
        </w:r>
        <w:r w:rsidR="004C547F" w:rsidRPr="004C547F">
          <w:rPr>
            <w:rFonts w:eastAsiaTheme="minorEastAsia"/>
          </w:rPr>
          <w:tab/>
        </w:r>
        <w:r w:rsidR="004C547F" w:rsidRPr="004C547F">
          <w:t>Aggregate demand – carbon price scenarios</w:t>
        </w:r>
        <w:r w:rsidR="004C547F" w:rsidRPr="004C547F">
          <w:rPr>
            <w:webHidden/>
          </w:rPr>
          <w:tab/>
        </w:r>
        <w:r w:rsidR="004C547F" w:rsidRPr="004C547F">
          <w:rPr>
            <w:webHidden/>
          </w:rPr>
          <w:fldChar w:fldCharType="begin"/>
        </w:r>
        <w:r w:rsidR="004C547F" w:rsidRPr="004C547F">
          <w:rPr>
            <w:webHidden/>
          </w:rPr>
          <w:instrText xml:space="preserve"> PAGEREF _Toc370394705 \h </w:instrText>
        </w:r>
        <w:r w:rsidR="004C547F" w:rsidRPr="004C547F">
          <w:rPr>
            <w:webHidden/>
          </w:rPr>
        </w:r>
        <w:r w:rsidR="004C547F" w:rsidRPr="004C547F">
          <w:rPr>
            <w:webHidden/>
          </w:rPr>
          <w:fldChar w:fldCharType="separate"/>
        </w:r>
        <w:r w:rsidR="00660A8E">
          <w:rPr>
            <w:noProof/>
            <w:webHidden/>
          </w:rPr>
          <w:t>52</w:t>
        </w:r>
        <w:r w:rsidR="004C547F" w:rsidRPr="004C547F">
          <w:rPr>
            <w:webHidden/>
          </w:rPr>
          <w:fldChar w:fldCharType="end"/>
        </w:r>
      </w:hyperlink>
    </w:p>
    <w:p w:rsidR="004C547F" w:rsidRPr="004C547F" w:rsidRDefault="009926D6">
      <w:pPr>
        <w:pStyle w:val="TableofFigures"/>
        <w:rPr>
          <w:rFonts w:eastAsiaTheme="minorEastAsia"/>
        </w:rPr>
      </w:pPr>
      <w:hyperlink w:anchor="_Toc370394706" w:history="1">
        <w:r w:rsidR="004C547F" w:rsidRPr="004C547F">
          <w:t>Figure 36</w:t>
        </w:r>
        <w:r w:rsidR="004C547F" w:rsidRPr="004C547F">
          <w:rPr>
            <w:rFonts w:eastAsiaTheme="minorEastAsia"/>
          </w:rPr>
          <w:tab/>
        </w:r>
        <w:r w:rsidR="004C547F" w:rsidRPr="004C547F">
          <w:t>Generation by fuel type – High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_Toc370394706 \h </w:instrText>
        </w:r>
        <w:r w:rsidR="004C547F" w:rsidRPr="004C547F">
          <w:rPr>
            <w:webHidden/>
          </w:rPr>
        </w:r>
        <w:r w:rsidR="004C547F" w:rsidRPr="004C547F">
          <w:rPr>
            <w:webHidden/>
          </w:rPr>
          <w:fldChar w:fldCharType="separate"/>
        </w:r>
        <w:r w:rsidR="00660A8E">
          <w:rPr>
            <w:noProof/>
            <w:webHidden/>
          </w:rPr>
          <w:t>53</w:t>
        </w:r>
        <w:r w:rsidR="004C547F" w:rsidRPr="004C547F">
          <w:rPr>
            <w:webHidden/>
          </w:rPr>
          <w:fldChar w:fldCharType="end"/>
        </w:r>
      </w:hyperlink>
    </w:p>
    <w:p w:rsidR="004C547F" w:rsidRPr="004C547F" w:rsidRDefault="009926D6">
      <w:pPr>
        <w:pStyle w:val="TableofFigures"/>
        <w:rPr>
          <w:rFonts w:eastAsiaTheme="minorEastAsia"/>
        </w:rPr>
      </w:pPr>
      <w:hyperlink w:anchor="_Toc370394707" w:history="1">
        <w:r w:rsidR="004C547F" w:rsidRPr="004C547F">
          <w:t>Figure 37</w:t>
        </w:r>
        <w:r w:rsidR="004C547F" w:rsidRPr="004C547F">
          <w:rPr>
            <w:rFonts w:eastAsiaTheme="minorEastAsia"/>
          </w:rPr>
          <w:tab/>
        </w:r>
        <w:r w:rsidR="004C547F" w:rsidRPr="004C547F">
          <w:t>Generation by fuel type – Low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_Toc370394707 \h </w:instrText>
        </w:r>
        <w:r w:rsidR="004C547F" w:rsidRPr="004C547F">
          <w:rPr>
            <w:webHidden/>
          </w:rPr>
        </w:r>
        <w:r w:rsidR="004C547F" w:rsidRPr="004C547F">
          <w:rPr>
            <w:webHidden/>
          </w:rPr>
          <w:fldChar w:fldCharType="separate"/>
        </w:r>
        <w:r w:rsidR="00660A8E">
          <w:rPr>
            <w:noProof/>
            <w:webHidden/>
          </w:rPr>
          <w:t>53</w:t>
        </w:r>
        <w:r w:rsidR="004C547F" w:rsidRPr="004C547F">
          <w:rPr>
            <w:webHidden/>
          </w:rPr>
          <w:fldChar w:fldCharType="end"/>
        </w:r>
      </w:hyperlink>
    </w:p>
    <w:p w:rsidR="004C547F" w:rsidRPr="004C547F" w:rsidRDefault="009926D6">
      <w:pPr>
        <w:pStyle w:val="TableofFigures"/>
        <w:rPr>
          <w:rFonts w:eastAsiaTheme="minorEastAsia"/>
        </w:rPr>
      </w:pPr>
      <w:hyperlink w:anchor="_Toc370394708" w:history="1">
        <w:r w:rsidR="004C547F" w:rsidRPr="004C547F">
          <w:t>Figure 38</w:t>
        </w:r>
        <w:r w:rsidR="004C547F" w:rsidRPr="004C547F">
          <w:rPr>
            <w:rFonts w:eastAsiaTheme="minorEastAsia"/>
          </w:rPr>
          <w:tab/>
        </w:r>
        <w:r w:rsidR="004C547F" w:rsidRPr="004C547F">
          <w:t>Aggregate emissions – carbon price scenarios</w:t>
        </w:r>
        <w:r w:rsidR="004C547F" w:rsidRPr="004C547F">
          <w:rPr>
            <w:webHidden/>
          </w:rPr>
          <w:tab/>
        </w:r>
        <w:r w:rsidR="004C547F" w:rsidRPr="004C547F">
          <w:rPr>
            <w:webHidden/>
          </w:rPr>
          <w:fldChar w:fldCharType="begin"/>
        </w:r>
        <w:r w:rsidR="004C547F" w:rsidRPr="004C547F">
          <w:rPr>
            <w:webHidden/>
          </w:rPr>
          <w:instrText xml:space="preserve"> PAGEREF _Toc370394708 \h </w:instrText>
        </w:r>
        <w:r w:rsidR="004C547F" w:rsidRPr="004C547F">
          <w:rPr>
            <w:webHidden/>
          </w:rPr>
        </w:r>
        <w:r w:rsidR="004C547F" w:rsidRPr="004C547F">
          <w:rPr>
            <w:webHidden/>
          </w:rPr>
          <w:fldChar w:fldCharType="separate"/>
        </w:r>
        <w:r w:rsidR="00660A8E">
          <w:rPr>
            <w:noProof/>
            <w:webHidden/>
          </w:rPr>
          <w:t>54</w:t>
        </w:r>
        <w:r w:rsidR="004C547F" w:rsidRPr="004C547F">
          <w:rPr>
            <w:webHidden/>
          </w:rPr>
          <w:fldChar w:fldCharType="end"/>
        </w:r>
      </w:hyperlink>
    </w:p>
    <w:p w:rsidR="004C547F" w:rsidRPr="004C547F" w:rsidRDefault="009926D6">
      <w:pPr>
        <w:pStyle w:val="TableofFigures"/>
        <w:rPr>
          <w:rFonts w:eastAsiaTheme="minorEastAsia"/>
        </w:rPr>
      </w:pPr>
      <w:hyperlink w:anchor="_Toc370394709" w:history="1">
        <w:r w:rsidR="004C547F" w:rsidRPr="004C547F">
          <w:t>Figure 39</w:t>
        </w:r>
        <w:r w:rsidR="004C547F" w:rsidRPr="004C547F">
          <w:rPr>
            <w:rFonts w:eastAsiaTheme="minorEastAsia"/>
          </w:rPr>
          <w:tab/>
        </w:r>
        <w:r w:rsidR="004C547F" w:rsidRPr="004C547F">
          <w:t>Emissions by fuel type – High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_Toc370394709 \h </w:instrText>
        </w:r>
        <w:r w:rsidR="004C547F" w:rsidRPr="004C547F">
          <w:rPr>
            <w:webHidden/>
          </w:rPr>
        </w:r>
        <w:r w:rsidR="004C547F" w:rsidRPr="004C547F">
          <w:rPr>
            <w:webHidden/>
          </w:rPr>
          <w:fldChar w:fldCharType="separate"/>
        </w:r>
        <w:r w:rsidR="00660A8E">
          <w:rPr>
            <w:noProof/>
            <w:webHidden/>
          </w:rPr>
          <w:t>54</w:t>
        </w:r>
        <w:r w:rsidR="004C547F" w:rsidRPr="004C547F">
          <w:rPr>
            <w:webHidden/>
          </w:rPr>
          <w:fldChar w:fldCharType="end"/>
        </w:r>
      </w:hyperlink>
    </w:p>
    <w:p w:rsidR="004C547F" w:rsidRPr="004C547F" w:rsidRDefault="009926D6">
      <w:pPr>
        <w:pStyle w:val="TableofFigures"/>
        <w:rPr>
          <w:rFonts w:eastAsiaTheme="minorEastAsia"/>
        </w:rPr>
      </w:pPr>
      <w:hyperlink w:anchor="_Toc370394710" w:history="1">
        <w:r w:rsidR="004C547F" w:rsidRPr="004C547F">
          <w:t>Figure 40</w:t>
        </w:r>
        <w:r w:rsidR="004C547F" w:rsidRPr="004C547F">
          <w:rPr>
            <w:rFonts w:eastAsiaTheme="minorEastAsia"/>
          </w:rPr>
          <w:tab/>
        </w:r>
        <w:r w:rsidR="004C547F" w:rsidRPr="004C547F">
          <w:t>Emissions by fuel type – Low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_Toc370394710 \h </w:instrText>
        </w:r>
        <w:r w:rsidR="004C547F" w:rsidRPr="004C547F">
          <w:rPr>
            <w:webHidden/>
          </w:rPr>
        </w:r>
        <w:r w:rsidR="004C547F" w:rsidRPr="004C547F">
          <w:rPr>
            <w:webHidden/>
          </w:rPr>
          <w:fldChar w:fldCharType="separate"/>
        </w:r>
        <w:r w:rsidR="00660A8E">
          <w:rPr>
            <w:noProof/>
            <w:webHidden/>
          </w:rPr>
          <w:t>55</w:t>
        </w:r>
        <w:r w:rsidR="004C547F" w:rsidRPr="004C547F">
          <w:rPr>
            <w:webHidden/>
          </w:rPr>
          <w:fldChar w:fldCharType="end"/>
        </w:r>
      </w:hyperlink>
    </w:p>
    <w:p w:rsidR="004C547F" w:rsidRPr="004C547F" w:rsidRDefault="009926D6">
      <w:pPr>
        <w:pStyle w:val="TableofFigures"/>
        <w:rPr>
          <w:rFonts w:eastAsiaTheme="minorEastAsia"/>
        </w:rPr>
      </w:pPr>
      <w:hyperlink w:anchor="_Toc370394711" w:history="1">
        <w:r w:rsidR="004C547F" w:rsidRPr="004C547F">
          <w:t>Figure 41</w:t>
        </w:r>
        <w:r w:rsidR="004C547F" w:rsidRPr="004C547F">
          <w:rPr>
            <w:rFonts w:eastAsiaTheme="minorEastAsia"/>
          </w:rPr>
          <w:tab/>
        </w:r>
        <w:r w:rsidR="004C547F" w:rsidRPr="004C547F">
          <w:t>Emissions by grid – High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_Toc370394711 \h </w:instrText>
        </w:r>
        <w:r w:rsidR="004C547F" w:rsidRPr="004C547F">
          <w:rPr>
            <w:webHidden/>
          </w:rPr>
        </w:r>
        <w:r w:rsidR="004C547F" w:rsidRPr="004C547F">
          <w:rPr>
            <w:webHidden/>
          </w:rPr>
          <w:fldChar w:fldCharType="separate"/>
        </w:r>
        <w:r w:rsidR="00660A8E">
          <w:rPr>
            <w:noProof/>
            <w:webHidden/>
          </w:rPr>
          <w:t>55</w:t>
        </w:r>
        <w:r w:rsidR="004C547F" w:rsidRPr="004C547F">
          <w:rPr>
            <w:webHidden/>
          </w:rPr>
          <w:fldChar w:fldCharType="end"/>
        </w:r>
      </w:hyperlink>
    </w:p>
    <w:p w:rsidR="004C547F" w:rsidRPr="004C547F" w:rsidRDefault="009926D6">
      <w:pPr>
        <w:pStyle w:val="TableofFigures"/>
        <w:rPr>
          <w:rFonts w:eastAsiaTheme="minorEastAsia"/>
        </w:rPr>
      </w:pPr>
      <w:hyperlink w:anchor="_Toc370394712" w:history="1">
        <w:r w:rsidR="004C547F" w:rsidRPr="004C547F">
          <w:t>Figure 42</w:t>
        </w:r>
        <w:r w:rsidR="004C547F" w:rsidRPr="004C547F">
          <w:rPr>
            <w:rFonts w:eastAsiaTheme="minorEastAsia"/>
          </w:rPr>
          <w:tab/>
        </w:r>
        <w:r w:rsidR="004C547F" w:rsidRPr="004C547F">
          <w:t>Emissions by grid – Low Carbon Price scenario</w:t>
        </w:r>
        <w:r w:rsidR="004C547F" w:rsidRPr="004C547F">
          <w:rPr>
            <w:webHidden/>
          </w:rPr>
          <w:tab/>
        </w:r>
        <w:r w:rsidR="004C547F" w:rsidRPr="004C547F">
          <w:rPr>
            <w:webHidden/>
          </w:rPr>
          <w:fldChar w:fldCharType="begin"/>
        </w:r>
        <w:r w:rsidR="004C547F" w:rsidRPr="004C547F">
          <w:rPr>
            <w:webHidden/>
          </w:rPr>
          <w:instrText xml:space="preserve"> PAGEREF _Toc370394712 \h </w:instrText>
        </w:r>
        <w:r w:rsidR="004C547F" w:rsidRPr="004C547F">
          <w:rPr>
            <w:webHidden/>
          </w:rPr>
        </w:r>
        <w:r w:rsidR="004C547F" w:rsidRPr="004C547F">
          <w:rPr>
            <w:webHidden/>
          </w:rPr>
          <w:fldChar w:fldCharType="separate"/>
        </w:r>
        <w:r w:rsidR="00660A8E">
          <w:rPr>
            <w:noProof/>
            <w:webHidden/>
          </w:rPr>
          <w:t>56</w:t>
        </w:r>
        <w:r w:rsidR="004C547F" w:rsidRPr="004C547F">
          <w:rPr>
            <w:webHidden/>
          </w:rPr>
          <w:fldChar w:fldCharType="end"/>
        </w:r>
      </w:hyperlink>
    </w:p>
    <w:p w:rsidR="004C547F" w:rsidRPr="004C547F" w:rsidRDefault="009926D6">
      <w:pPr>
        <w:pStyle w:val="TableofFigures"/>
        <w:rPr>
          <w:rFonts w:eastAsiaTheme="minorEastAsia"/>
        </w:rPr>
      </w:pPr>
      <w:hyperlink w:anchor="_Toc370394713" w:history="1">
        <w:r w:rsidR="004C547F" w:rsidRPr="004C547F">
          <w:t>Figure 43</w:t>
        </w:r>
        <w:r w:rsidR="004C547F" w:rsidRPr="004C547F">
          <w:rPr>
            <w:rFonts w:eastAsiaTheme="minorEastAsia"/>
          </w:rPr>
          <w:tab/>
        </w:r>
        <w:r w:rsidR="004C547F" w:rsidRPr="004C547F">
          <w:t>Demand assumptions – demand sensitivities</w:t>
        </w:r>
        <w:r w:rsidR="004C547F" w:rsidRPr="004C547F">
          <w:rPr>
            <w:webHidden/>
          </w:rPr>
          <w:tab/>
        </w:r>
        <w:r w:rsidR="004C547F" w:rsidRPr="004C547F">
          <w:rPr>
            <w:webHidden/>
          </w:rPr>
          <w:fldChar w:fldCharType="begin"/>
        </w:r>
        <w:r w:rsidR="004C547F" w:rsidRPr="004C547F">
          <w:rPr>
            <w:webHidden/>
          </w:rPr>
          <w:instrText xml:space="preserve"> PAGEREF _Toc370394713 \h </w:instrText>
        </w:r>
        <w:r w:rsidR="004C547F" w:rsidRPr="004C547F">
          <w:rPr>
            <w:webHidden/>
          </w:rPr>
        </w:r>
        <w:r w:rsidR="004C547F" w:rsidRPr="004C547F">
          <w:rPr>
            <w:webHidden/>
          </w:rPr>
          <w:fldChar w:fldCharType="separate"/>
        </w:r>
        <w:r w:rsidR="00660A8E">
          <w:rPr>
            <w:noProof/>
            <w:webHidden/>
          </w:rPr>
          <w:t>57</w:t>
        </w:r>
        <w:r w:rsidR="004C547F" w:rsidRPr="004C547F">
          <w:rPr>
            <w:webHidden/>
          </w:rPr>
          <w:fldChar w:fldCharType="end"/>
        </w:r>
      </w:hyperlink>
    </w:p>
    <w:p w:rsidR="004C547F" w:rsidRPr="004C547F" w:rsidRDefault="009926D6">
      <w:pPr>
        <w:pStyle w:val="TableofFigures"/>
        <w:rPr>
          <w:rFonts w:eastAsiaTheme="minorEastAsia"/>
        </w:rPr>
      </w:pPr>
      <w:hyperlink w:anchor="_Toc370394714" w:history="1">
        <w:r w:rsidR="004C547F" w:rsidRPr="004C547F">
          <w:t>Figure 44</w:t>
        </w:r>
        <w:r w:rsidR="004C547F" w:rsidRPr="004C547F">
          <w:rPr>
            <w:rFonts w:eastAsiaTheme="minorEastAsia"/>
          </w:rPr>
          <w:tab/>
        </w:r>
        <w:r w:rsidR="004C547F" w:rsidRPr="004C547F">
          <w:t>Emissions intensity of generation – demand sensitivities</w:t>
        </w:r>
        <w:r w:rsidR="004C547F" w:rsidRPr="004C547F">
          <w:rPr>
            <w:webHidden/>
          </w:rPr>
          <w:tab/>
        </w:r>
        <w:r w:rsidR="004C547F" w:rsidRPr="004C547F">
          <w:rPr>
            <w:webHidden/>
          </w:rPr>
          <w:fldChar w:fldCharType="begin"/>
        </w:r>
        <w:r w:rsidR="004C547F" w:rsidRPr="004C547F">
          <w:rPr>
            <w:webHidden/>
          </w:rPr>
          <w:instrText xml:space="preserve"> PAGEREF _Toc370394714 \h </w:instrText>
        </w:r>
        <w:r w:rsidR="004C547F" w:rsidRPr="004C547F">
          <w:rPr>
            <w:webHidden/>
          </w:rPr>
        </w:r>
        <w:r w:rsidR="004C547F" w:rsidRPr="004C547F">
          <w:rPr>
            <w:webHidden/>
          </w:rPr>
          <w:fldChar w:fldCharType="separate"/>
        </w:r>
        <w:r w:rsidR="00660A8E">
          <w:rPr>
            <w:noProof/>
            <w:webHidden/>
          </w:rPr>
          <w:t>57</w:t>
        </w:r>
        <w:r w:rsidR="004C547F" w:rsidRPr="004C547F">
          <w:rPr>
            <w:webHidden/>
          </w:rPr>
          <w:fldChar w:fldCharType="end"/>
        </w:r>
      </w:hyperlink>
    </w:p>
    <w:p w:rsidR="004C547F" w:rsidRPr="004C547F" w:rsidRDefault="009926D6">
      <w:pPr>
        <w:pStyle w:val="TableofFigures"/>
        <w:rPr>
          <w:rFonts w:eastAsiaTheme="minorEastAsia"/>
        </w:rPr>
      </w:pPr>
      <w:hyperlink w:anchor="_Toc370394715" w:history="1">
        <w:r w:rsidR="004C547F" w:rsidRPr="004C547F">
          <w:t>Figure 45</w:t>
        </w:r>
        <w:r w:rsidR="004C547F" w:rsidRPr="004C547F">
          <w:rPr>
            <w:rFonts w:eastAsiaTheme="minorEastAsia"/>
          </w:rPr>
          <w:tab/>
        </w:r>
        <w:r w:rsidR="004C547F" w:rsidRPr="004C547F">
          <w:t>Aggregate emissions – demand sensitivities</w:t>
        </w:r>
        <w:r w:rsidR="004C547F" w:rsidRPr="004C547F">
          <w:rPr>
            <w:webHidden/>
          </w:rPr>
          <w:tab/>
        </w:r>
        <w:r w:rsidR="004C547F" w:rsidRPr="004C547F">
          <w:rPr>
            <w:webHidden/>
          </w:rPr>
          <w:fldChar w:fldCharType="begin"/>
        </w:r>
        <w:r w:rsidR="004C547F" w:rsidRPr="004C547F">
          <w:rPr>
            <w:webHidden/>
          </w:rPr>
          <w:instrText xml:space="preserve"> PAGEREF _Toc370394715 \h </w:instrText>
        </w:r>
        <w:r w:rsidR="004C547F" w:rsidRPr="004C547F">
          <w:rPr>
            <w:webHidden/>
          </w:rPr>
        </w:r>
        <w:r w:rsidR="004C547F" w:rsidRPr="004C547F">
          <w:rPr>
            <w:webHidden/>
          </w:rPr>
          <w:fldChar w:fldCharType="separate"/>
        </w:r>
        <w:r w:rsidR="00660A8E">
          <w:rPr>
            <w:noProof/>
            <w:webHidden/>
          </w:rPr>
          <w:t>58</w:t>
        </w:r>
        <w:r w:rsidR="004C547F" w:rsidRPr="004C547F">
          <w:rPr>
            <w:webHidden/>
          </w:rPr>
          <w:fldChar w:fldCharType="end"/>
        </w:r>
      </w:hyperlink>
    </w:p>
    <w:p w:rsidR="004C547F" w:rsidRPr="004C547F" w:rsidRDefault="009926D6">
      <w:pPr>
        <w:pStyle w:val="TableofFigures"/>
        <w:rPr>
          <w:rFonts w:eastAsiaTheme="minorEastAsia"/>
        </w:rPr>
      </w:pPr>
      <w:hyperlink w:anchor="_Toc370394716" w:history="1">
        <w:r w:rsidR="004C547F" w:rsidRPr="004C547F">
          <w:t>Figure 46</w:t>
        </w:r>
        <w:r w:rsidR="004C547F" w:rsidRPr="004C547F">
          <w:rPr>
            <w:rFonts w:eastAsiaTheme="minorEastAsia"/>
          </w:rPr>
          <w:tab/>
        </w:r>
        <w:r w:rsidR="004C547F" w:rsidRPr="004C547F">
          <w:t>Change in emissions relative to Central Policy scenario – demand sensitivities</w:t>
        </w:r>
        <w:r w:rsidR="004C547F" w:rsidRPr="004C547F">
          <w:rPr>
            <w:webHidden/>
          </w:rPr>
          <w:tab/>
        </w:r>
        <w:r w:rsidR="004C547F" w:rsidRPr="004C547F">
          <w:rPr>
            <w:webHidden/>
          </w:rPr>
          <w:fldChar w:fldCharType="begin"/>
        </w:r>
        <w:r w:rsidR="004C547F" w:rsidRPr="004C547F">
          <w:rPr>
            <w:webHidden/>
          </w:rPr>
          <w:instrText xml:space="preserve"> PAGEREF _Toc370394716 \h </w:instrText>
        </w:r>
        <w:r w:rsidR="004C547F" w:rsidRPr="004C547F">
          <w:rPr>
            <w:webHidden/>
          </w:rPr>
        </w:r>
        <w:r w:rsidR="004C547F" w:rsidRPr="004C547F">
          <w:rPr>
            <w:webHidden/>
          </w:rPr>
          <w:fldChar w:fldCharType="separate"/>
        </w:r>
        <w:r w:rsidR="00660A8E">
          <w:rPr>
            <w:noProof/>
            <w:webHidden/>
          </w:rPr>
          <w:t>58</w:t>
        </w:r>
        <w:r w:rsidR="004C547F" w:rsidRPr="004C547F">
          <w:rPr>
            <w:webHidden/>
          </w:rPr>
          <w:fldChar w:fldCharType="end"/>
        </w:r>
      </w:hyperlink>
    </w:p>
    <w:p w:rsidR="004C547F" w:rsidRPr="004C547F" w:rsidRDefault="009926D6">
      <w:pPr>
        <w:pStyle w:val="TableofFigures"/>
        <w:rPr>
          <w:rFonts w:eastAsiaTheme="minorEastAsia"/>
        </w:rPr>
      </w:pPr>
      <w:hyperlink w:anchor="_Toc370394717" w:history="1">
        <w:r w:rsidR="004C547F" w:rsidRPr="004C547F">
          <w:t>Figure 47</w:t>
        </w:r>
        <w:r w:rsidR="004C547F" w:rsidRPr="004C547F">
          <w:rPr>
            <w:rFonts w:eastAsiaTheme="minorEastAsia"/>
          </w:rPr>
          <w:tab/>
        </w:r>
        <w:r w:rsidR="004C547F" w:rsidRPr="004C547F">
          <w:t>Demand elasticity of emissions</w:t>
        </w:r>
        <w:r w:rsidR="004C547F" w:rsidRPr="004C547F">
          <w:rPr>
            <w:webHidden/>
          </w:rPr>
          <w:tab/>
        </w:r>
        <w:r w:rsidR="004C547F" w:rsidRPr="004C547F">
          <w:rPr>
            <w:webHidden/>
          </w:rPr>
          <w:fldChar w:fldCharType="begin"/>
        </w:r>
        <w:r w:rsidR="004C547F" w:rsidRPr="004C547F">
          <w:rPr>
            <w:webHidden/>
          </w:rPr>
          <w:instrText xml:space="preserve"> PAGEREF _Toc370394717 \h </w:instrText>
        </w:r>
        <w:r w:rsidR="004C547F" w:rsidRPr="004C547F">
          <w:rPr>
            <w:webHidden/>
          </w:rPr>
        </w:r>
        <w:r w:rsidR="004C547F" w:rsidRPr="004C547F">
          <w:rPr>
            <w:webHidden/>
          </w:rPr>
          <w:fldChar w:fldCharType="separate"/>
        </w:r>
        <w:r w:rsidR="00660A8E">
          <w:rPr>
            <w:noProof/>
            <w:webHidden/>
          </w:rPr>
          <w:t>59</w:t>
        </w:r>
        <w:r w:rsidR="004C547F" w:rsidRPr="004C547F">
          <w:rPr>
            <w:webHidden/>
          </w:rPr>
          <w:fldChar w:fldCharType="end"/>
        </w:r>
      </w:hyperlink>
    </w:p>
    <w:p w:rsidR="004C547F" w:rsidRPr="004C547F" w:rsidRDefault="009926D6">
      <w:pPr>
        <w:pStyle w:val="TableofFigures"/>
        <w:rPr>
          <w:rFonts w:eastAsiaTheme="minorEastAsia"/>
        </w:rPr>
      </w:pPr>
      <w:hyperlink w:anchor="_Toc370394718" w:history="1">
        <w:r w:rsidR="004C547F" w:rsidRPr="004C547F">
          <w:t>Figure 48</w:t>
        </w:r>
        <w:r w:rsidR="004C547F" w:rsidRPr="004C547F">
          <w:rPr>
            <w:rFonts w:eastAsiaTheme="minorEastAsia"/>
          </w:rPr>
          <w:tab/>
        </w:r>
        <w:r w:rsidR="004C547F" w:rsidRPr="004C547F">
          <w:t>Change in emissions per unit change in demand</w:t>
        </w:r>
        <w:r w:rsidR="004C547F" w:rsidRPr="004C547F">
          <w:rPr>
            <w:webHidden/>
          </w:rPr>
          <w:tab/>
        </w:r>
        <w:r w:rsidR="004C547F" w:rsidRPr="004C547F">
          <w:rPr>
            <w:webHidden/>
          </w:rPr>
          <w:fldChar w:fldCharType="begin"/>
        </w:r>
        <w:r w:rsidR="004C547F" w:rsidRPr="004C547F">
          <w:rPr>
            <w:webHidden/>
          </w:rPr>
          <w:instrText xml:space="preserve"> PAGEREF _Toc370394718 \h </w:instrText>
        </w:r>
        <w:r w:rsidR="004C547F" w:rsidRPr="004C547F">
          <w:rPr>
            <w:webHidden/>
          </w:rPr>
        </w:r>
        <w:r w:rsidR="004C547F" w:rsidRPr="004C547F">
          <w:rPr>
            <w:webHidden/>
          </w:rPr>
          <w:fldChar w:fldCharType="separate"/>
        </w:r>
        <w:r w:rsidR="00660A8E">
          <w:rPr>
            <w:noProof/>
            <w:webHidden/>
          </w:rPr>
          <w:t>59</w:t>
        </w:r>
        <w:r w:rsidR="004C547F" w:rsidRPr="004C547F">
          <w:rPr>
            <w:webHidden/>
          </w:rPr>
          <w:fldChar w:fldCharType="end"/>
        </w:r>
      </w:hyperlink>
    </w:p>
    <w:p w:rsidR="004C547F" w:rsidRPr="004C547F" w:rsidRDefault="009926D6">
      <w:pPr>
        <w:pStyle w:val="TableofFigures"/>
        <w:rPr>
          <w:rFonts w:eastAsiaTheme="minorEastAsia"/>
        </w:rPr>
      </w:pPr>
      <w:hyperlink w:anchor="_Toc370394719" w:history="1">
        <w:r w:rsidR="004C547F" w:rsidRPr="004C547F">
          <w:t>Figure 49</w:t>
        </w:r>
        <w:r w:rsidR="004C547F" w:rsidRPr="004C547F">
          <w:rPr>
            <w:rFonts w:eastAsiaTheme="minorEastAsia"/>
          </w:rPr>
          <w:tab/>
        </w:r>
        <w:r w:rsidR="004C547F" w:rsidRPr="004C547F">
          <w:t>Gas price assumptions – fuel price sensitivities</w:t>
        </w:r>
        <w:r w:rsidR="004C547F" w:rsidRPr="004C547F">
          <w:rPr>
            <w:webHidden/>
          </w:rPr>
          <w:tab/>
        </w:r>
        <w:r w:rsidR="004C547F" w:rsidRPr="004C547F">
          <w:rPr>
            <w:webHidden/>
          </w:rPr>
          <w:fldChar w:fldCharType="begin"/>
        </w:r>
        <w:r w:rsidR="004C547F" w:rsidRPr="004C547F">
          <w:rPr>
            <w:webHidden/>
          </w:rPr>
          <w:instrText xml:space="preserve"> PAGEREF _Toc370394719 \h </w:instrText>
        </w:r>
        <w:r w:rsidR="004C547F" w:rsidRPr="004C547F">
          <w:rPr>
            <w:webHidden/>
          </w:rPr>
        </w:r>
        <w:r w:rsidR="004C547F" w:rsidRPr="004C547F">
          <w:rPr>
            <w:webHidden/>
          </w:rPr>
          <w:fldChar w:fldCharType="separate"/>
        </w:r>
        <w:r w:rsidR="00660A8E">
          <w:rPr>
            <w:noProof/>
            <w:webHidden/>
          </w:rPr>
          <w:t>60</w:t>
        </w:r>
        <w:r w:rsidR="004C547F" w:rsidRPr="004C547F">
          <w:rPr>
            <w:webHidden/>
          </w:rPr>
          <w:fldChar w:fldCharType="end"/>
        </w:r>
      </w:hyperlink>
    </w:p>
    <w:p w:rsidR="004C547F" w:rsidRPr="004C547F" w:rsidRDefault="009926D6">
      <w:pPr>
        <w:pStyle w:val="TableofFigures"/>
        <w:rPr>
          <w:rFonts w:eastAsiaTheme="minorEastAsia"/>
        </w:rPr>
      </w:pPr>
      <w:hyperlink w:anchor="_Toc370394720" w:history="1">
        <w:r w:rsidR="004C547F" w:rsidRPr="004C547F">
          <w:t>Figure 50</w:t>
        </w:r>
        <w:r w:rsidR="004C547F" w:rsidRPr="004C547F">
          <w:rPr>
            <w:rFonts w:eastAsiaTheme="minorEastAsia"/>
          </w:rPr>
          <w:tab/>
        </w:r>
        <w:r w:rsidR="004C547F" w:rsidRPr="004C547F">
          <w:t>Coal price assumptions – fuel price sensitivities</w:t>
        </w:r>
        <w:r w:rsidR="004C547F" w:rsidRPr="004C547F">
          <w:rPr>
            <w:webHidden/>
          </w:rPr>
          <w:tab/>
        </w:r>
        <w:r w:rsidR="004C547F" w:rsidRPr="004C547F">
          <w:rPr>
            <w:webHidden/>
          </w:rPr>
          <w:fldChar w:fldCharType="begin"/>
        </w:r>
        <w:r w:rsidR="004C547F" w:rsidRPr="004C547F">
          <w:rPr>
            <w:webHidden/>
          </w:rPr>
          <w:instrText xml:space="preserve"> PAGEREF _Toc370394720 \h </w:instrText>
        </w:r>
        <w:r w:rsidR="004C547F" w:rsidRPr="004C547F">
          <w:rPr>
            <w:webHidden/>
          </w:rPr>
        </w:r>
        <w:r w:rsidR="004C547F" w:rsidRPr="004C547F">
          <w:rPr>
            <w:webHidden/>
          </w:rPr>
          <w:fldChar w:fldCharType="separate"/>
        </w:r>
        <w:r w:rsidR="00660A8E">
          <w:rPr>
            <w:noProof/>
            <w:webHidden/>
          </w:rPr>
          <w:t>60</w:t>
        </w:r>
        <w:r w:rsidR="004C547F" w:rsidRPr="004C547F">
          <w:rPr>
            <w:webHidden/>
          </w:rPr>
          <w:fldChar w:fldCharType="end"/>
        </w:r>
      </w:hyperlink>
    </w:p>
    <w:p w:rsidR="004C547F" w:rsidRPr="004C547F" w:rsidRDefault="009926D6">
      <w:pPr>
        <w:pStyle w:val="TableofFigures"/>
        <w:rPr>
          <w:rFonts w:eastAsiaTheme="minorEastAsia"/>
        </w:rPr>
      </w:pPr>
      <w:hyperlink w:anchor="_Toc370394721" w:history="1">
        <w:r w:rsidR="004C547F" w:rsidRPr="004C547F">
          <w:t>Figure 51</w:t>
        </w:r>
        <w:r w:rsidR="004C547F" w:rsidRPr="004C547F">
          <w:rPr>
            <w:rFonts w:eastAsiaTheme="minorEastAsia"/>
          </w:rPr>
          <w:tab/>
        </w:r>
        <w:r w:rsidR="004C547F" w:rsidRPr="004C547F">
          <w:t>Aggregate emissions – fuel price sensitivities</w:t>
        </w:r>
        <w:r w:rsidR="004C547F" w:rsidRPr="004C547F">
          <w:rPr>
            <w:webHidden/>
          </w:rPr>
          <w:tab/>
        </w:r>
        <w:r w:rsidR="004C547F" w:rsidRPr="004C547F">
          <w:rPr>
            <w:webHidden/>
          </w:rPr>
          <w:fldChar w:fldCharType="begin"/>
        </w:r>
        <w:r w:rsidR="004C547F" w:rsidRPr="004C547F">
          <w:rPr>
            <w:webHidden/>
          </w:rPr>
          <w:instrText xml:space="preserve"> PAGEREF _Toc370394721 \h </w:instrText>
        </w:r>
        <w:r w:rsidR="004C547F" w:rsidRPr="004C547F">
          <w:rPr>
            <w:webHidden/>
          </w:rPr>
        </w:r>
        <w:r w:rsidR="004C547F" w:rsidRPr="004C547F">
          <w:rPr>
            <w:webHidden/>
          </w:rPr>
          <w:fldChar w:fldCharType="separate"/>
        </w:r>
        <w:r w:rsidR="00660A8E">
          <w:rPr>
            <w:noProof/>
            <w:webHidden/>
          </w:rPr>
          <w:t>61</w:t>
        </w:r>
        <w:r w:rsidR="004C547F" w:rsidRPr="004C547F">
          <w:rPr>
            <w:webHidden/>
          </w:rPr>
          <w:fldChar w:fldCharType="end"/>
        </w:r>
      </w:hyperlink>
    </w:p>
    <w:p w:rsidR="004C547F" w:rsidRPr="004C547F" w:rsidRDefault="009926D6">
      <w:pPr>
        <w:pStyle w:val="TableofFigures"/>
        <w:rPr>
          <w:rFonts w:eastAsiaTheme="minorEastAsia"/>
        </w:rPr>
      </w:pPr>
      <w:hyperlink w:anchor="_Toc370394722" w:history="1">
        <w:r w:rsidR="004C547F" w:rsidRPr="004C547F">
          <w:t>Figure 52</w:t>
        </w:r>
        <w:r w:rsidR="004C547F" w:rsidRPr="004C547F">
          <w:rPr>
            <w:rFonts w:eastAsiaTheme="minorEastAsia"/>
          </w:rPr>
          <w:tab/>
        </w:r>
        <w:r w:rsidR="004C547F" w:rsidRPr="004C547F">
          <w:t>Change in emissions relative to Central Policy scenario – fuel price sensitivities</w:t>
        </w:r>
        <w:r w:rsidR="004C547F" w:rsidRPr="004C547F">
          <w:rPr>
            <w:webHidden/>
          </w:rPr>
          <w:tab/>
        </w:r>
        <w:r w:rsidR="004C547F" w:rsidRPr="004C547F">
          <w:rPr>
            <w:webHidden/>
          </w:rPr>
          <w:fldChar w:fldCharType="begin"/>
        </w:r>
        <w:r w:rsidR="004C547F" w:rsidRPr="004C547F">
          <w:rPr>
            <w:webHidden/>
          </w:rPr>
          <w:instrText xml:space="preserve"> PAGEREF _Toc370394722 \h </w:instrText>
        </w:r>
        <w:r w:rsidR="004C547F" w:rsidRPr="004C547F">
          <w:rPr>
            <w:webHidden/>
          </w:rPr>
        </w:r>
        <w:r w:rsidR="004C547F" w:rsidRPr="004C547F">
          <w:rPr>
            <w:webHidden/>
          </w:rPr>
          <w:fldChar w:fldCharType="separate"/>
        </w:r>
        <w:r w:rsidR="00660A8E">
          <w:rPr>
            <w:noProof/>
            <w:webHidden/>
          </w:rPr>
          <w:t>61</w:t>
        </w:r>
        <w:r w:rsidR="004C547F" w:rsidRPr="004C547F">
          <w:rPr>
            <w:webHidden/>
          </w:rPr>
          <w:fldChar w:fldCharType="end"/>
        </w:r>
      </w:hyperlink>
    </w:p>
    <w:p w:rsidR="004C547F" w:rsidRPr="004C547F" w:rsidRDefault="009926D6">
      <w:pPr>
        <w:pStyle w:val="TableofFigures"/>
        <w:rPr>
          <w:rFonts w:eastAsiaTheme="minorEastAsia"/>
        </w:rPr>
      </w:pPr>
      <w:hyperlink w:anchor="_Toc370394723" w:history="1">
        <w:r w:rsidR="004C547F" w:rsidRPr="004C547F">
          <w:t>Figure 53</w:t>
        </w:r>
        <w:r w:rsidR="004C547F" w:rsidRPr="004C547F">
          <w:rPr>
            <w:rFonts w:eastAsiaTheme="minorEastAsia"/>
          </w:rPr>
          <w:tab/>
        </w:r>
        <w:r w:rsidR="004C547F" w:rsidRPr="004C547F">
          <w:t>Generation by fuel type – High Fuel Price sensitivity</w:t>
        </w:r>
        <w:r w:rsidR="004C547F" w:rsidRPr="004C547F">
          <w:rPr>
            <w:webHidden/>
          </w:rPr>
          <w:tab/>
        </w:r>
        <w:r w:rsidR="004C547F" w:rsidRPr="004C547F">
          <w:rPr>
            <w:webHidden/>
          </w:rPr>
          <w:fldChar w:fldCharType="begin"/>
        </w:r>
        <w:r w:rsidR="004C547F" w:rsidRPr="004C547F">
          <w:rPr>
            <w:webHidden/>
          </w:rPr>
          <w:instrText xml:space="preserve"> PAGEREF _Toc370394723 \h </w:instrText>
        </w:r>
        <w:r w:rsidR="004C547F" w:rsidRPr="004C547F">
          <w:rPr>
            <w:webHidden/>
          </w:rPr>
        </w:r>
        <w:r w:rsidR="004C547F" w:rsidRPr="004C547F">
          <w:rPr>
            <w:webHidden/>
          </w:rPr>
          <w:fldChar w:fldCharType="separate"/>
        </w:r>
        <w:r w:rsidR="00660A8E">
          <w:rPr>
            <w:noProof/>
            <w:webHidden/>
          </w:rPr>
          <w:t>62</w:t>
        </w:r>
        <w:r w:rsidR="004C547F" w:rsidRPr="004C547F">
          <w:rPr>
            <w:webHidden/>
          </w:rPr>
          <w:fldChar w:fldCharType="end"/>
        </w:r>
      </w:hyperlink>
    </w:p>
    <w:p w:rsidR="004C547F" w:rsidRPr="004C547F" w:rsidRDefault="009926D6">
      <w:pPr>
        <w:pStyle w:val="TableofFigures"/>
        <w:rPr>
          <w:rFonts w:eastAsiaTheme="minorEastAsia"/>
        </w:rPr>
      </w:pPr>
      <w:hyperlink w:anchor="_Toc370394724" w:history="1">
        <w:r w:rsidR="004C547F" w:rsidRPr="004C547F">
          <w:t>Figure 54</w:t>
        </w:r>
        <w:r w:rsidR="004C547F" w:rsidRPr="004C547F">
          <w:rPr>
            <w:rFonts w:eastAsiaTheme="minorEastAsia"/>
          </w:rPr>
          <w:tab/>
        </w:r>
        <w:r w:rsidR="004C547F" w:rsidRPr="004C547F">
          <w:t>Generation by fuel type – Low Fuel Price sensitivity</w:t>
        </w:r>
        <w:r w:rsidR="004C547F" w:rsidRPr="004C547F">
          <w:rPr>
            <w:webHidden/>
          </w:rPr>
          <w:tab/>
        </w:r>
        <w:r w:rsidR="004C547F" w:rsidRPr="004C547F">
          <w:rPr>
            <w:webHidden/>
          </w:rPr>
          <w:fldChar w:fldCharType="begin"/>
        </w:r>
        <w:r w:rsidR="004C547F" w:rsidRPr="004C547F">
          <w:rPr>
            <w:webHidden/>
          </w:rPr>
          <w:instrText xml:space="preserve"> PAGEREF _Toc370394724 \h </w:instrText>
        </w:r>
        <w:r w:rsidR="004C547F" w:rsidRPr="004C547F">
          <w:rPr>
            <w:webHidden/>
          </w:rPr>
        </w:r>
        <w:r w:rsidR="004C547F" w:rsidRPr="004C547F">
          <w:rPr>
            <w:webHidden/>
          </w:rPr>
          <w:fldChar w:fldCharType="separate"/>
        </w:r>
        <w:r w:rsidR="00660A8E">
          <w:rPr>
            <w:noProof/>
            <w:webHidden/>
          </w:rPr>
          <w:t>62</w:t>
        </w:r>
        <w:r w:rsidR="004C547F" w:rsidRPr="004C547F">
          <w:rPr>
            <w:webHidden/>
          </w:rPr>
          <w:fldChar w:fldCharType="end"/>
        </w:r>
      </w:hyperlink>
    </w:p>
    <w:p w:rsidR="004C547F" w:rsidRPr="004C547F" w:rsidRDefault="009926D6">
      <w:pPr>
        <w:pStyle w:val="TableofFigures"/>
        <w:rPr>
          <w:rFonts w:eastAsiaTheme="minorEastAsia"/>
        </w:rPr>
      </w:pPr>
      <w:hyperlink w:anchor="_Toc370394725" w:history="1">
        <w:r w:rsidR="004C547F" w:rsidRPr="004C547F">
          <w:t>Figure 55</w:t>
        </w:r>
        <w:r w:rsidR="004C547F" w:rsidRPr="004C547F">
          <w:rPr>
            <w:rFonts w:eastAsiaTheme="minorEastAsia"/>
          </w:rPr>
          <w:tab/>
        </w:r>
        <w:r w:rsidR="004C547F" w:rsidRPr="004C547F">
          <w:t>Change in output by generation grouping – High Fuel Price sensitivity</w:t>
        </w:r>
        <w:r w:rsidR="004C547F" w:rsidRPr="004C547F">
          <w:rPr>
            <w:webHidden/>
          </w:rPr>
          <w:tab/>
        </w:r>
        <w:r w:rsidR="004C547F" w:rsidRPr="004C547F">
          <w:rPr>
            <w:webHidden/>
          </w:rPr>
          <w:fldChar w:fldCharType="begin"/>
        </w:r>
        <w:r w:rsidR="004C547F" w:rsidRPr="004C547F">
          <w:rPr>
            <w:webHidden/>
          </w:rPr>
          <w:instrText xml:space="preserve"> PAGEREF _Toc370394725 \h </w:instrText>
        </w:r>
        <w:r w:rsidR="004C547F" w:rsidRPr="004C547F">
          <w:rPr>
            <w:webHidden/>
          </w:rPr>
        </w:r>
        <w:r w:rsidR="004C547F" w:rsidRPr="004C547F">
          <w:rPr>
            <w:webHidden/>
          </w:rPr>
          <w:fldChar w:fldCharType="separate"/>
        </w:r>
        <w:r w:rsidR="00660A8E">
          <w:rPr>
            <w:noProof/>
            <w:webHidden/>
          </w:rPr>
          <w:t>63</w:t>
        </w:r>
        <w:r w:rsidR="004C547F" w:rsidRPr="004C547F">
          <w:rPr>
            <w:webHidden/>
          </w:rPr>
          <w:fldChar w:fldCharType="end"/>
        </w:r>
      </w:hyperlink>
    </w:p>
    <w:p w:rsidR="004C547F" w:rsidRPr="004C547F" w:rsidRDefault="009926D6">
      <w:pPr>
        <w:pStyle w:val="TableofFigures"/>
        <w:rPr>
          <w:rFonts w:eastAsiaTheme="minorEastAsia"/>
        </w:rPr>
      </w:pPr>
      <w:hyperlink w:anchor="_Toc370394726" w:history="1">
        <w:r w:rsidR="004C547F" w:rsidRPr="004C547F">
          <w:t>Figure 56</w:t>
        </w:r>
        <w:r w:rsidR="004C547F" w:rsidRPr="004C547F">
          <w:rPr>
            <w:rFonts w:eastAsiaTheme="minorEastAsia"/>
          </w:rPr>
          <w:tab/>
        </w:r>
        <w:r w:rsidR="004C547F" w:rsidRPr="004C547F">
          <w:t>Change in output by generation grouping – Low Fuel Price sensitivity</w:t>
        </w:r>
        <w:r w:rsidR="004C547F" w:rsidRPr="004C547F">
          <w:rPr>
            <w:webHidden/>
          </w:rPr>
          <w:tab/>
        </w:r>
        <w:r w:rsidR="004C547F" w:rsidRPr="004C547F">
          <w:rPr>
            <w:webHidden/>
          </w:rPr>
          <w:fldChar w:fldCharType="begin"/>
        </w:r>
        <w:r w:rsidR="004C547F" w:rsidRPr="004C547F">
          <w:rPr>
            <w:webHidden/>
          </w:rPr>
          <w:instrText xml:space="preserve"> PAGEREF _Toc370394726 \h </w:instrText>
        </w:r>
        <w:r w:rsidR="004C547F" w:rsidRPr="004C547F">
          <w:rPr>
            <w:webHidden/>
          </w:rPr>
        </w:r>
        <w:r w:rsidR="004C547F" w:rsidRPr="004C547F">
          <w:rPr>
            <w:webHidden/>
          </w:rPr>
          <w:fldChar w:fldCharType="separate"/>
        </w:r>
        <w:r w:rsidR="00660A8E">
          <w:rPr>
            <w:noProof/>
            <w:webHidden/>
          </w:rPr>
          <w:t>63</w:t>
        </w:r>
        <w:r w:rsidR="004C547F" w:rsidRPr="004C547F">
          <w:rPr>
            <w:webHidden/>
          </w:rPr>
          <w:fldChar w:fldCharType="end"/>
        </w:r>
      </w:hyperlink>
    </w:p>
    <w:p w:rsidR="004C547F" w:rsidRPr="004C547F" w:rsidRDefault="009926D6">
      <w:pPr>
        <w:pStyle w:val="TableofFigures"/>
        <w:rPr>
          <w:rFonts w:eastAsiaTheme="minorEastAsia"/>
        </w:rPr>
      </w:pPr>
      <w:hyperlink w:anchor="_Toc370394727" w:history="1">
        <w:r w:rsidR="004C547F" w:rsidRPr="004C547F">
          <w:t>Figure 57</w:t>
        </w:r>
        <w:r w:rsidR="004C547F" w:rsidRPr="004C547F">
          <w:rPr>
            <w:rFonts w:eastAsiaTheme="minorEastAsia"/>
          </w:rPr>
          <w:tab/>
        </w:r>
        <w:r w:rsidR="004C547F" w:rsidRPr="004C547F">
          <w:t>Gas price elasticity of emissions</w:t>
        </w:r>
        <w:r w:rsidR="004C547F" w:rsidRPr="004C547F">
          <w:rPr>
            <w:webHidden/>
          </w:rPr>
          <w:tab/>
        </w:r>
        <w:r w:rsidR="004C547F" w:rsidRPr="004C547F">
          <w:rPr>
            <w:webHidden/>
          </w:rPr>
          <w:fldChar w:fldCharType="begin"/>
        </w:r>
        <w:r w:rsidR="004C547F" w:rsidRPr="004C547F">
          <w:rPr>
            <w:webHidden/>
          </w:rPr>
          <w:instrText xml:space="preserve"> PAGEREF _Toc370394727 \h </w:instrText>
        </w:r>
        <w:r w:rsidR="004C547F" w:rsidRPr="004C547F">
          <w:rPr>
            <w:webHidden/>
          </w:rPr>
        </w:r>
        <w:r w:rsidR="004C547F" w:rsidRPr="004C547F">
          <w:rPr>
            <w:webHidden/>
          </w:rPr>
          <w:fldChar w:fldCharType="separate"/>
        </w:r>
        <w:r w:rsidR="00660A8E">
          <w:rPr>
            <w:noProof/>
            <w:webHidden/>
          </w:rPr>
          <w:t>64</w:t>
        </w:r>
        <w:r w:rsidR="004C547F" w:rsidRPr="004C547F">
          <w:rPr>
            <w:webHidden/>
          </w:rPr>
          <w:fldChar w:fldCharType="end"/>
        </w:r>
      </w:hyperlink>
    </w:p>
    <w:p w:rsidR="004C547F" w:rsidRPr="004C547F" w:rsidRDefault="009926D6">
      <w:pPr>
        <w:pStyle w:val="TableofFigures"/>
        <w:rPr>
          <w:rFonts w:eastAsiaTheme="minorEastAsia"/>
        </w:rPr>
      </w:pPr>
      <w:hyperlink w:anchor="_Toc370394728" w:history="1">
        <w:r w:rsidR="004C547F" w:rsidRPr="004C547F">
          <w:t>Figure 58</w:t>
        </w:r>
        <w:r w:rsidR="004C547F" w:rsidRPr="004C547F">
          <w:rPr>
            <w:rFonts w:eastAsiaTheme="minorEastAsia"/>
          </w:rPr>
          <w:tab/>
        </w:r>
        <w:r w:rsidR="004C547F" w:rsidRPr="004C547F">
          <w:t>Solar PV cost assumptions – technology cost sensitivities</w:t>
        </w:r>
        <w:r w:rsidR="004C547F" w:rsidRPr="004C547F">
          <w:rPr>
            <w:webHidden/>
          </w:rPr>
          <w:tab/>
        </w:r>
        <w:r w:rsidR="004C547F" w:rsidRPr="004C547F">
          <w:rPr>
            <w:webHidden/>
          </w:rPr>
          <w:fldChar w:fldCharType="begin"/>
        </w:r>
        <w:r w:rsidR="004C547F" w:rsidRPr="004C547F">
          <w:rPr>
            <w:webHidden/>
          </w:rPr>
          <w:instrText xml:space="preserve"> PAGEREF _Toc370394728 \h </w:instrText>
        </w:r>
        <w:r w:rsidR="004C547F" w:rsidRPr="004C547F">
          <w:rPr>
            <w:webHidden/>
          </w:rPr>
        </w:r>
        <w:r w:rsidR="004C547F" w:rsidRPr="004C547F">
          <w:rPr>
            <w:webHidden/>
          </w:rPr>
          <w:fldChar w:fldCharType="separate"/>
        </w:r>
        <w:r w:rsidR="00660A8E">
          <w:rPr>
            <w:noProof/>
            <w:webHidden/>
          </w:rPr>
          <w:t>65</w:t>
        </w:r>
        <w:r w:rsidR="004C547F" w:rsidRPr="004C547F">
          <w:rPr>
            <w:webHidden/>
          </w:rPr>
          <w:fldChar w:fldCharType="end"/>
        </w:r>
      </w:hyperlink>
    </w:p>
    <w:p w:rsidR="004C547F" w:rsidRPr="004C547F" w:rsidRDefault="009926D6">
      <w:pPr>
        <w:pStyle w:val="TableofFigures"/>
        <w:rPr>
          <w:rFonts w:eastAsiaTheme="minorEastAsia"/>
        </w:rPr>
      </w:pPr>
      <w:hyperlink w:anchor="_Toc370394729" w:history="1">
        <w:r w:rsidR="004C547F" w:rsidRPr="004C547F">
          <w:t>Figure 59</w:t>
        </w:r>
        <w:r w:rsidR="004C547F" w:rsidRPr="004C547F">
          <w:rPr>
            <w:rFonts w:eastAsiaTheme="minorEastAsia"/>
          </w:rPr>
          <w:tab/>
        </w:r>
        <w:r w:rsidR="004C547F" w:rsidRPr="004C547F">
          <w:t>Aggregate emissions – technology cost sensitivities</w:t>
        </w:r>
        <w:r w:rsidR="004C547F" w:rsidRPr="004C547F">
          <w:rPr>
            <w:webHidden/>
          </w:rPr>
          <w:tab/>
        </w:r>
        <w:r w:rsidR="004C547F" w:rsidRPr="004C547F">
          <w:rPr>
            <w:webHidden/>
          </w:rPr>
          <w:fldChar w:fldCharType="begin"/>
        </w:r>
        <w:r w:rsidR="004C547F" w:rsidRPr="004C547F">
          <w:rPr>
            <w:webHidden/>
          </w:rPr>
          <w:instrText xml:space="preserve"> PAGEREF _Toc370394729 \h </w:instrText>
        </w:r>
        <w:r w:rsidR="004C547F" w:rsidRPr="004C547F">
          <w:rPr>
            <w:webHidden/>
          </w:rPr>
        </w:r>
        <w:r w:rsidR="004C547F" w:rsidRPr="004C547F">
          <w:rPr>
            <w:webHidden/>
          </w:rPr>
          <w:fldChar w:fldCharType="separate"/>
        </w:r>
        <w:r w:rsidR="00660A8E">
          <w:rPr>
            <w:noProof/>
            <w:webHidden/>
          </w:rPr>
          <w:t>66</w:t>
        </w:r>
        <w:r w:rsidR="004C547F" w:rsidRPr="004C547F">
          <w:rPr>
            <w:webHidden/>
          </w:rPr>
          <w:fldChar w:fldCharType="end"/>
        </w:r>
      </w:hyperlink>
    </w:p>
    <w:p w:rsidR="004C547F" w:rsidRPr="004C547F" w:rsidRDefault="009926D6">
      <w:pPr>
        <w:pStyle w:val="TableofFigures"/>
        <w:rPr>
          <w:rFonts w:eastAsiaTheme="minorEastAsia"/>
        </w:rPr>
      </w:pPr>
      <w:hyperlink w:anchor="_Toc370394730" w:history="1">
        <w:r w:rsidR="004C547F" w:rsidRPr="004C547F">
          <w:t>Figure 60</w:t>
        </w:r>
        <w:r w:rsidR="004C547F" w:rsidRPr="004C547F">
          <w:rPr>
            <w:rFonts w:eastAsiaTheme="minorEastAsia"/>
          </w:rPr>
          <w:tab/>
        </w:r>
        <w:r w:rsidR="004C547F" w:rsidRPr="004C547F">
          <w:t>Change in emissions relative to Central Policy scenario – technology cost sensitivities</w:t>
        </w:r>
        <w:r w:rsidR="004C547F" w:rsidRPr="004C547F">
          <w:rPr>
            <w:webHidden/>
          </w:rPr>
          <w:tab/>
        </w:r>
        <w:r w:rsidR="004C547F" w:rsidRPr="004C547F">
          <w:rPr>
            <w:webHidden/>
          </w:rPr>
          <w:fldChar w:fldCharType="begin"/>
        </w:r>
        <w:r w:rsidR="004C547F" w:rsidRPr="004C547F">
          <w:rPr>
            <w:webHidden/>
          </w:rPr>
          <w:instrText xml:space="preserve"> PAGEREF _Toc370394730 \h </w:instrText>
        </w:r>
        <w:r w:rsidR="004C547F" w:rsidRPr="004C547F">
          <w:rPr>
            <w:webHidden/>
          </w:rPr>
        </w:r>
        <w:r w:rsidR="004C547F" w:rsidRPr="004C547F">
          <w:rPr>
            <w:webHidden/>
          </w:rPr>
          <w:fldChar w:fldCharType="separate"/>
        </w:r>
        <w:r w:rsidR="00660A8E">
          <w:rPr>
            <w:noProof/>
            <w:webHidden/>
          </w:rPr>
          <w:t>66</w:t>
        </w:r>
        <w:r w:rsidR="004C547F" w:rsidRPr="004C547F">
          <w:rPr>
            <w:webHidden/>
          </w:rPr>
          <w:fldChar w:fldCharType="end"/>
        </w:r>
      </w:hyperlink>
    </w:p>
    <w:p w:rsidR="004C547F" w:rsidRPr="004C547F" w:rsidRDefault="009926D6">
      <w:pPr>
        <w:pStyle w:val="TableofFigures"/>
        <w:rPr>
          <w:rFonts w:eastAsiaTheme="minorEastAsia"/>
        </w:rPr>
      </w:pPr>
      <w:hyperlink w:anchor="_Toc370394731" w:history="1">
        <w:r w:rsidR="004C547F" w:rsidRPr="004C547F">
          <w:t>Figure 61</w:t>
        </w:r>
        <w:r w:rsidR="004C547F" w:rsidRPr="004C547F">
          <w:rPr>
            <w:rFonts w:eastAsiaTheme="minorEastAsia"/>
          </w:rPr>
          <w:tab/>
        </w:r>
        <w:r w:rsidR="004C547F" w:rsidRPr="004C547F">
          <w:t>Change in output by generation grouping – Fast Improvement sensitivity</w:t>
        </w:r>
        <w:r w:rsidR="004C547F" w:rsidRPr="004C547F">
          <w:rPr>
            <w:webHidden/>
          </w:rPr>
          <w:tab/>
        </w:r>
        <w:r w:rsidR="004C547F" w:rsidRPr="004C547F">
          <w:rPr>
            <w:webHidden/>
          </w:rPr>
          <w:fldChar w:fldCharType="begin"/>
        </w:r>
        <w:r w:rsidR="004C547F" w:rsidRPr="004C547F">
          <w:rPr>
            <w:webHidden/>
          </w:rPr>
          <w:instrText xml:space="preserve"> PAGEREF _Toc370394731 \h </w:instrText>
        </w:r>
        <w:r w:rsidR="004C547F" w:rsidRPr="004C547F">
          <w:rPr>
            <w:webHidden/>
          </w:rPr>
        </w:r>
        <w:r w:rsidR="004C547F" w:rsidRPr="004C547F">
          <w:rPr>
            <w:webHidden/>
          </w:rPr>
          <w:fldChar w:fldCharType="separate"/>
        </w:r>
        <w:r w:rsidR="00660A8E">
          <w:rPr>
            <w:noProof/>
            <w:webHidden/>
          </w:rPr>
          <w:t>67</w:t>
        </w:r>
        <w:r w:rsidR="004C547F" w:rsidRPr="004C547F">
          <w:rPr>
            <w:webHidden/>
          </w:rPr>
          <w:fldChar w:fldCharType="end"/>
        </w:r>
      </w:hyperlink>
    </w:p>
    <w:p w:rsidR="004C547F" w:rsidRPr="004C547F" w:rsidRDefault="009926D6">
      <w:pPr>
        <w:pStyle w:val="TableofFigures"/>
        <w:rPr>
          <w:rFonts w:eastAsiaTheme="minorEastAsia"/>
        </w:rPr>
      </w:pPr>
      <w:hyperlink w:anchor="_Toc370394732" w:history="1">
        <w:r w:rsidR="004C547F" w:rsidRPr="004C547F">
          <w:t>Figure 62</w:t>
        </w:r>
        <w:r w:rsidR="004C547F" w:rsidRPr="004C547F">
          <w:rPr>
            <w:rFonts w:eastAsiaTheme="minorEastAsia"/>
          </w:rPr>
          <w:tab/>
        </w:r>
        <w:r w:rsidR="004C547F" w:rsidRPr="004C547F">
          <w:t>Change in output by generation grouping – Slow Improvement sensitivity</w:t>
        </w:r>
        <w:r w:rsidR="004C547F" w:rsidRPr="004C547F">
          <w:rPr>
            <w:webHidden/>
          </w:rPr>
          <w:tab/>
        </w:r>
        <w:r w:rsidR="004C547F" w:rsidRPr="004C547F">
          <w:rPr>
            <w:webHidden/>
          </w:rPr>
          <w:fldChar w:fldCharType="begin"/>
        </w:r>
        <w:r w:rsidR="004C547F" w:rsidRPr="004C547F">
          <w:rPr>
            <w:webHidden/>
          </w:rPr>
          <w:instrText xml:space="preserve"> PAGEREF _Toc370394732 \h </w:instrText>
        </w:r>
        <w:r w:rsidR="004C547F" w:rsidRPr="004C547F">
          <w:rPr>
            <w:webHidden/>
          </w:rPr>
        </w:r>
        <w:r w:rsidR="004C547F" w:rsidRPr="004C547F">
          <w:rPr>
            <w:webHidden/>
          </w:rPr>
          <w:fldChar w:fldCharType="separate"/>
        </w:r>
        <w:r w:rsidR="00660A8E">
          <w:rPr>
            <w:noProof/>
            <w:webHidden/>
          </w:rPr>
          <w:t>67</w:t>
        </w:r>
        <w:r w:rsidR="004C547F" w:rsidRPr="004C547F">
          <w:rPr>
            <w:webHidden/>
          </w:rPr>
          <w:fldChar w:fldCharType="end"/>
        </w:r>
      </w:hyperlink>
    </w:p>
    <w:p w:rsidR="004C547F" w:rsidRPr="004C547F" w:rsidRDefault="009926D6">
      <w:pPr>
        <w:pStyle w:val="TableofFigures"/>
        <w:rPr>
          <w:rFonts w:eastAsiaTheme="minorEastAsia"/>
        </w:rPr>
      </w:pPr>
      <w:hyperlink w:anchor="_Toc370394733" w:history="1">
        <w:r w:rsidR="004C547F" w:rsidRPr="004C547F">
          <w:t>Figure 63</w:t>
        </w:r>
        <w:r w:rsidR="004C547F" w:rsidRPr="004C547F">
          <w:rPr>
            <w:rFonts w:eastAsiaTheme="minorEastAsia"/>
          </w:rPr>
          <w:tab/>
        </w:r>
        <w:r w:rsidR="004C547F" w:rsidRPr="004C547F">
          <w:t>Change in output by generation grouping – Fast Improvement (unconstrained) sensitivity</w:t>
        </w:r>
        <w:r w:rsidR="004C547F" w:rsidRPr="004C547F">
          <w:rPr>
            <w:webHidden/>
          </w:rPr>
          <w:tab/>
        </w:r>
        <w:r w:rsidR="004C547F" w:rsidRPr="004C547F">
          <w:rPr>
            <w:webHidden/>
          </w:rPr>
          <w:fldChar w:fldCharType="begin"/>
        </w:r>
        <w:r w:rsidR="004C547F" w:rsidRPr="004C547F">
          <w:rPr>
            <w:webHidden/>
          </w:rPr>
          <w:instrText xml:space="preserve"> PAGEREF _Toc370394733 \h </w:instrText>
        </w:r>
        <w:r w:rsidR="004C547F" w:rsidRPr="004C547F">
          <w:rPr>
            <w:webHidden/>
          </w:rPr>
        </w:r>
        <w:r w:rsidR="004C547F" w:rsidRPr="004C547F">
          <w:rPr>
            <w:webHidden/>
          </w:rPr>
          <w:fldChar w:fldCharType="separate"/>
        </w:r>
        <w:r w:rsidR="00660A8E">
          <w:rPr>
            <w:noProof/>
            <w:webHidden/>
          </w:rPr>
          <w:t>68</w:t>
        </w:r>
        <w:r w:rsidR="004C547F" w:rsidRPr="004C547F">
          <w:rPr>
            <w:webHidden/>
          </w:rPr>
          <w:fldChar w:fldCharType="end"/>
        </w:r>
      </w:hyperlink>
    </w:p>
    <w:p w:rsidR="004C547F" w:rsidRPr="004C547F" w:rsidRDefault="009926D6">
      <w:pPr>
        <w:pStyle w:val="TableofFigures"/>
        <w:rPr>
          <w:rFonts w:eastAsiaTheme="minorEastAsia"/>
        </w:rPr>
      </w:pPr>
      <w:hyperlink w:anchor="_Toc370394734" w:history="1">
        <w:r w:rsidR="004C547F" w:rsidRPr="004C547F">
          <w:t>Figure 64</w:t>
        </w:r>
        <w:r w:rsidR="004C547F" w:rsidRPr="004C547F">
          <w:rPr>
            <w:rFonts w:eastAsiaTheme="minorEastAsia"/>
          </w:rPr>
          <w:tab/>
        </w:r>
        <w:r w:rsidR="004C547F" w:rsidRPr="004C547F">
          <w:t>Solar PV capital cost elasticity of emissions</w:t>
        </w:r>
        <w:r w:rsidR="004C547F" w:rsidRPr="004C547F">
          <w:rPr>
            <w:webHidden/>
          </w:rPr>
          <w:tab/>
        </w:r>
        <w:r w:rsidR="004C547F" w:rsidRPr="004C547F">
          <w:rPr>
            <w:webHidden/>
          </w:rPr>
          <w:fldChar w:fldCharType="begin"/>
        </w:r>
        <w:r w:rsidR="004C547F" w:rsidRPr="004C547F">
          <w:rPr>
            <w:webHidden/>
          </w:rPr>
          <w:instrText xml:space="preserve"> PAGEREF _Toc370394734 \h </w:instrText>
        </w:r>
        <w:r w:rsidR="004C547F" w:rsidRPr="004C547F">
          <w:rPr>
            <w:webHidden/>
          </w:rPr>
        </w:r>
        <w:r w:rsidR="004C547F" w:rsidRPr="004C547F">
          <w:rPr>
            <w:webHidden/>
          </w:rPr>
          <w:fldChar w:fldCharType="separate"/>
        </w:r>
        <w:r w:rsidR="00660A8E">
          <w:rPr>
            <w:noProof/>
            <w:webHidden/>
          </w:rPr>
          <w:t>69</w:t>
        </w:r>
        <w:r w:rsidR="004C547F" w:rsidRPr="004C547F">
          <w:rPr>
            <w:webHidden/>
          </w:rPr>
          <w:fldChar w:fldCharType="end"/>
        </w:r>
      </w:hyperlink>
    </w:p>
    <w:p w:rsidR="004C547F" w:rsidRPr="004C547F" w:rsidRDefault="009926D6">
      <w:pPr>
        <w:pStyle w:val="TableofFigures"/>
        <w:rPr>
          <w:rFonts w:eastAsiaTheme="minorEastAsia"/>
        </w:rPr>
      </w:pPr>
      <w:hyperlink w:anchor="_Toc370394735" w:history="1">
        <w:r w:rsidR="004C547F" w:rsidRPr="004C547F">
          <w:t>Figure 65</w:t>
        </w:r>
        <w:r w:rsidR="004C547F" w:rsidRPr="004C547F">
          <w:rPr>
            <w:rFonts w:eastAsiaTheme="minorEastAsia"/>
          </w:rPr>
          <w:tab/>
        </w:r>
        <w:r w:rsidR="004C547F" w:rsidRPr="004C547F">
          <w:t>Aggregate emissions – technology restriction sensitivities</w:t>
        </w:r>
        <w:r w:rsidR="004C547F" w:rsidRPr="004C547F">
          <w:rPr>
            <w:webHidden/>
          </w:rPr>
          <w:tab/>
        </w:r>
        <w:r w:rsidR="004C547F" w:rsidRPr="004C547F">
          <w:rPr>
            <w:webHidden/>
          </w:rPr>
          <w:fldChar w:fldCharType="begin"/>
        </w:r>
        <w:r w:rsidR="004C547F" w:rsidRPr="004C547F">
          <w:rPr>
            <w:webHidden/>
          </w:rPr>
          <w:instrText xml:space="preserve"> PAGEREF _Toc370394735 \h </w:instrText>
        </w:r>
        <w:r w:rsidR="004C547F" w:rsidRPr="004C547F">
          <w:rPr>
            <w:webHidden/>
          </w:rPr>
        </w:r>
        <w:r w:rsidR="004C547F" w:rsidRPr="004C547F">
          <w:rPr>
            <w:webHidden/>
          </w:rPr>
          <w:fldChar w:fldCharType="separate"/>
        </w:r>
        <w:r w:rsidR="00660A8E">
          <w:rPr>
            <w:noProof/>
            <w:webHidden/>
          </w:rPr>
          <w:t>70</w:t>
        </w:r>
        <w:r w:rsidR="004C547F" w:rsidRPr="004C547F">
          <w:rPr>
            <w:webHidden/>
          </w:rPr>
          <w:fldChar w:fldCharType="end"/>
        </w:r>
      </w:hyperlink>
    </w:p>
    <w:p w:rsidR="004C547F" w:rsidRPr="004C547F" w:rsidRDefault="009926D6">
      <w:pPr>
        <w:pStyle w:val="TableofFigures"/>
        <w:rPr>
          <w:rFonts w:eastAsiaTheme="minorEastAsia"/>
        </w:rPr>
      </w:pPr>
      <w:hyperlink w:anchor="_Toc370394736" w:history="1">
        <w:r w:rsidR="004C547F" w:rsidRPr="004C547F">
          <w:t>Figure 66</w:t>
        </w:r>
        <w:r w:rsidR="004C547F" w:rsidRPr="004C547F">
          <w:rPr>
            <w:rFonts w:eastAsiaTheme="minorEastAsia"/>
          </w:rPr>
          <w:tab/>
        </w:r>
        <w:r w:rsidR="004C547F" w:rsidRPr="004C547F">
          <w:t>Emissions change relative to Central Policy scenario – technology restriction sensitivities</w:t>
        </w:r>
        <w:r w:rsidR="004C547F" w:rsidRPr="004C547F">
          <w:rPr>
            <w:webHidden/>
          </w:rPr>
          <w:tab/>
        </w:r>
        <w:r w:rsidR="004C547F" w:rsidRPr="004C547F">
          <w:rPr>
            <w:webHidden/>
          </w:rPr>
          <w:fldChar w:fldCharType="begin"/>
        </w:r>
        <w:r w:rsidR="004C547F" w:rsidRPr="004C547F">
          <w:rPr>
            <w:webHidden/>
          </w:rPr>
          <w:instrText xml:space="preserve"> PAGEREF _Toc370394736 \h </w:instrText>
        </w:r>
        <w:r w:rsidR="004C547F" w:rsidRPr="004C547F">
          <w:rPr>
            <w:webHidden/>
          </w:rPr>
        </w:r>
        <w:r w:rsidR="004C547F" w:rsidRPr="004C547F">
          <w:rPr>
            <w:webHidden/>
          </w:rPr>
          <w:fldChar w:fldCharType="separate"/>
        </w:r>
        <w:r w:rsidR="00660A8E">
          <w:rPr>
            <w:noProof/>
            <w:webHidden/>
          </w:rPr>
          <w:t>70</w:t>
        </w:r>
        <w:r w:rsidR="004C547F" w:rsidRPr="004C547F">
          <w:rPr>
            <w:webHidden/>
          </w:rPr>
          <w:fldChar w:fldCharType="end"/>
        </w:r>
      </w:hyperlink>
    </w:p>
    <w:p w:rsidR="004C547F" w:rsidRPr="004C547F" w:rsidRDefault="009926D6">
      <w:pPr>
        <w:pStyle w:val="TableofFigures"/>
        <w:rPr>
          <w:rFonts w:eastAsiaTheme="minorEastAsia"/>
        </w:rPr>
      </w:pPr>
      <w:hyperlink w:anchor="_Toc370394737" w:history="1">
        <w:r w:rsidR="004C547F" w:rsidRPr="004C547F">
          <w:t>Figure 67</w:t>
        </w:r>
        <w:r w:rsidR="004C547F" w:rsidRPr="004C547F">
          <w:rPr>
            <w:rFonts w:eastAsiaTheme="minorEastAsia"/>
          </w:rPr>
          <w:tab/>
        </w:r>
        <w:r w:rsidR="004C547F" w:rsidRPr="004C547F">
          <w:t>Change in output by generation grouping – no CCS sensitivity</w:t>
        </w:r>
        <w:r w:rsidR="004C547F" w:rsidRPr="004C547F">
          <w:rPr>
            <w:webHidden/>
          </w:rPr>
          <w:tab/>
        </w:r>
        <w:r w:rsidR="004C547F" w:rsidRPr="004C547F">
          <w:rPr>
            <w:webHidden/>
          </w:rPr>
          <w:fldChar w:fldCharType="begin"/>
        </w:r>
        <w:r w:rsidR="004C547F" w:rsidRPr="004C547F">
          <w:rPr>
            <w:webHidden/>
          </w:rPr>
          <w:instrText xml:space="preserve"> PAGEREF _Toc370394737 \h </w:instrText>
        </w:r>
        <w:r w:rsidR="004C547F" w:rsidRPr="004C547F">
          <w:rPr>
            <w:webHidden/>
          </w:rPr>
        </w:r>
        <w:r w:rsidR="004C547F" w:rsidRPr="004C547F">
          <w:rPr>
            <w:webHidden/>
          </w:rPr>
          <w:fldChar w:fldCharType="separate"/>
        </w:r>
        <w:r w:rsidR="00660A8E">
          <w:rPr>
            <w:noProof/>
            <w:webHidden/>
          </w:rPr>
          <w:t>71</w:t>
        </w:r>
        <w:r w:rsidR="004C547F" w:rsidRPr="004C547F">
          <w:rPr>
            <w:webHidden/>
          </w:rPr>
          <w:fldChar w:fldCharType="end"/>
        </w:r>
      </w:hyperlink>
    </w:p>
    <w:p w:rsidR="004C547F" w:rsidRPr="004C547F" w:rsidRDefault="009926D6">
      <w:pPr>
        <w:pStyle w:val="TableofFigures"/>
        <w:rPr>
          <w:rFonts w:eastAsiaTheme="minorEastAsia"/>
        </w:rPr>
      </w:pPr>
      <w:hyperlink w:anchor="_Toc370394738" w:history="1">
        <w:r w:rsidR="004C547F" w:rsidRPr="004C547F">
          <w:t>Figure 68</w:t>
        </w:r>
        <w:r w:rsidR="004C547F" w:rsidRPr="004C547F">
          <w:rPr>
            <w:rFonts w:eastAsiaTheme="minorEastAsia"/>
          </w:rPr>
          <w:tab/>
        </w:r>
        <w:r w:rsidR="004C547F" w:rsidRPr="004C547F">
          <w:t>Change in output by generation grouping – no Geothermal sensitivity</w:t>
        </w:r>
        <w:r w:rsidR="004C547F" w:rsidRPr="004C547F">
          <w:rPr>
            <w:webHidden/>
          </w:rPr>
          <w:tab/>
        </w:r>
        <w:r w:rsidR="004C547F" w:rsidRPr="004C547F">
          <w:rPr>
            <w:webHidden/>
          </w:rPr>
          <w:fldChar w:fldCharType="begin"/>
        </w:r>
        <w:r w:rsidR="004C547F" w:rsidRPr="004C547F">
          <w:rPr>
            <w:webHidden/>
          </w:rPr>
          <w:instrText xml:space="preserve"> PAGEREF _Toc370394738 \h </w:instrText>
        </w:r>
        <w:r w:rsidR="004C547F" w:rsidRPr="004C547F">
          <w:rPr>
            <w:webHidden/>
          </w:rPr>
        </w:r>
        <w:r w:rsidR="004C547F" w:rsidRPr="004C547F">
          <w:rPr>
            <w:webHidden/>
          </w:rPr>
          <w:fldChar w:fldCharType="separate"/>
        </w:r>
        <w:r w:rsidR="00660A8E">
          <w:rPr>
            <w:noProof/>
            <w:webHidden/>
          </w:rPr>
          <w:t>71</w:t>
        </w:r>
        <w:r w:rsidR="004C547F" w:rsidRPr="004C547F">
          <w:rPr>
            <w:webHidden/>
          </w:rPr>
          <w:fldChar w:fldCharType="end"/>
        </w:r>
      </w:hyperlink>
    </w:p>
    <w:p w:rsidR="004C547F" w:rsidRPr="004C547F" w:rsidRDefault="009926D6">
      <w:pPr>
        <w:pStyle w:val="TableofFigures"/>
        <w:rPr>
          <w:rFonts w:eastAsiaTheme="minorEastAsia"/>
        </w:rPr>
      </w:pPr>
      <w:hyperlink w:anchor="_Toc370394739" w:history="1">
        <w:r w:rsidR="004C547F" w:rsidRPr="004C547F">
          <w:t>Figure 69</w:t>
        </w:r>
        <w:r w:rsidR="004C547F" w:rsidRPr="004C547F">
          <w:rPr>
            <w:rFonts w:eastAsiaTheme="minorEastAsia"/>
          </w:rPr>
          <w:tab/>
        </w:r>
        <w:r w:rsidR="004C547F" w:rsidRPr="004C547F">
          <w:t>Change in output by generation grouping – no CCS or Geothermal sensitivity</w:t>
        </w:r>
        <w:r w:rsidR="004C547F" w:rsidRPr="004C547F">
          <w:rPr>
            <w:webHidden/>
          </w:rPr>
          <w:tab/>
        </w:r>
        <w:r w:rsidR="004C547F" w:rsidRPr="004C547F">
          <w:rPr>
            <w:webHidden/>
          </w:rPr>
          <w:fldChar w:fldCharType="begin"/>
        </w:r>
        <w:r w:rsidR="004C547F" w:rsidRPr="004C547F">
          <w:rPr>
            <w:webHidden/>
          </w:rPr>
          <w:instrText xml:space="preserve"> PAGEREF _Toc370394739 \h </w:instrText>
        </w:r>
        <w:r w:rsidR="004C547F" w:rsidRPr="004C547F">
          <w:rPr>
            <w:webHidden/>
          </w:rPr>
        </w:r>
        <w:r w:rsidR="004C547F" w:rsidRPr="004C547F">
          <w:rPr>
            <w:webHidden/>
          </w:rPr>
          <w:fldChar w:fldCharType="separate"/>
        </w:r>
        <w:r w:rsidR="00660A8E">
          <w:rPr>
            <w:noProof/>
            <w:webHidden/>
          </w:rPr>
          <w:t>72</w:t>
        </w:r>
        <w:r w:rsidR="004C547F" w:rsidRPr="004C547F">
          <w:rPr>
            <w:webHidden/>
          </w:rPr>
          <w:fldChar w:fldCharType="end"/>
        </w:r>
      </w:hyperlink>
    </w:p>
    <w:p w:rsidR="004C547F" w:rsidRPr="004C547F" w:rsidRDefault="009926D6">
      <w:pPr>
        <w:pStyle w:val="TableofFigures"/>
        <w:rPr>
          <w:rFonts w:eastAsiaTheme="minorEastAsia"/>
        </w:rPr>
      </w:pPr>
      <w:hyperlink w:anchor="_Toc370394740" w:history="1">
        <w:r w:rsidR="004C547F" w:rsidRPr="004C547F">
          <w:t>Figure 70</w:t>
        </w:r>
        <w:r w:rsidR="004C547F" w:rsidRPr="004C547F">
          <w:rPr>
            <w:rFonts w:eastAsiaTheme="minorEastAsia"/>
          </w:rPr>
          <w:tab/>
        </w:r>
        <w:r w:rsidR="004C547F" w:rsidRPr="004C547F">
          <w:t>Change in emissions from Central Policy scenario – all sensitivities</w:t>
        </w:r>
        <w:r w:rsidR="004C547F" w:rsidRPr="004C547F">
          <w:rPr>
            <w:webHidden/>
          </w:rPr>
          <w:tab/>
        </w:r>
        <w:r w:rsidR="004C547F" w:rsidRPr="004C547F">
          <w:rPr>
            <w:webHidden/>
          </w:rPr>
          <w:fldChar w:fldCharType="begin"/>
        </w:r>
        <w:r w:rsidR="004C547F" w:rsidRPr="004C547F">
          <w:rPr>
            <w:webHidden/>
          </w:rPr>
          <w:instrText xml:space="preserve"> PAGEREF _Toc370394740 \h </w:instrText>
        </w:r>
        <w:r w:rsidR="004C547F" w:rsidRPr="004C547F">
          <w:rPr>
            <w:webHidden/>
          </w:rPr>
        </w:r>
        <w:r w:rsidR="004C547F" w:rsidRPr="004C547F">
          <w:rPr>
            <w:webHidden/>
          </w:rPr>
          <w:fldChar w:fldCharType="separate"/>
        </w:r>
        <w:r w:rsidR="00660A8E">
          <w:rPr>
            <w:noProof/>
            <w:webHidden/>
          </w:rPr>
          <w:t>72</w:t>
        </w:r>
        <w:r w:rsidR="004C547F" w:rsidRPr="004C547F">
          <w:rPr>
            <w:webHidden/>
          </w:rPr>
          <w:fldChar w:fldCharType="end"/>
        </w:r>
      </w:hyperlink>
    </w:p>
    <w:p w:rsidR="004C547F" w:rsidRPr="004C547F" w:rsidRDefault="009926D6">
      <w:pPr>
        <w:pStyle w:val="TableofFigures"/>
        <w:rPr>
          <w:rFonts w:eastAsiaTheme="minorEastAsia"/>
        </w:rPr>
      </w:pPr>
      <w:hyperlink w:anchor="_Toc370394741" w:history="1">
        <w:r w:rsidR="004C547F" w:rsidRPr="004C547F">
          <w:t xml:space="preserve">Figure </w:t>
        </w:r>
        <w:r w:rsidR="004C547F" w:rsidRPr="004C547F">
          <w:rPr>
            <w:lang w:val="en-US"/>
          </w:rPr>
          <w:t>A</w:t>
        </w:r>
        <w:r w:rsidR="004C547F" w:rsidRPr="004C547F">
          <w:t>1</w:t>
        </w:r>
        <w:r w:rsidR="004C547F" w:rsidRPr="004C547F">
          <w:rPr>
            <w:rFonts w:eastAsiaTheme="minorEastAsia"/>
          </w:rPr>
          <w:tab/>
        </w:r>
        <w:r w:rsidR="004C547F" w:rsidRPr="004C547F">
          <w:t>Comparison of 100 point sampled LDC with hourly trace (MW)</w:t>
        </w:r>
        <w:r w:rsidR="004C547F" w:rsidRPr="004C547F">
          <w:rPr>
            <w:webHidden/>
          </w:rPr>
          <w:tab/>
        </w:r>
        <w:r w:rsidR="004C547F" w:rsidRPr="004C547F">
          <w:rPr>
            <w:webHidden/>
          </w:rPr>
          <w:fldChar w:fldCharType="begin"/>
        </w:r>
        <w:r w:rsidR="004C547F" w:rsidRPr="004C547F">
          <w:rPr>
            <w:webHidden/>
          </w:rPr>
          <w:instrText xml:space="preserve"> PAGEREF _Toc370394741 \h </w:instrText>
        </w:r>
        <w:r w:rsidR="004C547F" w:rsidRPr="004C547F">
          <w:rPr>
            <w:webHidden/>
          </w:rPr>
        </w:r>
        <w:r w:rsidR="004C547F" w:rsidRPr="004C547F">
          <w:rPr>
            <w:webHidden/>
          </w:rPr>
          <w:fldChar w:fldCharType="separate"/>
        </w:r>
        <w:r w:rsidR="00660A8E">
          <w:rPr>
            <w:noProof/>
            <w:webHidden/>
          </w:rPr>
          <w:t>A-1</w:t>
        </w:r>
        <w:r w:rsidR="004C547F" w:rsidRPr="004C547F">
          <w:rPr>
            <w:webHidden/>
          </w:rPr>
          <w:fldChar w:fldCharType="end"/>
        </w:r>
      </w:hyperlink>
    </w:p>
    <w:p w:rsidR="004C547F" w:rsidRPr="004C547F" w:rsidRDefault="009926D6">
      <w:pPr>
        <w:pStyle w:val="TableofFigures"/>
        <w:rPr>
          <w:rFonts w:eastAsiaTheme="minorEastAsia"/>
        </w:rPr>
      </w:pPr>
      <w:hyperlink w:anchor="_Toc370394742" w:history="1">
        <w:r w:rsidR="004C547F" w:rsidRPr="004C547F">
          <w:t xml:space="preserve">Figure </w:t>
        </w:r>
        <w:r w:rsidR="004C547F" w:rsidRPr="004C547F">
          <w:rPr>
            <w:lang w:val="en-US"/>
          </w:rPr>
          <w:t>B</w:t>
        </w:r>
        <w:r w:rsidR="004C547F" w:rsidRPr="004C547F">
          <w:t>1</w:t>
        </w:r>
        <w:r w:rsidR="004C547F" w:rsidRPr="004C547F">
          <w:rPr>
            <w:rFonts w:eastAsiaTheme="minorEastAsia"/>
          </w:rPr>
          <w:tab/>
        </w:r>
        <w:r w:rsidR="004C547F" w:rsidRPr="004C547F">
          <w:t>LGC supply demand balance 2001 to 2030</w:t>
        </w:r>
        <w:r w:rsidR="004C547F" w:rsidRPr="004C547F">
          <w:rPr>
            <w:webHidden/>
          </w:rPr>
          <w:tab/>
        </w:r>
        <w:r w:rsidR="004C547F" w:rsidRPr="004C547F">
          <w:rPr>
            <w:webHidden/>
          </w:rPr>
          <w:fldChar w:fldCharType="begin"/>
        </w:r>
        <w:r w:rsidR="004C547F" w:rsidRPr="004C547F">
          <w:rPr>
            <w:webHidden/>
          </w:rPr>
          <w:instrText xml:space="preserve"> PAGEREF _Toc370394742 \h </w:instrText>
        </w:r>
        <w:r w:rsidR="004C547F" w:rsidRPr="004C547F">
          <w:rPr>
            <w:webHidden/>
          </w:rPr>
        </w:r>
        <w:r w:rsidR="004C547F" w:rsidRPr="004C547F">
          <w:rPr>
            <w:webHidden/>
          </w:rPr>
          <w:fldChar w:fldCharType="separate"/>
        </w:r>
        <w:r w:rsidR="00660A8E">
          <w:rPr>
            <w:noProof/>
            <w:webHidden/>
          </w:rPr>
          <w:t>B-3</w:t>
        </w:r>
        <w:r w:rsidR="004C547F" w:rsidRPr="004C547F">
          <w:rPr>
            <w:webHidden/>
          </w:rPr>
          <w:fldChar w:fldCharType="end"/>
        </w:r>
      </w:hyperlink>
    </w:p>
    <w:p w:rsidR="0081772A" w:rsidRDefault="0081772A" w:rsidP="003739E4">
      <w:pPr>
        <w:pStyle w:val="TableofFigures"/>
      </w:pPr>
      <w:r w:rsidRPr="004C547F">
        <w:fldChar w:fldCharType="end"/>
      </w:r>
    </w:p>
    <w:p w:rsidR="0081772A" w:rsidRDefault="0081772A" w:rsidP="003739E4">
      <w:pPr>
        <w:pStyle w:val="TOAHeading"/>
      </w:pPr>
      <w:r>
        <w:t>List of tables</w:t>
      </w:r>
    </w:p>
    <w:p w:rsidR="004C547F" w:rsidRPr="004C547F" w:rsidRDefault="0081772A">
      <w:pPr>
        <w:pStyle w:val="TableofFigures"/>
        <w:rPr>
          <w:rFonts w:eastAsiaTheme="minorEastAsia"/>
        </w:rPr>
      </w:pPr>
      <w:r w:rsidRPr="004D18B4">
        <w:fldChar w:fldCharType="begin"/>
      </w:r>
      <w:r w:rsidRPr="004D18B4">
        <w:instrText xml:space="preserve"> TOC </w:instrText>
      </w:r>
      <w:r>
        <w:instrText>\h \z</w:instrText>
      </w:r>
      <w:r w:rsidRPr="004D18B4">
        <w:instrText xml:space="preserve"> \c "Table" </w:instrText>
      </w:r>
      <w:r>
        <w:instrText>\*FirstCap</w:instrText>
      </w:r>
      <w:r w:rsidRPr="004D18B4">
        <w:fldChar w:fldCharType="separate"/>
      </w:r>
      <w:hyperlink w:anchor="_Toc370394743" w:history="1">
        <w:r w:rsidR="004C547F" w:rsidRPr="004C547F">
          <w:t>Table 1</w:t>
        </w:r>
        <w:r w:rsidR="004C547F" w:rsidRPr="004C547F">
          <w:rPr>
            <w:rFonts w:eastAsiaTheme="minorEastAsia"/>
          </w:rPr>
          <w:tab/>
        </w:r>
        <w:r w:rsidR="004C547F" w:rsidRPr="004C547F">
          <w:t>Existing and committed generators: type, capacity and life</w:t>
        </w:r>
        <w:r w:rsidR="004C547F" w:rsidRPr="004C547F">
          <w:rPr>
            <w:webHidden/>
          </w:rPr>
          <w:tab/>
        </w:r>
        <w:r w:rsidR="004C547F" w:rsidRPr="004C547F">
          <w:rPr>
            <w:webHidden/>
          </w:rPr>
          <w:fldChar w:fldCharType="begin"/>
        </w:r>
        <w:r w:rsidR="004C547F" w:rsidRPr="004C547F">
          <w:rPr>
            <w:webHidden/>
          </w:rPr>
          <w:instrText xml:space="preserve"> PAGEREF _Toc370394743 \h </w:instrText>
        </w:r>
        <w:r w:rsidR="004C547F" w:rsidRPr="004C547F">
          <w:rPr>
            <w:webHidden/>
          </w:rPr>
        </w:r>
        <w:r w:rsidR="004C547F" w:rsidRPr="004C547F">
          <w:rPr>
            <w:webHidden/>
          </w:rPr>
          <w:fldChar w:fldCharType="separate"/>
        </w:r>
        <w:r w:rsidR="00660A8E">
          <w:rPr>
            <w:noProof/>
            <w:webHidden/>
          </w:rPr>
          <w:t>9</w:t>
        </w:r>
        <w:r w:rsidR="004C547F" w:rsidRPr="004C547F">
          <w:rPr>
            <w:webHidden/>
          </w:rPr>
          <w:fldChar w:fldCharType="end"/>
        </w:r>
      </w:hyperlink>
    </w:p>
    <w:p w:rsidR="004C547F" w:rsidRPr="004C547F" w:rsidRDefault="009926D6">
      <w:pPr>
        <w:pStyle w:val="TableofFigures"/>
        <w:rPr>
          <w:rFonts w:eastAsiaTheme="minorEastAsia"/>
        </w:rPr>
      </w:pPr>
      <w:hyperlink w:anchor="_Toc370394744" w:history="1">
        <w:r w:rsidR="004C547F" w:rsidRPr="004C547F">
          <w:t>Table 2</w:t>
        </w:r>
        <w:r w:rsidR="004C547F" w:rsidRPr="004C547F">
          <w:rPr>
            <w:rFonts w:eastAsiaTheme="minorEastAsia"/>
          </w:rPr>
          <w:tab/>
        </w:r>
        <w:r w:rsidR="004C547F" w:rsidRPr="004C547F">
          <w:t>Existing and committed generators: efficiency, emissions and O&amp;M costs</w:t>
        </w:r>
        <w:r w:rsidR="004C547F" w:rsidRPr="004C547F">
          <w:rPr>
            <w:webHidden/>
          </w:rPr>
          <w:tab/>
        </w:r>
        <w:r w:rsidR="004C547F" w:rsidRPr="004C547F">
          <w:rPr>
            <w:webHidden/>
          </w:rPr>
          <w:fldChar w:fldCharType="begin"/>
        </w:r>
        <w:r w:rsidR="004C547F" w:rsidRPr="004C547F">
          <w:rPr>
            <w:webHidden/>
          </w:rPr>
          <w:instrText xml:space="preserve"> PAGEREF _Toc370394744 \h </w:instrText>
        </w:r>
        <w:r w:rsidR="004C547F" w:rsidRPr="004C547F">
          <w:rPr>
            <w:webHidden/>
          </w:rPr>
        </w:r>
        <w:r w:rsidR="004C547F" w:rsidRPr="004C547F">
          <w:rPr>
            <w:webHidden/>
          </w:rPr>
          <w:fldChar w:fldCharType="separate"/>
        </w:r>
        <w:r w:rsidR="00660A8E">
          <w:rPr>
            <w:noProof/>
            <w:webHidden/>
          </w:rPr>
          <w:t>12</w:t>
        </w:r>
        <w:r w:rsidR="004C547F" w:rsidRPr="004C547F">
          <w:rPr>
            <w:webHidden/>
          </w:rPr>
          <w:fldChar w:fldCharType="end"/>
        </w:r>
      </w:hyperlink>
    </w:p>
    <w:p w:rsidR="004C547F" w:rsidRPr="004C547F" w:rsidRDefault="009926D6">
      <w:pPr>
        <w:pStyle w:val="TableofFigures"/>
        <w:rPr>
          <w:rFonts w:eastAsiaTheme="minorEastAsia"/>
        </w:rPr>
      </w:pPr>
      <w:hyperlink w:anchor="_Toc370394745" w:history="1">
        <w:r w:rsidR="004C547F" w:rsidRPr="004C547F">
          <w:t>Table 3</w:t>
        </w:r>
        <w:r w:rsidR="004C547F" w:rsidRPr="004C547F">
          <w:rPr>
            <w:rFonts w:eastAsiaTheme="minorEastAsia"/>
          </w:rPr>
          <w:tab/>
        </w:r>
        <w:r w:rsidR="004C547F" w:rsidRPr="004C547F">
          <w:t>Base capital costs and cost component splits</w:t>
        </w:r>
        <w:r w:rsidR="004C547F" w:rsidRPr="004C547F">
          <w:rPr>
            <w:webHidden/>
          </w:rPr>
          <w:tab/>
        </w:r>
        <w:r w:rsidR="004C547F" w:rsidRPr="004C547F">
          <w:rPr>
            <w:webHidden/>
          </w:rPr>
          <w:fldChar w:fldCharType="begin"/>
        </w:r>
        <w:r w:rsidR="004C547F" w:rsidRPr="004C547F">
          <w:rPr>
            <w:webHidden/>
          </w:rPr>
          <w:instrText xml:space="preserve"> PAGEREF _Toc370394745 \h </w:instrText>
        </w:r>
        <w:r w:rsidR="004C547F" w:rsidRPr="004C547F">
          <w:rPr>
            <w:webHidden/>
          </w:rPr>
        </w:r>
        <w:r w:rsidR="004C547F" w:rsidRPr="004C547F">
          <w:rPr>
            <w:webHidden/>
          </w:rPr>
          <w:fldChar w:fldCharType="separate"/>
        </w:r>
        <w:r w:rsidR="00660A8E">
          <w:rPr>
            <w:noProof/>
            <w:webHidden/>
          </w:rPr>
          <w:t>17</w:t>
        </w:r>
        <w:r w:rsidR="004C547F" w:rsidRPr="004C547F">
          <w:rPr>
            <w:webHidden/>
          </w:rPr>
          <w:fldChar w:fldCharType="end"/>
        </w:r>
      </w:hyperlink>
    </w:p>
    <w:p w:rsidR="004C547F" w:rsidRPr="004C547F" w:rsidRDefault="009926D6">
      <w:pPr>
        <w:pStyle w:val="TableofFigures"/>
        <w:rPr>
          <w:rFonts w:eastAsiaTheme="minorEastAsia"/>
        </w:rPr>
      </w:pPr>
      <w:hyperlink w:anchor="_Toc370394746" w:history="1">
        <w:r w:rsidR="004C547F" w:rsidRPr="004C547F">
          <w:t>Table 4</w:t>
        </w:r>
        <w:r w:rsidR="004C547F" w:rsidRPr="004C547F">
          <w:rPr>
            <w:rFonts w:eastAsiaTheme="minorEastAsia"/>
          </w:rPr>
          <w:tab/>
        </w:r>
        <w:r w:rsidR="004C547F" w:rsidRPr="004C547F">
          <w:t>Learning rates from GALLM for various technologies from AETA 2012 (cost index relative to 2011-12)</w:t>
        </w:r>
        <w:r w:rsidR="004C547F" w:rsidRPr="004C547F">
          <w:rPr>
            <w:webHidden/>
          </w:rPr>
          <w:tab/>
        </w:r>
        <w:r w:rsidR="004C547F" w:rsidRPr="004C547F">
          <w:rPr>
            <w:webHidden/>
          </w:rPr>
          <w:fldChar w:fldCharType="begin"/>
        </w:r>
        <w:r w:rsidR="004C547F" w:rsidRPr="004C547F">
          <w:rPr>
            <w:webHidden/>
          </w:rPr>
          <w:instrText xml:space="preserve"> PAGEREF _Toc370394746 \h </w:instrText>
        </w:r>
        <w:r w:rsidR="004C547F" w:rsidRPr="004C547F">
          <w:rPr>
            <w:webHidden/>
          </w:rPr>
        </w:r>
        <w:r w:rsidR="004C547F" w:rsidRPr="004C547F">
          <w:rPr>
            <w:webHidden/>
          </w:rPr>
          <w:fldChar w:fldCharType="separate"/>
        </w:r>
        <w:r w:rsidR="00660A8E">
          <w:rPr>
            <w:noProof/>
            <w:webHidden/>
          </w:rPr>
          <w:t>20</w:t>
        </w:r>
        <w:r w:rsidR="004C547F" w:rsidRPr="004C547F">
          <w:rPr>
            <w:webHidden/>
          </w:rPr>
          <w:fldChar w:fldCharType="end"/>
        </w:r>
      </w:hyperlink>
    </w:p>
    <w:p w:rsidR="004C547F" w:rsidRPr="004C547F" w:rsidRDefault="009926D6">
      <w:pPr>
        <w:pStyle w:val="TableofFigures"/>
        <w:rPr>
          <w:rFonts w:eastAsiaTheme="minorEastAsia"/>
        </w:rPr>
      </w:pPr>
      <w:hyperlink w:anchor="_Toc370394747" w:history="1">
        <w:r w:rsidR="004C547F" w:rsidRPr="004C547F">
          <w:t>Table 5</w:t>
        </w:r>
        <w:r w:rsidR="004C547F" w:rsidRPr="004C547F">
          <w:rPr>
            <w:rFonts w:eastAsiaTheme="minorEastAsia"/>
          </w:rPr>
          <w:tab/>
        </w:r>
        <w:r w:rsidR="004C547F" w:rsidRPr="004C547F">
          <w:t>Final capital costs for new entrant technologies for selected years – Central Policy scenario (Real 2011-12 $/kW installed)</w:t>
        </w:r>
        <w:r w:rsidR="004C547F" w:rsidRPr="004C547F">
          <w:rPr>
            <w:webHidden/>
          </w:rPr>
          <w:tab/>
        </w:r>
        <w:r w:rsidR="004C547F" w:rsidRPr="004C547F">
          <w:rPr>
            <w:webHidden/>
          </w:rPr>
          <w:fldChar w:fldCharType="begin"/>
        </w:r>
        <w:r w:rsidR="004C547F" w:rsidRPr="004C547F">
          <w:rPr>
            <w:webHidden/>
          </w:rPr>
          <w:instrText xml:space="preserve"> PAGEREF _Toc370394747 \h </w:instrText>
        </w:r>
        <w:r w:rsidR="004C547F" w:rsidRPr="004C547F">
          <w:rPr>
            <w:webHidden/>
          </w:rPr>
        </w:r>
        <w:r w:rsidR="004C547F" w:rsidRPr="004C547F">
          <w:rPr>
            <w:webHidden/>
          </w:rPr>
          <w:fldChar w:fldCharType="separate"/>
        </w:r>
        <w:r w:rsidR="00660A8E">
          <w:rPr>
            <w:noProof/>
            <w:webHidden/>
          </w:rPr>
          <w:t>21</w:t>
        </w:r>
        <w:r w:rsidR="004C547F" w:rsidRPr="004C547F">
          <w:rPr>
            <w:webHidden/>
          </w:rPr>
          <w:fldChar w:fldCharType="end"/>
        </w:r>
      </w:hyperlink>
    </w:p>
    <w:p w:rsidR="004C547F" w:rsidRPr="004C547F" w:rsidRDefault="009926D6">
      <w:pPr>
        <w:pStyle w:val="TableofFigures"/>
        <w:rPr>
          <w:rFonts w:eastAsiaTheme="minorEastAsia"/>
        </w:rPr>
      </w:pPr>
      <w:hyperlink w:anchor="_Toc370394748" w:history="1">
        <w:r w:rsidR="004C547F" w:rsidRPr="004C547F">
          <w:t>Table 6</w:t>
        </w:r>
        <w:r w:rsidR="004C547F" w:rsidRPr="004C547F">
          <w:rPr>
            <w:rFonts w:eastAsiaTheme="minorEastAsia"/>
          </w:rPr>
          <w:tab/>
        </w:r>
        <w:r w:rsidR="004C547F" w:rsidRPr="004C547F">
          <w:t>Average real year-on-year capital cost change for each decade – Central Policy scenario</w:t>
        </w:r>
        <w:r w:rsidR="004C547F" w:rsidRPr="004C547F">
          <w:rPr>
            <w:webHidden/>
          </w:rPr>
          <w:tab/>
        </w:r>
        <w:r w:rsidR="004C547F" w:rsidRPr="004C547F">
          <w:rPr>
            <w:webHidden/>
          </w:rPr>
          <w:fldChar w:fldCharType="begin"/>
        </w:r>
        <w:r w:rsidR="004C547F" w:rsidRPr="004C547F">
          <w:rPr>
            <w:webHidden/>
          </w:rPr>
          <w:instrText xml:space="preserve"> PAGEREF _Toc370394748 \h </w:instrText>
        </w:r>
        <w:r w:rsidR="004C547F" w:rsidRPr="004C547F">
          <w:rPr>
            <w:webHidden/>
          </w:rPr>
        </w:r>
        <w:r w:rsidR="004C547F" w:rsidRPr="004C547F">
          <w:rPr>
            <w:webHidden/>
          </w:rPr>
          <w:fldChar w:fldCharType="separate"/>
        </w:r>
        <w:r w:rsidR="00660A8E">
          <w:rPr>
            <w:noProof/>
            <w:webHidden/>
          </w:rPr>
          <w:t>24</w:t>
        </w:r>
        <w:r w:rsidR="004C547F" w:rsidRPr="004C547F">
          <w:rPr>
            <w:webHidden/>
          </w:rPr>
          <w:fldChar w:fldCharType="end"/>
        </w:r>
      </w:hyperlink>
    </w:p>
    <w:p w:rsidR="004C547F" w:rsidRPr="004C547F" w:rsidRDefault="009926D6">
      <w:pPr>
        <w:pStyle w:val="TableofFigures"/>
        <w:rPr>
          <w:rFonts w:eastAsiaTheme="minorEastAsia"/>
        </w:rPr>
      </w:pPr>
      <w:hyperlink w:anchor="_Toc370394749" w:history="1">
        <w:r w:rsidR="004C547F" w:rsidRPr="004C547F">
          <w:t>Table 7</w:t>
        </w:r>
        <w:r w:rsidR="004C547F" w:rsidRPr="004C547F">
          <w:rPr>
            <w:rFonts w:eastAsiaTheme="minorEastAsia"/>
          </w:rPr>
          <w:tab/>
        </w:r>
        <w:r w:rsidR="004C547F" w:rsidRPr="004C547F">
          <w:t>New entrant parameters</w:t>
        </w:r>
        <w:r w:rsidR="004C547F" w:rsidRPr="004C547F">
          <w:rPr>
            <w:webHidden/>
          </w:rPr>
          <w:tab/>
        </w:r>
        <w:r w:rsidR="004C547F" w:rsidRPr="004C547F">
          <w:rPr>
            <w:webHidden/>
          </w:rPr>
          <w:fldChar w:fldCharType="begin"/>
        </w:r>
        <w:r w:rsidR="004C547F" w:rsidRPr="004C547F">
          <w:rPr>
            <w:webHidden/>
          </w:rPr>
          <w:instrText xml:space="preserve"> PAGEREF _Toc370394749 \h </w:instrText>
        </w:r>
        <w:r w:rsidR="004C547F" w:rsidRPr="004C547F">
          <w:rPr>
            <w:webHidden/>
          </w:rPr>
        </w:r>
        <w:r w:rsidR="004C547F" w:rsidRPr="004C547F">
          <w:rPr>
            <w:webHidden/>
          </w:rPr>
          <w:fldChar w:fldCharType="separate"/>
        </w:r>
        <w:r w:rsidR="00660A8E">
          <w:rPr>
            <w:noProof/>
            <w:webHidden/>
          </w:rPr>
          <w:t>24</w:t>
        </w:r>
        <w:r w:rsidR="004C547F" w:rsidRPr="004C547F">
          <w:rPr>
            <w:webHidden/>
          </w:rPr>
          <w:fldChar w:fldCharType="end"/>
        </w:r>
      </w:hyperlink>
    </w:p>
    <w:p w:rsidR="004C547F" w:rsidRPr="004C547F" w:rsidRDefault="009926D6">
      <w:pPr>
        <w:pStyle w:val="TableofFigures"/>
        <w:rPr>
          <w:rFonts w:eastAsiaTheme="minorEastAsia"/>
        </w:rPr>
      </w:pPr>
      <w:hyperlink w:anchor="_Toc370394750" w:history="1">
        <w:r w:rsidR="004C547F" w:rsidRPr="004C547F">
          <w:t>Table 8</w:t>
        </w:r>
        <w:r w:rsidR="004C547F" w:rsidRPr="004C547F">
          <w:rPr>
            <w:rFonts w:eastAsiaTheme="minorEastAsia"/>
          </w:rPr>
          <w:tab/>
        </w:r>
        <w:r w:rsidR="004C547F" w:rsidRPr="004C547F">
          <w:t>Technology availability and construction profiles</w:t>
        </w:r>
        <w:r w:rsidR="004C547F" w:rsidRPr="004C547F">
          <w:rPr>
            <w:webHidden/>
          </w:rPr>
          <w:tab/>
        </w:r>
        <w:r w:rsidR="004C547F" w:rsidRPr="004C547F">
          <w:rPr>
            <w:webHidden/>
          </w:rPr>
          <w:fldChar w:fldCharType="begin"/>
        </w:r>
        <w:r w:rsidR="004C547F" w:rsidRPr="004C547F">
          <w:rPr>
            <w:webHidden/>
          </w:rPr>
          <w:instrText xml:space="preserve"> PAGEREF _Toc370394750 \h </w:instrText>
        </w:r>
        <w:r w:rsidR="004C547F" w:rsidRPr="004C547F">
          <w:rPr>
            <w:webHidden/>
          </w:rPr>
        </w:r>
        <w:r w:rsidR="004C547F" w:rsidRPr="004C547F">
          <w:rPr>
            <w:webHidden/>
          </w:rPr>
          <w:fldChar w:fldCharType="separate"/>
        </w:r>
        <w:r w:rsidR="00660A8E">
          <w:rPr>
            <w:noProof/>
            <w:webHidden/>
          </w:rPr>
          <w:t>25</w:t>
        </w:r>
        <w:r w:rsidR="004C547F" w:rsidRPr="004C547F">
          <w:rPr>
            <w:webHidden/>
          </w:rPr>
          <w:fldChar w:fldCharType="end"/>
        </w:r>
      </w:hyperlink>
    </w:p>
    <w:p w:rsidR="004C547F" w:rsidRPr="004C547F" w:rsidRDefault="009926D6">
      <w:pPr>
        <w:pStyle w:val="TableofFigures"/>
        <w:rPr>
          <w:rFonts w:eastAsiaTheme="minorEastAsia"/>
        </w:rPr>
      </w:pPr>
      <w:hyperlink w:anchor="_Toc370394751" w:history="1">
        <w:r w:rsidR="004C547F" w:rsidRPr="004C547F">
          <w:t>Table 9</w:t>
        </w:r>
        <w:r w:rsidR="004C547F" w:rsidRPr="004C547F">
          <w:rPr>
            <w:rFonts w:eastAsiaTheme="minorEastAsia"/>
          </w:rPr>
          <w:tab/>
        </w:r>
        <w:r w:rsidR="004C547F" w:rsidRPr="004C547F">
          <w:t>Technology life and refurbishment costs</w:t>
        </w:r>
        <w:r w:rsidR="004C547F" w:rsidRPr="004C547F">
          <w:rPr>
            <w:webHidden/>
          </w:rPr>
          <w:tab/>
        </w:r>
        <w:r w:rsidR="004C547F" w:rsidRPr="004C547F">
          <w:rPr>
            <w:webHidden/>
          </w:rPr>
          <w:fldChar w:fldCharType="begin"/>
        </w:r>
        <w:r w:rsidR="004C547F" w:rsidRPr="004C547F">
          <w:rPr>
            <w:webHidden/>
          </w:rPr>
          <w:instrText xml:space="preserve"> PAGEREF _Toc370394751 \h </w:instrText>
        </w:r>
        <w:r w:rsidR="004C547F" w:rsidRPr="004C547F">
          <w:rPr>
            <w:webHidden/>
          </w:rPr>
        </w:r>
        <w:r w:rsidR="004C547F" w:rsidRPr="004C547F">
          <w:rPr>
            <w:webHidden/>
          </w:rPr>
          <w:fldChar w:fldCharType="separate"/>
        </w:r>
        <w:r w:rsidR="00660A8E">
          <w:rPr>
            <w:noProof/>
            <w:webHidden/>
          </w:rPr>
          <w:t>26</w:t>
        </w:r>
        <w:r w:rsidR="004C547F" w:rsidRPr="004C547F">
          <w:rPr>
            <w:webHidden/>
          </w:rPr>
          <w:fldChar w:fldCharType="end"/>
        </w:r>
      </w:hyperlink>
    </w:p>
    <w:p w:rsidR="004C547F" w:rsidRPr="004C547F" w:rsidRDefault="009926D6">
      <w:pPr>
        <w:pStyle w:val="TableofFigures"/>
        <w:rPr>
          <w:rFonts w:eastAsiaTheme="minorEastAsia"/>
        </w:rPr>
      </w:pPr>
      <w:hyperlink w:anchor="_Toc370394752" w:history="1">
        <w:r w:rsidR="004C547F" w:rsidRPr="004C547F">
          <w:t>Table 10</w:t>
        </w:r>
        <w:r w:rsidR="004C547F" w:rsidRPr="004C547F">
          <w:rPr>
            <w:rFonts w:eastAsiaTheme="minorEastAsia"/>
          </w:rPr>
          <w:tab/>
        </w:r>
        <w:r w:rsidR="004C547F" w:rsidRPr="004C547F">
          <w:t>Gas transport costs (relative to nearest LNG plant)</w:t>
        </w:r>
        <w:r w:rsidR="004C547F" w:rsidRPr="004C547F">
          <w:rPr>
            <w:webHidden/>
          </w:rPr>
          <w:tab/>
        </w:r>
        <w:r w:rsidR="004C547F" w:rsidRPr="004C547F">
          <w:rPr>
            <w:webHidden/>
          </w:rPr>
          <w:fldChar w:fldCharType="begin"/>
        </w:r>
        <w:r w:rsidR="004C547F" w:rsidRPr="004C547F">
          <w:rPr>
            <w:webHidden/>
          </w:rPr>
          <w:instrText xml:space="preserve"> PAGEREF _Toc370394752 \h </w:instrText>
        </w:r>
        <w:r w:rsidR="004C547F" w:rsidRPr="004C547F">
          <w:rPr>
            <w:webHidden/>
          </w:rPr>
        </w:r>
        <w:r w:rsidR="004C547F" w:rsidRPr="004C547F">
          <w:rPr>
            <w:webHidden/>
          </w:rPr>
          <w:fldChar w:fldCharType="separate"/>
        </w:r>
        <w:r w:rsidR="00660A8E">
          <w:rPr>
            <w:noProof/>
            <w:webHidden/>
          </w:rPr>
          <w:t>27</w:t>
        </w:r>
        <w:r w:rsidR="004C547F" w:rsidRPr="004C547F">
          <w:rPr>
            <w:webHidden/>
          </w:rPr>
          <w:fldChar w:fldCharType="end"/>
        </w:r>
      </w:hyperlink>
    </w:p>
    <w:p w:rsidR="004C547F" w:rsidRPr="004C547F" w:rsidRDefault="009926D6">
      <w:pPr>
        <w:pStyle w:val="TableofFigures"/>
        <w:rPr>
          <w:rFonts w:eastAsiaTheme="minorEastAsia"/>
        </w:rPr>
      </w:pPr>
      <w:hyperlink w:anchor="_Toc370394753" w:history="1">
        <w:r w:rsidR="004C547F" w:rsidRPr="004C547F">
          <w:t>Table 11</w:t>
        </w:r>
        <w:r w:rsidR="004C547F" w:rsidRPr="004C547F">
          <w:rPr>
            <w:rFonts w:eastAsiaTheme="minorEastAsia"/>
          </w:rPr>
          <w:tab/>
        </w:r>
        <w:r w:rsidR="004C547F" w:rsidRPr="004C547F">
          <w:t>Assumed CO2 transport and storage costs</w:t>
        </w:r>
        <w:r w:rsidR="004C547F" w:rsidRPr="004C547F">
          <w:rPr>
            <w:webHidden/>
          </w:rPr>
          <w:tab/>
        </w:r>
        <w:r w:rsidR="004C547F" w:rsidRPr="004C547F">
          <w:rPr>
            <w:webHidden/>
          </w:rPr>
          <w:fldChar w:fldCharType="begin"/>
        </w:r>
        <w:r w:rsidR="004C547F" w:rsidRPr="004C547F">
          <w:rPr>
            <w:webHidden/>
          </w:rPr>
          <w:instrText xml:space="preserve"> PAGEREF _Toc370394753 \h </w:instrText>
        </w:r>
        <w:r w:rsidR="004C547F" w:rsidRPr="004C547F">
          <w:rPr>
            <w:webHidden/>
          </w:rPr>
        </w:r>
        <w:r w:rsidR="004C547F" w:rsidRPr="004C547F">
          <w:rPr>
            <w:webHidden/>
          </w:rPr>
          <w:fldChar w:fldCharType="separate"/>
        </w:r>
        <w:r w:rsidR="00660A8E">
          <w:rPr>
            <w:noProof/>
            <w:webHidden/>
          </w:rPr>
          <w:t>29</w:t>
        </w:r>
        <w:r w:rsidR="004C547F" w:rsidRPr="004C547F">
          <w:rPr>
            <w:webHidden/>
          </w:rPr>
          <w:fldChar w:fldCharType="end"/>
        </w:r>
      </w:hyperlink>
    </w:p>
    <w:p w:rsidR="004C547F" w:rsidRPr="004C547F" w:rsidRDefault="009926D6">
      <w:pPr>
        <w:pStyle w:val="TableofFigures"/>
        <w:rPr>
          <w:rFonts w:eastAsiaTheme="minorEastAsia"/>
        </w:rPr>
      </w:pPr>
      <w:hyperlink w:anchor="_Toc370394754" w:history="1">
        <w:r w:rsidR="004C547F" w:rsidRPr="004C547F">
          <w:t>Table 12</w:t>
        </w:r>
        <w:r w:rsidR="004C547F" w:rsidRPr="004C547F">
          <w:rPr>
            <w:rFonts w:eastAsiaTheme="minorEastAsia"/>
          </w:rPr>
          <w:tab/>
        </w:r>
        <w:r w:rsidR="004C547F" w:rsidRPr="004C547F">
          <w:t>Refurbishment costs for incumbent plant</w:t>
        </w:r>
        <w:r w:rsidR="004C547F" w:rsidRPr="004C547F">
          <w:rPr>
            <w:webHidden/>
          </w:rPr>
          <w:tab/>
        </w:r>
        <w:r w:rsidR="004C547F" w:rsidRPr="004C547F">
          <w:rPr>
            <w:webHidden/>
          </w:rPr>
          <w:fldChar w:fldCharType="begin"/>
        </w:r>
        <w:r w:rsidR="004C547F" w:rsidRPr="004C547F">
          <w:rPr>
            <w:webHidden/>
          </w:rPr>
          <w:instrText xml:space="preserve"> PAGEREF _Toc370394754 \h </w:instrText>
        </w:r>
        <w:r w:rsidR="004C547F" w:rsidRPr="004C547F">
          <w:rPr>
            <w:webHidden/>
          </w:rPr>
        </w:r>
        <w:r w:rsidR="004C547F" w:rsidRPr="004C547F">
          <w:rPr>
            <w:webHidden/>
          </w:rPr>
          <w:fldChar w:fldCharType="separate"/>
        </w:r>
        <w:r w:rsidR="00660A8E">
          <w:rPr>
            <w:noProof/>
            <w:webHidden/>
          </w:rPr>
          <w:t>31</w:t>
        </w:r>
        <w:r w:rsidR="004C547F" w:rsidRPr="004C547F">
          <w:rPr>
            <w:webHidden/>
          </w:rPr>
          <w:fldChar w:fldCharType="end"/>
        </w:r>
      </w:hyperlink>
    </w:p>
    <w:p w:rsidR="0081772A" w:rsidRDefault="0081772A" w:rsidP="003739E4">
      <w:pPr>
        <w:pStyle w:val="TableofFigures"/>
        <w:rPr>
          <w:noProof/>
        </w:rPr>
      </w:pPr>
      <w:r w:rsidRPr="004D18B4">
        <w:fldChar w:fldCharType="end"/>
      </w:r>
    </w:p>
    <w:p w:rsidR="0081772A" w:rsidRDefault="0081772A" w:rsidP="003739E4">
      <w:pPr>
        <w:pStyle w:val="BodyText"/>
        <w:tabs>
          <w:tab w:val="left" w:pos="4643"/>
        </w:tabs>
      </w:pPr>
    </w:p>
    <w:p w:rsidR="0081772A" w:rsidRDefault="0081772A" w:rsidP="003739E4">
      <w:pPr>
        <w:pStyle w:val="BodyText"/>
      </w:pPr>
    </w:p>
    <w:p w:rsidR="0081772A" w:rsidRPr="00561CA2" w:rsidRDefault="0081772A" w:rsidP="003739E4">
      <w:pPr>
        <w:pStyle w:val="BodyText"/>
        <w:sectPr w:rsidR="0081772A" w:rsidRPr="00561CA2" w:rsidSect="003739E4">
          <w:headerReference w:type="default" r:id="rId20"/>
          <w:footerReference w:type="default" r:id="rId21"/>
          <w:pgSz w:w="11907" w:h="16839" w:code="9"/>
          <w:pgMar w:top="1134" w:right="850" w:bottom="907" w:left="3118" w:header="709" w:footer="567" w:gutter="567"/>
          <w:pgNumType w:fmt="lowerRoman"/>
          <w:cols w:space="720"/>
          <w:docGrid w:linePitch="272"/>
        </w:sectPr>
      </w:pPr>
    </w:p>
    <w:p w:rsidR="00DC3BEE" w:rsidRDefault="0081772A" w:rsidP="006D5ED2">
      <w:pPr>
        <w:pStyle w:val="Heading1nonumber"/>
        <w:ind w:left="-1843"/>
      </w:pPr>
      <w:r>
        <w:lastRenderedPageBreak/>
        <w:t>Glossary</w:t>
      </w:r>
    </w:p>
    <w:p w:rsidR="0081772A" w:rsidRDefault="0081772A" w:rsidP="00F25432">
      <w:pPr>
        <w:pStyle w:val="BodyText"/>
      </w:pPr>
    </w:p>
    <w:tbl>
      <w:tblPr>
        <w:tblW w:w="9180" w:type="dxa"/>
        <w:tblInd w:w="-1735" w:type="dxa"/>
        <w:tblLook w:val="04A0" w:firstRow="1" w:lastRow="0" w:firstColumn="1" w:lastColumn="0" w:noHBand="0" w:noVBand="1"/>
      </w:tblPr>
      <w:tblGrid>
        <w:gridCol w:w="2020"/>
        <w:gridCol w:w="7160"/>
      </w:tblGrid>
      <w:tr w:rsidR="0081772A" w:rsidRPr="0081772A" w:rsidTr="006D5ED2">
        <w:trPr>
          <w:trHeight w:val="396"/>
          <w:tblHeader/>
        </w:trPr>
        <w:tc>
          <w:tcPr>
            <w:tcW w:w="2020" w:type="dxa"/>
            <w:tcBorders>
              <w:top w:val="nil"/>
              <w:left w:val="nil"/>
              <w:bottom w:val="nil"/>
              <w:right w:val="nil"/>
            </w:tcBorders>
            <w:shd w:val="clear" w:color="000000" w:fill="9757A6"/>
            <w:vAlign w:val="center"/>
            <w:hideMark/>
          </w:tcPr>
          <w:p w:rsidR="0081772A" w:rsidRPr="0081772A" w:rsidRDefault="0081772A" w:rsidP="0081772A">
            <w:pPr>
              <w:spacing w:before="0" w:after="0" w:line="240" w:lineRule="auto"/>
              <w:jc w:val="center"/>
              <w:rPr>
                <w:rFonts w:ascii="Arial Narrow" w:hAnsi="Arial Narrow" w:cs="Arial"/>
                <w:color w:val="FFFFFF"/>
                <w:sz w:val="16"/>
                <w:szCs w:val="16"/>
                <w:lang w:eastAsia="en-AU"/>
              </w:rPr>
            </w:pPr>
            <w:r w:rsidRPr="0081772A">
              <w:rPr>
                <w:rFonts w:ascii="Arial Narrow" w:hAnsi="Arial Narrow" w:cs="Arial"/>
                <w:color w:val="FFFFFF"/>
                <w:sz w:val="16"/>
                <w:szCs w:val="16"/>
                <w:lang w:eastAsia="en-AU"/>
              </w:rPr>
              <w:t>Acronym or term</w:t>
            </w:r>
          </w:p>
        </w:tc>
        <w:tc>
          <w:tcPr>
            <w:tcW w:w="7160" w:type="dxa"/>
            <w:tcBorders>
              <w:top w:val="nil"/>
              <w:left w:val="nil"/>
              <w:bottom w:val="nil"/>
              <w:right w:val="nil"/>
            </w:tcBorders>
            <w:shd w:val="clear" w:color="000000" w:fill="9757A6"/>
            <w:vAlign w:val="center"/>
            <w:hideMark/>
          </w:tcPr>
          <w:p w:rsidR="0081772A" w:rsidRPr="0081772A" w:rsidRDefault="0081772A" w:rsidP="0081772A">
            <w:pPr>
              <w:spacing w:before="0" w:after="0" w:line="240" w:lineRule="auto"/>
              <w:rPr>
                <w:rFonts w:ascii="Arial Narrow" w:hAnsi="Arial Narrow" w:cs="Arial"/>
                <w:color w:val="FFFFFF"/>
                <w:sz w:val="16"/>
                <w:szCs w:val="16"/>
                <w:lang w:eastAsia="en-AU"/>
              </w:rPr>
            </w:pPr>
            <w:r w:rsidRPr="0081772A">
              <w:rPr>
                <w:rFonts w:ascii="Arial Narrow" w:hAnsi="Arial Narrow" w:cs="Arial"/>
                <w:color w:val="FFFFFF"/>
                <w:sz w:val="16"/>
                <w:szCs w:val="16"/>
                <w:lang w:eastAsia="en-AU"/>
              </w:rPr>
              <w:t>Explanation</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AEMO</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Australian Energy Market Operator, the entity that manages dispatch and planning in the National Electricity Market.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AETA</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Australian Energy Technology Assessment, an analysis of future generation costs from various electricity supply technologies undertaken by BREE in 2012.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ARENA</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The Australian Renewable Energy Agency, a statutory authority of the Commonwealth Government to support renewable energy</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Bagasse</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A renewable fuel produced from sugar cane waste. </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BREE</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Bureau of Resources and Energy Economics, a Commonwealth Government research agency.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Capacity factor</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A measure of the intensity with which a generator operates, calculated as the generator’s average output divided by its maximum possible output, and typically expressed as a percentage.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CCGT</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Combined-cycle gas turbine, a gas turbine generator where waste heat from the turbine exhaust is captured and used to drive an auxiliary steam turbine.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CCS</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Carbon capture and storage, the capturing of carbon dioxide produced in the process of generating electricity (or some other industrial process) and storing</w:t>
            </w:r>
          </w:p>
        </w:tc>
      </w:tr>
      <w:tr w:rsidR="0081772A" w:rsidRPr="0081772A" w:rsidTr="006D5ED2">
        <w:trPr>
          <w:trHeight w:val="78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CGE</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Computable General Equilibrium modelling, a form of modelling that relates the inputs and outputs of different industries within an economy to determine a ‘general equilibrium’ outcome across all industries when inputs or assumptions are varied. </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CLFR</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Concentrated Linear Fresnel Reflector, a form of solar thermal generation technology. </w:t>
            </w:r>
          </w:p>
        </w:tc>
      </w:tr>
      <w:tr w:rsidR="0081772A" w:rsidRPr="0081772A" w:rsidTr="006D5ED2">
        <w:trPr>
          <w:trHeight w:val="103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Cogeneration, or ‘cogen’</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A cogeneration plant generates both electricity and steam, with the steam typically being used for industrial process applications. Cogeneration plants can be based on either a typical steam turbine, with lower pressure steam being diverted for use as heat rather than for electricity generation, or on a gas turbine, where the gas turbine itself generates electricity but waste heat is captured to generate steam for use as process heat. </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CO</w:t>
            </w:r>
            <w:r w:rsidRPr="001B52A9">
              <w:rPr>
                <w:rFonts w:ascii="Arial Narrow" w:hAnsi="Arial Narrow" w:cs="Arial"/>
                <w:color w:val="000000"/>
                <w:sz w:val="16"/>
                <w:szCs w:val="16"/>
                <w:vertAlign w:val="subscript"/>
                <w:lang w:eastAsia="en-AU"/>
              </w:rPr>
              <w:t>2</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Carbon dioxide, the most common greenhouse gas</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CO2CRC</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The Cooperative Research Centre for Carbon Capture and Storage.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CSIRO</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The Commonwealth Scientific Industrial and Research Organisation, an Australian Government scientific research agency</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DKIS</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Darwin-Katherine Interconnected System, the interconnected electricity grid servicing the main population centres of the northern part of the Northern Territory.</w:t>
            </w:r>
          </w:p>
        </w:tc>
      </w:tr>
      <w:tr w:rsidR="0081772A" w:rsidRPr="0081772A" w:rsidTr="006D5ED2">
        <w:trPr>
          <w:trHeight w:val="78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Dual axis</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In the context of solar PV generation, this refers to solar PV plates that can change angle to track the sun on two axes, an axis to track daily east-west movement of the sun across the sky and a second axis to adjust to changes in the sun’s angle (north-south) with the seasons. See also ‘fixed axis’ and ‘single axis’.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EGS</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Engineered geothermal system, a form of geothermal generation technology also sometimes known as ‘hot fractured rocks’.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Fixed axis</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In the context of solar PV generation, this refers to solar PV plates that are mounted in a fixed position and do not track the sun. See also ‘single axis’ and ‘dual axis’.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FOM</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Fixed operating and maintenance costs. These are represented in ACIL </w:t>
            </w:r>
            <w:r w:rsidR="004F6D61">
              <w:rPr>
                <w:rFonts w:ascii="Arial Narrow" w:hAnsi="Arial Narrow" w:cs="Arial"/>
                <w:color w:val="000000"/>
                <w:sz w:val="16"/>
                <w:szCs w:val="16"/>
                <w:lang w:eastAsia="en-AU"/>
              </w:rPr>
              <w:t>Allen</w:t>
            </w:r>
            <w:r w:rsidRPr="0081772A">
              <w:rPr>
                <w:rFonts w:ascii="Arial Narrow" w:hAnsi="Arial Narrow" w:cs="Arial"/>
                <w:color w:val="000000"/>
                <w:sz w:val="16"/>
                <w:szCs w:val="16"/>
                <w:lang w:eastAsia="en-AU"/>
              </w:rPr>
              <w:t xml:space="preserve">’s modelling as a fixed annual payment required to keep a power station operational.  </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GALLM</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Global and Local Learning Model, CSIRO’s model of generation technology costs.</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GGAS</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Greenhouse Gas Abatement Scheme, the NSW Government’s former emissions reduction scheme</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GWh</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Gigawatt-hour, a unit of electricity output or consumption measured over time, which is equivalent to one gigawatt being produced/consumed continuously for one hour, or one thousand megawatt-hours.</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HEGT</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High efficiency gas turbine. </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HSA</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Hot sedimentary aquifer, a form of geothermal generation technology.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IGCC</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Integrated gasification combined cycle, a form of generation technology that uses coal as the fuel, and which converts the coal to a synthetic gas to drive a gas turbine through an integrated process.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IMO</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Independent Market Operator, the the entity that manages dispatch and planning in the South-West Interconnected System.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lastRenderedPageBreak/>
              <w:t>kW</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Kilowatt, a unit of (instantaneous) electricity output or consumption, equal to one one-thousandth of a megawatt.</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LDC</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Load duration curve, a representation of the variation in electricity demand over a period of time created by ordering the electricity demand (or ‘load’) in descending order. </w:t>
            </w:r>
          </w:p>
        </w:tc>
      </w:tr>
      <w:tr w:rsidR="00D373A7" w:rsidRPr="0081772A" w:rsidTr="006D5ED2">
        <w:trPr>
          <w:trHeight w:val="270"/>
        </w:trPr>
        <w:tc>
          <w:tcPr>
            <w:tcW w:w="2020" w:type="dxa"/>
            <w:tcBorders>
              <w:top w:val="nil"/>
              <w:left w:val="nil"/>
              <w:bottom w:val="single" w:sz="8" w:space="0" w:color="C0C0C0"/>
              <w:right w:val="nil"/>
            </w:tcBorders>
            <w:shd w:val="clear" w:color="auto" w:fill="auto"/>
            <w:vAlign w:val="center"/>
          </w:tcPr>
          <w:p w:rsidR="00D373A7" w:rsidRPr="0081772A" w:rsidRDefault="00D373A7" w:rsidP="0081772A">
            <w:pPr>
              <w:spacing w:before="0" w:after="0" w:line="240" w:lineRule="auto"/>
              <w:jc w:val="center"/>
              <w:rPr>
                <w:rFonts w:ascii="Arial Narrow" w:hAnsi="Arial Narrow" w:cs="Arial"/>
                <w:color w:val="000000"/>
                <w:sz w:val="16"/>
                <w:szCs w:val="16"/>
                <w:lang w:eastAsia="en-AU"/>
              </w:rPr>
            </w:pPr>
            <w:r>
              <w:rPr>
                <w:rFonts w:ascii="Arial Narrow" w:hAnsi="Arial Narrow" w:cs="Arial"/>
                <w:color w:val="000000"/>
                <w:sz w:val="16"/>
                <w:szCs w:val="16"/>
                <w:lang w:eastAsia="en-AU"/>
              </w:rPr>
              <w:t>LGC</w:t>
            </w:r>
          </w:p>
        </w:tc>
        <w:tc>
          <w:tcPr>
            <w:tcW w:w="7160" w:type="dxa"/>
            <w:tcBorders>
              <w:top w:val="nil"/>
              <w:left w:val="nil"/>
              <w:bottom w:val="single" w:sz="8" w:space="0" w:color="C0C0C0"/>
              <w:right w:val="nil"/>
            </w:tcBorders>
            <w:shd w:val="clear" w:color="auto" w:fill="auto"/>
            <w:vAlign w:val="center"/>
          </w:tcPr>
          <w:p w:rsidR="00D373A7" w:rsidRPr="0081772A" w:rsidRDefault="00D373A7" w:rsidP="0081772A">
            <w:pPr>
              <w:spacing w:before="0" w:after="0" w:line="240" w:lineRule="auto"/>
              <w:rPr>
                <w:rFonts w:ascii="Arial Narrow" w:hAnsi="Arial Narrow" w:cs="Arial"/>
                <w:color w:val="000000"/>
                <w:sz w:val="16"/>
                <w:szCs w:val="16"/>
                <w:lang w:eastAsia="en-AU"/>
              </w:rPr>
            </w:pPr>
            <w:r>
              <w:rPr>
                <w:rFonts w:ascii="Arial Narrow" w:hAnsi="Arial Narrow" w:cs="Arial"/>
                <w:color w:val="000000"/>
                <w:sz w:val="16"/>
                <w:szCs w:val="16"/>
                <w:lang w:eastAsia="en-AU"/>
              </w:rPr>
              <w:t xml:space="preserve">Large-scale Generation Certificate, the certificate that can be created and traded by renewable generators under the LRET. Sometimes referred to as a ‘REC’, or Renewable Energy Certificate. LGCs are different from the ‘Small-scale Technology Certificates’ or STCs created under the SRES. </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LP</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Linear programming</w:t>
            </w:r>
          </w:p>
        </w:tc>
      </w:tr>
      <w:tr w:rsidR="0081772A" w:rsidRPr="0081772A" w:rsidTr="006D5ED2">
        <w:trPr>
          <w:trHeight w:val="78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LRET</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Large-scale Renewable Energy Target, the Commonwealth Government’s scheme to promote large-scale renewable electricity generation. Formerly known as the Mandatory Renewable Energy Target (MRET), and sometimes referred to simply as the RET.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MLF</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Marginal loss factor, the level of transmission losses between a given generator and the point of market settlement attributed in dispatching bids for electricity supply and therefore in calculating electricity prices. </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MW</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Megawatt, a unit of (instantaneous) electricity output or consumption, equal to one thousand kilowatts.</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MWh</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Megawatt-hour, a unit of electricity output or consumption measured over time, which is equivalent to one megawatt being produced/consumed continuously for one hour.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NEM</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National Electricity Market, the interconnected electricity grid covering most of Queensland, New South Wales, Victoria, Tasmania and South Australia.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NWIS</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North-West Interconnected System, the interconnected electricity grid covering the Pilbara region of north-western Western Australia. </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O&amp;M</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Operating and maintenance costs – see also FOM and VOM.</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OCGT</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Open cycle gas turbine, a gas turbine generator where waste heat is vented to the atmosphere rather than captured to generate electricity or steam, as in a combined-cycle gas turbine (CCGT) or cogeneration plant. </w:t>
            </w:r>
          </w:p>
        </w:tc>
      </w:tr>
      <w:tr w:rsidR="0081772A" w:rsidRPr="0081772A" w:rsidTr="006D5ED2">
        <w:trPr>
          <w:trHeight w:val="78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Oxy combustion</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A technique used to improve the efficiency of CCS, by firing coal in a primarily oxygen and non-combustible gases (importantly, in the absence of nitrogen), so as to produce a relatively pure stream of CO</w:t>
            </w:r>
            <w:r w:rsidRPr="001B52A9">
              <w:rPr>
                <w:rFonts w:ascii="Arial Narrow" w:hAnsi="Arial Narrow" w:cs="Arial"/>
                <w:color w:val="000000"/>
                <w:sz w:val="16"/>
                <w:szCs w:val="16"/>
                <w:vertAlign w:val="subscript"/>
                <w:lang w:eastAsia="en-AU"/>
              </w:rPr>
              <w:t>2</w:t>
            </w:r>
            <w:r w:rsidRPr="0081772A">
              <w:rPr>
                <w:rFonts w:ascii="Arial Narrow" w:hAnsi="Arial Narrow" w:cs="Arial"/>
                <w:color w:val="000000"/>
                <w:sz w:val="16"/>
                <w:szCs w:val="16"/>
                <w:lang w:eastAsia="en-AU"/>
              </w:rPr>
              <w:t xml:space="preserve"> suitable for capture and storage. </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PC</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Pulverised coal. See also ‘pf’</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pf</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Pulverised fuel, typically coal. See also ‘PC’.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POE</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Probability of exceedence, representing a the probability that a given forecast will be exceeded in the relevant forecast period.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PV</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Photovoltaic, a form of generation that converts solar radiation to direct current electricity using semi-conductors that exhibit the photovoltaic effect. </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QGAS</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Queensland Gas Scheme</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SF</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Solar Flagships, the Commonwealth Government’s program to promote large-scale solar generation projects.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Single axis</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In the context of solar PV generation, this refers to solar PV plates that can change angle to track the east-west daily movement of the sun across the sky. See also ‘fixed axis’ and ‘double axis’.  </w:t>
            </w:r>
          </w:p>
        </w:tc>
      </w:tr>
      <w:tr w:rsidR="0081772A" w:rsidRPr="0081772A" w:rsidTr="006D5ED2">
        <w:trPr>
          <w:trHeight w:val="78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SRES</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Small-scale Renewable Energy Scheme, the Commonwealth Government’s scheme to promote small-scale renewable energy technologies, principally solar PV and solar water heaters. The incentives for these technologies were formerly combined with those for large-scale renewables through the MRET.</w:t>
            </w:r>
          </w:p>
        </w:tc>
      </w:tr>
      <w:tr w:rsidR="0081772A" w:rsidRPr="0081772A" w:rsidTr="006D5ED2">
        <w:trPr>
          <w:trHeight w:val="78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SRMC</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Short-Run Marginal Cost, an economic interpretation of the extent to which production costs, in this case electricity generation costs, vary at the margin when key inputs, particularly the capital equipment comprising the generator, cannot be varied. </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SWCJV</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South-West Cogeneration Joint Venture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SWIS</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South-West Interconnected System, the interconnected electricity grid covering south-western Western Australia. Also known as the Wholesale Electricity Market, or WEM. </w:t>
            </w:r>
          </w:p>
        </w:tc>
      </w:tr>
      <w:tr w:rsidR="0081772A" w:rsidRPr="0081772A" w:rsidTr="006D5ED2">
        <w:trPr>
          <w:trHeight w:val="78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VOM</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 xml:space="preserve">Variable operating and maintenance costs. These are represented in ACIL </w:t>
            </w:r>
            <w:r w:rsidR="004F6D61">
              <w:rPr>
                <w:rFonts w:ascii="Arial Narrow" w:hAnsi="Arial Narrow" w:cs="Arial"/>
                <w:color w:val="000000"/>
                <w:sz w:val="16"/>
                <w:szCs w:val="16"/>
                <w:lang w:eastAsia="en-AU"/>
              </w:rPr>
              <w:t>Allen</w:t>
            </w:r>
            <w:r w:rsidRPr="0081772A">
              <w:rPr>
                <w:rFonts w:ascii="Arial Narrow" w:hAnsi="Arial Narrow" w:cs="Arial"/>
                <w:color w:val="000000"/>
                <w:sz w:val="16"/>
                <w:szCs w:val="16"/>
                <w:lang w:eastAsia="en-AU"/>
              </w:rPr>
              <w:t xml:space="preserve">’s modelling as costs which vary linearly with the amount of electricity produced by a given power station (i.e. as a cost in $/MWh).  </w:t>
            </w:r>
          </w:p>
        </w:tc>
      </w:tr>
      <w:tr w:rsidR="0081772A" w:rsidRPr="0081772A" w:rsidTr="006D5ED2">
        <w:trPr>
          <w:trHeight w:val="525"/>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WACC</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Weighted average cost of capital, a benchmark rate of return on capital investments representing an assumed level of equity and debt financing, and specific rates of return to each of equity and debt.</w:t>
            </w:r>
          </w:p>
        </w:tc>
      </w:tr>
      <w:tr w:rsidR="0081772A" w:rsidRPr="0081772A" w:rsidTr="006D5ED2">
        <w:trPr>
          <w:trHeight w:val="270"/>
        </w:trPr>
        <w:tc>
          <w:tcPr>
            <w:tcW w:w="202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jc w:val="center"/>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WCMG</w:t>
            </w:r>
          </w:p>
        </w:tc>
        <w:tc>
          <w:tcPr>
            <w:tcW w:w="7160" w:type="dxa"/>
            <w:tcBorders>
              <w:top w:val="nil"/>
              <w:left w:val="nil"/>
              <w:bottom w:val="single" w:sz="8" w:space="0" w:color="C0C0C0"/>
              <w:right w:val="nil"/>
            </w:tcBorders>
            <w:shd w:val="clear" w:color="auto" w:fill="auto"/>
            <w:vAlign w:val="center"/>
            <w:hideMark/>
          </w:tcPr>
          <w:p w:rsidR="0081772A" w:rsidRPr="0081772A" w:rsidRDefault="0081772A" w:rsidP="0081772A">
            <w:pPr>
              <w:spacing w:before="0" w:after="0" w:line="240" w:lineRule="auto"/>
              <w:rPr>
                <w:rFonts w:ascii="Arial Narrow" w:hAnsi="Arial Narrow" w:cs="Arial"/>
                <w:color w:val="000000"/>
                <w:sz w:val="16"/>
                <w:szCs w:val="16"/>
                <w:lang w:eastAsia="en-AU"/>
              </w:rPr>
            </w:pPr>
            <w:r w:rsidRPr="0081772A">
              <w:rPr>
                <w:rFonts w:ascii="Arial Narrow" w:hAnsi="Arial Narrow" w:cs="Arial"/>
                <w:color w:val="000000"/>
                <w:sz w:val="16"/>
                <w:szCs w:val="16"/>
                <w:lang w:eastAsia="en-AU"/>
              </w:rPr>
              <w:t>Waste coal mine gas</w:t>
            </w:r>
          </w:p>
        </w:tc>
      </w:tr>
    </w:tbl>
    <w:p w:rsidR="0081772A" w:rsidRPr="00100621" w:rsidRDefault="0081772A" w:rsidP="0081772A">
      <w:pPr>
        <w:pStyle w:val="ExecSummaryHeading"/>
        <w:pageBreakBefore/>
      </w:pPr>
      <w:bookmarkStart w:id="1" w:name="_Toc358810294"/>
      <w:bookmarkStart w:id="2" w:name="_Toc370394614"/>
      <w:r w:rsidRPr="00100621">
        <w:lastRenderedPageBreak/>
        <w:t>Executive summary</w:t>
      </w:r>
      <w:bookmarkEnd w:id="1"/>
      <w:bookmarkEnd w:id="2"/>
    </w:p>
    <w:p w:rsidR="00351B0D" w:rsidRDefault="00351B0D" w:rsidP="00351B0D">
      <w:pPr>
        <w:pStyle w:val="BodyText"/>
      </w:pPr>
      <w:r>
        <w:t xml:space="preserve">The Department of Industry, Innovation, Climate Change, Science, Research and Tertiary Education (DIICCSRTE) commissioned ACIL </w:t>
      </w:r>
      <w:r w:rsidR="004F6D61">
        <w:t>Allen</w:t>
      </w:r>
      <w:r w:rsidR="00D373A7">
        <w:t xml:space="preserve"> Consulting (ACIL Allen)</w:t>
      </w:r>
      <w:r>
        <w:t xml:space="preserve"> to model greenhouse gas emissions from Australia’s electricity generation sector over the period to 2049-50 for its national emissions projections.</w:t>
      </w:r>
    </w:p>
    <w:p w:rsidR="00351B0D" w:rsidRDefault="00351B0D" w:rsidP="00351B0D">
      <w:pPr>
        <w:pStyle w:val="BodyText"/>
      </w:pPr>
      <w:r>
        <w:t xml:space="preserve">ACIL </w:t>
      </w:r>
      <w:r w:rsidR="004F6D61">
        <w:t>Allen</w:t>
      </w:r>
      <w:r>
        <w:t xml:space="preserve"> estimated emissions from Australia’s electricity generation sector under two scenarios: a Central Policy scenario including the effect of a carbon price and a No Carbon Price scenario with no carbon price in effect. ACIL </w:t>
      </w:r>
      <w:r w:rsidR="004F6D61">
        <w:t>Allen</w:t>
      </w:r>
      <w:r>
        <w:t xml:space="preserve">’s </w:t>
      </w:r>
      <w:r w:rsidRPr="00185A99">
        <w:rPr>
          <w:i/>
        </w:rPr>
        <w:t>PowerMark LT</w:t>
      </w:r>
      <w:r>
        <w:t xml:space="preserve"> and </w:t>
      </w:r>
      <w:r w:rsidRPr="00185A99">
        <w:rPr>
          <w:i/>
        </w:rPr>
        <w:t>RECMark</w:t>
      </w:r>
      <w:r>
        <w:t xml:space="preserve"> models were used to estimate effects in Australia’s major electricity markets, as well as from embedded and off-grid generation.</w:t>
      </w:r>
    </w:p>
    <w:p w:rsidR="00351B0D" w:rsidRDefault="00351B0D" w:rsidP="00351B0D">
      <w:pPr>
        <w:pStyle w:val="BodyText"/>
      </w:pPr>
      <w:r>
        <w:t>Electricity demand and other assumptions were derived from computable general equilibrium (CGE) modelling of the Australian and world economies undertaken by the Treasury.</w:t>
      </w:r>
    </w:p>
    <w:p w:rsidR="00351B0D" w:rsidRDefault="00351B0D" w:rsidP="00351B0D">
      <w:pPr>
        <w:pStyle w:val="BodyText"/>
      </w:pPr>
      <w:r>
        <w:t xml:space="preserve">The change in emissions between the Policy and No Carbon Price scenarios is illustrated in </w:t>
      </w:r>
      <w:r w:rsidR="006E7DCA">
        <w:fldChar w:fldCharType="begin"/>
      </w:r>
      <w:r w:rsidR="006E7DCA">
        <w:instrText xml:space="preserve"> REF _Ref365542579 \h </w:instrText>
      </w:r>
      <w:r w:rsidR="006E7DCA">
        <w:fldChar w:fldCharType="separate"/>
      </w:r>
      <w:r w:rsidR="00660A8E">
        <w:t xml:space="preserve">Figure ES </w:t>
      </w:r>
      <w:r w:rsidR="00660A8E">
        <w:rPr>
          <w:noProof/>
        </w:rPr>
        <w:t>1</w:t>
      </w:r>
      <w:r w:rsidR="006E7DCA">
        <w:fldChar w:fldCharType="end"/>
      </w:r>
      <w:r>
        <w:t>. In both scenarios, emissions are relatively flat in the period to around 2020, due to muted demand growth in increasing penetration of large-scale renewables and rooftop solar generation. However, the path of emissions increasingly diverges from that point as demand growth and ongoing use of coal-fired generation sees substantial growth in emissions in the No Carbon Price scenario. Emissions rise from just over 200 Mt CO</w:t>
      </w:r>
      <w:r w:rsidRPr="00367724">
        <w:rPr>
          <w:vertAlign w:val="subscript"/>
        </w:rPr>
        <w:t>2</w:t>
      </w:r>
      <w:r>
        <w:t xml:space="preserve">-e </w:t>
      </w:r>
      <w:r w:rsidR="00D373A7">
        <w:t xml:space="preserve">in 2009-10 </w:t>
      </w:r>
      <w:r>
        <w:t>to 248 Mt CO</w:t>
      </w:r>
      <w:r w:rsidRPr="00367724">
        <w:rPr>
          <w:vertAlign w:val="subscript"/>
        </w:rPr>
        <w:t>2</w:t>
      </w:r>
      <w:r>
        <w:t>-e in 2029-30, and 337 Mt CO</w:t>
      </w:r>
      <w:r w:rsidRPr="00367724">
        <w:rPr>
          <w:vertAlign w:val="subscript"/>
        </w:rPr>
        <w:t>2</w:t>
      </w:r>
      <w:r>
        <w:t>-e in 2049-50.</w:t>
      </w:r>
    </w:p>
    <w:p w:rsidR="00351B0D" w:rsidRDefault="00351B0D" w:rsidP="00351B0D">
      <w:pPr>
        <w:pStyle w:val="BodyText"/>
      </w:pPr>
      <w:r>
        <w:t xml:space="preserve">By contrast, emissions in the Central Policy scenario are essentially flat </w:t>
      </w:r>
      <w:r w:rsidR="00D373A7">
        <w:t xml:space="preserve">from 2009-10 </w:t>
      </w:r>
      <w:r>
        <w:t>to around 2029-30 at 195 Mt CO</w:t>
      </w:r>
      <w:r w:rsidRPr="00367724">
        <w:rPr>
          <w:vertAlign w:val="subscript"/>
        </w:rPr>
        <w:t>2</w:t>
      </w:r>
      <w:r>
        <w:t>-e (53 Mt CO</w:t>
      </w:r>
      <w:r w:rsidRPr="00367724">
        <w:rPr>
          <w:vertAlign w:val="subscript"/>
        </w:rPr>
        <w:t>2</w:t>
      </w:r>
      <w:r>
        <w:t>-e lower than the No Carbon Price scenario) as the carbon price motivates a move towards lower-emissions generators, offsetting the effect of (slowly) growing electricity demand.</w:t>
      </w:r>
    </w:p>
    <w:p w:rsidR="00351B0D" w:rsidRDefault="00351B0D" w:rsidP="00351B0D">
      <w:pPr>
        <w:pStyle w:val="BodyText"/>
      </w:pPr>
      <w:r>
        <w:t>After 2029-30 the scenarios diverge even more dramatically. Emissions under the Central Policy scenario reduce substantially as the higher carbon price and reductions in costs for technologies such as solar PV motivate large-scale adoption of low emissions generation technologies. The associated reduction in the emissions-intensity of electricity supply sees Australia’s electricity sector emissions reduce to 108 Mt CO</w:t>
      </w:r>
      <w:r w:rsidRPr="00367724">
        <w:rPr>
          <w:vertAlign w:val="subscript"/>
        </w:rPr>
        <w:t>2</w:t>
      </w:r>
      <w:r>
        <w:t>-e by 2049-50, or around 229 Mt CO</w:t>
      </w:r>
      <w:r w:rsidRPr="00367724">
        <w:rPr>
          <w:vertAlign w:val="subscript"/>
        </w:rPr>
        <w:t>2</w:t>
      </w:r>
      <w:r>
        <w:t>-e lower than in the No Carbon Price scenario.</w:t>
      </w:r>
    </w:p>
    <w:p w:rsidR="00351B0D" w:rsidRDefault="00351B0D" w:rsidP="004A1832">
      <w:pPr>
        <w:pStyle w:val="Caption"/>
        <w:ind w:left="1418" w:hanging="1418"/>
      </w:pPr>
      <w:bookmarkStart w:id="3" w:name="_Ref365542579"/>
      <w:bookmarkStart w:id="4" w:name="_Toc370394666"/>
      <w:r>
        <w:lastRenderedPageBreak/>
        <w:t xml:space="preserve">Figure ES </w:t>
      </w:r>
      <w:fldSimple w:instr=" SEQ Figure_ES \* ARABIC ">
        <w:r w:rsidR="00660A8E">
          <w:rPr>
            <w:noProof/>
          </w:rPr>
          <w:t>1</w:t>
        </w:r>
      </w:fldSimple>
      <w:bookmarkEnd w:id="3"/>
      <w:r w:rsidRPr="004E0C91">
        <w:rPr>
          <w:b/>
          <w:color w:val="000080"/>
        </w:rPr>
        <w:tab/>
      </w:r>
      <w:r w:rsidRPr="00351B0D">
        <w:rPr>
          <w:rStyle w:val="CaptionLabel"/>
        </w:rPr>
        <w:t xml:space="preserve">Aggregate emissions – </w:t>
      </w:r>
      <w:r w:rsidR="00D373A7">
        <w:rPr>
          <w:rStyle w:val="CaptionLabel"/>
        </w:rPr>
        <w:t>No Carbon</w:t>
      </w:r>
      <w:r w:rsidRPr="00351B0D">
        <w:rPr>
          <w:rStyle w:val="CaptionLabel"/>
        </w:rPr>
        <w:t xml:space="preserve"> </w:t>
      </w:r>
      <w:r w:rsidR="00D373A7">
        <w:rPr>
          <w:rStyle w:val="CaptionLabel"/>
        </w:rPr>
        <w:t xml:space="preserve">Price </w:t>
      </w:r>
      <w:r w:rsidRPr="00351B0D">
        <w:rPr>
          <w:rStyle w:val="CaptionLabel"/>
        </w:rPr>
        <w:t>and Central Policy scenarios</w:t>
      </w:r>
      <w:bookmarkEnd w:id="4"/>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351B0D" w:rsidTr="003739E4">
        <w:tc>
          <w:tcPr>
            <w:tcW w:w="5000" w:type="pct"/>
          </w:tcPr>
          <w:p w:rsidR="00351B0D" w:rsidRDefault="00351B0D" w:rsidP="003739E4">
            <w:pPr>
              <w:pStyle w:val="SmallDeltasRightAligned"/>
              <w:keepNext/>
              <w:keepLines/>
            </w:pPr>
            <w:r>
              <w:rPr>
                <w:noProof/>
                <w:lang w:eastAsia="en-AU"/>
              </w:rPr>
              <w:drawing>
                <wp:inline distT="0" distB="0" distL="0" distR="0" wp14:anchorId="2F84A6EE" wp14:editId="0F04D454">
                  <wp:extent cx="481585" cy="23469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51B0D" w:rsidTr="003739E4">
        <w:tc>
          <w:tcPr>
            <w:tcW w:w="5000" w:type="pct"/>
          </w:tcPr>
          <w:p w:rsidR="00351B0D" w:rsidRDefault="00351B0D" w:rsidP="003739E4">
            <w:pPr>
              <w:pStyle w:val="Figure"/>
              <w:keepLines/>
            </w:pPr>
            <w:r>
              <w:rPr>
                <w:noProof/>
                <w:lang w:eastAsia="en-AU"/>
              </w:rPr>
              <w:drawing>
                <wp:inline distT="0" distB="0" distL="0" distR="0" wp14:anchorId="47524227" wp14:editId="39C0AF61">
                  <wp:extent cx="4673600" cy="240474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351B0D" w:rsidRDefault="00351B0D" w:rsidP="00351B0D">
      <w:pPr>
        <w:pStyle w:val="BodyText"/>
      </w:pPr>
      <w:r>
        <w:t>In principle, emissions reductions can be driven by one of two processes: demand reductions or reductions in the emissions intensity of electricity supply. Until around 2033-34, this reduction in emissions in the Central Policy scenario relative to the No Carbon Price scenario is driven in broadly equal amounts by the relative demand reductions and reductions in the emissions intensity of supply. However, after 2033-34, the substantial reduction in emissions under the Central Policy scenario is overwhelmingly driven by adoption of low emissions generation technologies and the associated reduction in the emissions-intensity of electricity supply.</w:t>
      </w:r>
    </w:p>
    <w:p w:rsidR="00351B0D" w:rsidRDefault="00351B0D" w:rsidP="00351B0D">
      <w:pPr>
        <w:pStyle w:val="BodyText"/>
      </w:pPr>
      <w:r>
        <w:t xml:space="preserve">The substitution of high emissions generation technologies with lower emissions alternatives can be seen by comparing the generation shares by fuel type between the scenarios. </w:t>
      </w:r>
      <w:r w:rsidR="006E7DCA">
        <w:fldChar w:fldCharType="begin"/>
      </w:r>
      <w:r w:rsidR="006E7DCA">
        <w:instrText xml:space="preserve"> REF _Ref365542591 \h </w:instrText>
      </w:r>
      <w:r w:rsidR="006E7DCA">
        <w:fldChar w:fldCharType="separate"/>
      </w:r>
      <w:r w:rsidR="00660A8E">
        <w:t xml:space="preserve">Figure ES </w:t>
      </w:r>
      <w:r w:rsidR="00660A8E">
        <w:rPr>
          <w:noProof/>
        </w:rPr>
        <w:t>2</w:t>
      </w:r>
      <w:r w:rsidR="006E7DCA">
        <w:fldChar w:fldCharType="end"/>
      </w:r>
      <w:r>
        <w:t xml:space="preserve"> shows this for the Central Policy scenario, whilst </w:t>
      </w:r>
      <w:r w:rsidR="006E7DCA">
        <w:fldChar w:fldCharType="begin"/>
      </w:r>
      <w:r w:rsidR="006E7DCA">
        <w:instrText xml:space="preserve"> REF _Ref365542597 \h </w:instrText>
      </w:r>
      <w:r w:rsidR="006E7DCA">
        <w:fldChar w:fldCharType="separate"/>
      </w:r>
      <w:r w:rsidR="00660A8E">
        <w:t xml:space="preserve">Figure ES </w:t>
      </w:r>
      <w:r w:rsidR="00660A8E">
        <w:rPr>
          <w:noProof/>
        </w:rPr>
        <w:t>3</w:t>
      </w:r>
      <w:r w:rsidR="006E7DCA">
        <w:fldChar w:fldCharType="end"/>
      </w:r>
      <w:r>
        <w:t xml:space="preserve"> illustrates the No Carbon Price scenario. These figures illustrate how the introduction of a carbon price results in an absolute decline in conventional coal-fired generation, whilst promoting gas-fired, CCS, wind, solar and geothermal generation as lower-emissions alternatives. This occurs primarily because the introduction of a carbon price increases the cost of high-emissions generation technologies relative to low-emissions alternatives.</w:t>
      </w:r>
    </w:p>
    <w:p w:rsidR="00351B0D" w:rsidRDefault="00351B0D" w:rsidP="004A1832">
      <w:pPr>
        <w:pStyle w:val="Caption"/>
        <w:ind w:left="1418" w:hanging="1418"/>
      </w:pPr>
      <w:bookmarkStart w:id="5" w:name="_Ref365542591"/>
      <w:bookmarkStart w:id="6" w:name="_Toc370394667"/>
      <w:r>
        <w:lastRenderedPageBreak/>
        <w:t xml:space="preserve">Figure ES </w:t>
      </w:r>
      <w:fldSimple w:instr=" SEQ Figure_ES \* ARABIC ">
        <w:r w:rsidR="00660A8E">
          <w:rPr>
            <w:noProof/>
          </w:rPr>
          <w:t>2</w:t>
        </w:r>
      </w:fldSimple>
      <w:bookmarkEnd w:id="5"/>
      <w:r w:rsidRPr="004E0C91">
        <w:rPr>
          <w:b/>
          <w:color w:val="000080"/>
        </w:rPr>
        <w:tab/>
      </w:r>
      <w:r w:rsidRPr="00351B0D">
        <w:rPr>
          <w:rStyle w:val="CaptionLabel"/>
        </w:rPr>
        <w:t>Generation by fuel type – Central Policy scenario</w:t>
      </w:r>
      <w:bookmarkEnd w:id="6"/>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351B0D" w:rsidTr="003739E4">
        <w:tc>
          <w:tcPr>
            <w:tcW w:w="5000" w:type="pct"/>
          </w:tcPr>
          <w:p w:rsidR="00351B0D" w:rsidRDefault="00351B0D" w:rsidP="003739E4">
            <w:pPr>
              <w:pStyle w:val="SmallDeltasRightAligned"/>
              <w:keepNext/>
              <w:keepLines/>
            </w:pPr>
            <w:r>
              <w:rPr>
                <w:noProof/>
                <w:lang w:eastAsia="en-AU"/>
              </w:rPr>
              <w:drawing>
                <wp:inline distT="0" distB="0" distL="0" distR="0" wp14:anchorId="3014F494" wp14:editId="2EF7B186">
                  <wp:extent cx="481585" cy="2346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51B0D" w:rsidTr="003739E4">
        <w:tc>
          <w:tcPr>
            <w:tcW w:w="5000" w:type="pct"/>
          </w:tcPr>
          <w:p w:rsidR="00351B0D" w:rsidRDefault="00351B0D" w:rsidP="003739E4">
            <w:pPr>
              <w:pStyle w:val="Figure"/>
              <w:keepLines/>
            </w:pPr>
            <w:r>
              <w:rPr>
                <w:noProof/>
                <w:lang w:eastAsia="en-AU"/>
              </w:rPr>
              <w:drawing>
                <wp:inline distT="0" distB="0" distL="0" distR="0" wp14:anchorId="6F6240C3" wp14:editId="275B65F0">
                  <wp:extent cx="4673600" cy="331914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3600" cy="3319145"/>
                          </a:xfrm>
                          <a:prstGeom prst="rect">
                            <a:avLst/>
                          </a:prstGeom>
                          <a:noFill/>
                          <a:ln>
                            <a:noFill/>
                          </a:ln>
                        </pic:spPr>
                      </pic:pic>
                    </a:graphicData>
                  </a:graphic>
                </wp:inline>
              </w:drawing>
            </w:r>
          </w:p>
        </w:tc>
      </w:tr>
    </w:tbl>
    <w:p w:rsidR="004A6A46" w:rsidRDefault="004A6A46" w:rsidP="004A1832">
      <w:pPr>
        <w:pStyle w:val="Caption"/>
        <w:ind w:left="1418" w:hanging="1418"/>
      </w:pPr>
      <w:bookmarkStart w:id="7" w:name="_Ref365542597"/>
      <w:bookmarkStart w:id="8" w:name="_Toc370394668"/>
      <w:r>
        <w:t xml:space="preserve">Figure ES </w:t>
      </w:r>
      <w:fldSimple w:instr=" SEQ Figure_ES \* ARABIC ">
        <w:r w:rsidR="00660A8E">
          <w:rPr>
            <w:noProof/>
          </w:rPr>
          <w:t>3</w:t>
        </w:r>
      </w:fldSimple>
      <w:bookmarkEnd w:id="7"/>
      <w:r w:rsidRPr="004E0C91">
        <w:rPr>
          <w:b/>
          <w:color w:val="000080"/>
        </w:rPr>
        <w:tab/>
      </w:r>
      <w:r w:rsidRPr="004A6A46">
        <w:rPr>
          <w:rStyle w:val="CaptionLabel"/>
        </w:rPr>
        <w:t>Generation by fuel type – No Carbon Price scenario</w:t>
      </w:r>
      <w:bookmarkEnd w:id="8"/>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A6A46" w:rsidTr="003739E4">
        <w:tc>
          <w:tcPr>
            <w:tcW w:w="5000" w:type="pct"/>
          </w:tcPr>
          <w:p w:rsidR="004A6A46" w:rsidRDefault="004A6A46" w:rsidP="003739E4">
            <w:pPr>
              <w:pStyle w:val="SmallDeltasRightAligned"/>
              <w:keepNext/>
              <w:keepLines/>
            </w:pPr>
            <w:r>
              <w:rPr>
                <w:noProof/>
                <w:lang w:eastAsia="en-AU"/>
              </w:rPr>
              <w:drawing>
                <wp:inline distT="0" distB="0" distL="0" distR="0" wp14:anchorId="78626DA5" wp14:editId="73153B63">
                  <wp:extent cx="481585" cy="234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A6A46" w:rsidTr="003739E4">
        <w:tc>
          <w:tcPr>
            <w:tcW w:w="5000" w:type="pct"/>
          </w:tcPr>
          <w:p w:rsidR="004A6A46" w:rsidRDefault="004A6A46" w:rsidP="003739E4">
            <w:pPr>
              <w:pStyle w:val="Figure"/>
              <w:keepLines/>
            </w:pPr>
            <w:r>
              <w:rPr>
                <w:noProof/>
                <w:lang w:eastAsia="en-AU"/>
              </w:rPr>
              <w:drawing>
                <wp:inline distT="0" distB="0" distL="0" distR="0" wp14:anchorId="10944D1D" wp14:editId="245F06A9">
                  <wp:extent cx="4673600" cy="331914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3600" cy="3319145"/>
                          </a:xfrm>
                          <a:prstGeom prst="rect">
                            <a:avLst/>
                          </a:prstGeom>
                          <a:noFill/>
                          <a:ln>
                            <a:noFill/>
                          </a:ln>
                        </pic:spPr>
                      </pic:pic>
                    </a:graphicData>
                  </a:graphic>
                </wp:inline>
              </w:drawing>
            </w:r>
          </w:p>
        </w:tc>
      </w:tr>
    </w:tbl>
    <w:p w:rsidR="004A6A46" w:rsidRDefault="004A6A46" w:rsidP="004A6A46">
      <w:pPr>
        <w:pStyle w:val="BodyText"/>
      </w:pPr>
      <w:r>
        <w:t xml:space="preserve">In addition to the two core scenarios, ACIL </w:t>
      </w:r>
      <w:r w:rsidR="004F6D61">
        <w:t>Allen</w:t>
      </w:r>
      <w:r>
        <w:t xml:space="preserve"> also modelled </w:t>
      </w:r>
      <w:r w:rsidR="00D373A7">
        <w:t>High</w:t>
      </w:r>
      <w:r>
        <w:t xml:space="preserve"> and </w:t>
      </w:r>
      <w:r w:rsidR="00D373A7">
        <w:t>Low</w:t>
      </w:r>
      <w:r>
        <w:t xml:space="preserve"> Carbon Price scenarios, and a range of sensitivities, to test the effect of policy and other parameters on emissions from Australia’s electricity generation sector. </w:t>
      </w:r>
    </w:p>
    <w:p w:rsidR="004A6A46" w:rsidRDefault="004A6A46" w:rsidP="004A6A46">
      <w:pPr>
        <w:pStyle w:val="BodyText"/>
      </w:pPr>
      <w:r>
        <w:t xml:space="preserve">The High Carbon Price scenario adopted a substantially higher carbon price and consequently resulted in dramatically lower emissions than the Central Policy scenario, as is shown in </w:t>
      </w:r>
      <w:r w:rsidR="006E7DCA">
        <w:fldChar w:fldCharType="begin"/>
      </w:r>
      <w:r w:rsidR="006E7DCA">
        <w:instrText xml:space="preserve"> REF _Ref365542616 \h </w:instrText>
      </w:r>
      <w:r w:rsidR="006E7DCA">
        <w:fldChar w:fldCharType="separate"/>
      </w:r>
      <w:r w:rsidR="00660A8E">
        <w:t xml:space="preserve">Figure ES </w:t>
      </w:r>
      <w:r w:rsidR="00660A8E">
        <w:rPr>
          <w:noProof/>
        </w:rPr>
        <w:t>4</w:t>
      </w:r>
      <w:r w:rsidR="006E7DCA">
        <w:fldChar w:fldCharType="end"/>
      </w:r>
      <w:r>
        <w:t xml:space="preserve">. Conversely, there were only minimal differences between both the </w:t>
      </w:r>
      <w:r>
        <w:lastRenderedPageBreak/>
        <w:t xml:space="preserve">assumed carbon price and the modelled emissions trajectory between the Low Carbon Price and Central Policy scenarios. </w:t>
      </w:r>
    </w:p>
    <w:p w:rsidR="004A6A46" w:rsidRDefault="004A6A46" w:rsidP="004A1832">
      <w:pPr>
        <w:pStyle w:val="Caption"/>
        <w:ind w:left="1418" w:hanging="1418"/>
      </w:pPr>
      <w:bookmarkStart w:id="9" w:name="_Ref365542616"/>
      <w:bookmarkStart w:id="10" w:name="_Toc370394669"/>
      <w:r>
        <w:t xml:space="preserve">Figure ES </w:t>
      </w:r>
      <w:fldSimple w:instr=" SEQ Figure_ES \* ARABIC ">
        <w:r w:rsidR="00660A8E">
          <w:rPr>
            <w:noProof/>
          </w:rPr>
          <w:t>4</w:t>
        </w:r>
      </w:fldSimple>
      <w:bookmarkEnd w:id="9"/>
      <w:r w:rsidRPr="004E0C91">
        <w:rPr>
          <w:b/>
          <w:color w:val="000080"/>
        </w:rPr>
        <w:tab/>
      </w:r>
      <w:r w:rsidRPr="004A6A46">
        <w:rPr>
          <w:rStyle w:val="CaptionLabel"/>
        </w:rPr>
        <w:t>Aggregate emissions – carbon price scenarios</w:t>
      </w:r>
      <w:bookmarkEnd w:id="10"/>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A6A46" w:rsidTr="003739E4">
        <w:tc>
          <w:tcPr>
            <w:tcW w:w="5000" w:type="pct"/>
          </w:tcPr>
          <w:p w:rsidR="004A6A46" w:rsidRDefault="004A6A46" w:rsidP="003739E4">
            <w:pPr>
              <w:pStyle w:val="SmallDeltasRightAligned"/>
              <w:keepNext/>
              <w:keepLines/>
            </w:pPr>
            <w:r>
              <w:rPr>
                <w:noProof/>
                <w:lang w:eastAsia="en-AU"/>
              </w:rPr>
              <w:drawing>
                <wp:inline distT="0" distB="0" distL="0" distR="0" wp14:anchorId="6C8F52EA" wp14:editId="516CCCD3">
                  <wp:extent cx="481585" cy="234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A6A46" w:rsidTr="003739E4">
        <w:tc>
          <w:tcPr>
            <w:tcW w:w="5000" w:type="pct"/>
          </w:tcPr>
          <w:p w:rsidR="004A6A46" w:rsidRDefault="004A6A46" w:rsidP="004A1832">
            <w:pPr>
              <w:pStyle w:val="Figure"/>
              <w:keepNext w:val="0"/>
              <w:keepLines/>
            </w:pPr>
            <w:r>
              <w:rPr>
                <w:noProof/>
                <w:lang w:eastAsia="en-AU"/>
              </w:rPr>
              <w:drawing>
                <wp:inline distT="0" distB="0" distL="0" distR="0" wp14:anchorId="55FA9132" wp14:editId="08A0FD24">
                  <wp:extent cx="4673600" cy="240474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4A6A46" w:rsidRDefault="004A6A46" w:rsidP="004A1832">
      <w:pPr>
        <w:pStyle w:val="BodyText"/>
        <w:keepNext/>
      </w:pPr>
      <w:r>
        <w:t xml:space="preserve">In addition to the carbon price scenarios, </w:t>
      </w:r>
      <w:r w:rsidR="00D373A7">
        <w:t>various</w:t>
      </w:r>
      <w:r>
        <w:t xml:space="preserve"> sensitivities </w:t>
      </w:r>
      <w:r w:rsidR="00D373A7">
        <w:t xml:space="preserve">were </w:t>
      </w:r>
      <w:r>
        <w:t>modelled</w:t>
      </w:r>
      <w:r w:rsidR="00D373A7">
        <w:t>, involving</w:t>
      </w:r>
      <w:r>
        <w:t>:</w:t>
      </w:r>
    </w:p>
    <w:p w:rsidR="00D373A7" w:rsidRDefault="00D373A7" w:rsidP="00D373A7">
      <w:pPr>
        <w:pStyle w:val="ListBullet"/>
        <w:spacing w:before="80" w:after="0"/>
        <w:rPr>
          <w:lang w:val="en-US"/>
        </w:rPr>
      </w:pPr>
      <w:r>
        <w:rPr>
          <w:lang w:val="en-US"/>
        </w:rPr>
        <w:t xml:space="preserve">Higher and lower electricity demand growth </w:t>
      </w:r>
    </w:p>
    <w:p w:rsidR="00D373A7" w:rsidRDefault="00D373A7" w:rsidP="00D373A7">
      <w:pPr>
        <w:pStyle w:val="ListBullet"/>
        <w:spacing w:before="80" w:after="0"/>
        <w:rPr>
          <w:lang w:val="en-US"/>
        </w:rPr>
      </w:pPr>
      <w:r>
        <w:rPr>
          <w:lang w:val="en-US"/>
        </w:rPr>
        <w:t>Higher and lower fuel prices</w:t>
      </w:r>
    </w:p>
    <w:p w:rsidR="00D373A7" w:rsidRDefault="00D373A7" w:rsidP="00D373A7">
      <w:pPr>
        <w:pStyle w:val="ListBullet"/>
        <w:spacing w:before="80" w:after="0"/>
        <w:rPr>
          <w:lang w:val="en-US"/>
        </w:rPr>
      </w:pPr>
      <w:r>
        <w:rPr>
          <w:lang w:val="en-US"/>
        </w:rPr>
        <w:t>Faster and slower rates of capital cost reductions for key renewable technologies, particularly solar PV</w:t>
      </w:r>
    </w:p>
    <w:p w:rsidR="00D373A7" w:rsidRDefault="00D373A7" w:rsidP="00D373A7">
      <w:pPr>
        <w:pStyle w:val="ListBullet"/>
        <w:spacing w:before="80" w:after="0"/>
        <w:rPr>
          <w:lang w:val="en-US"/>
        </w:rPr>
      </w:pPr>
      <w:r>
        <w:rPr>
          <w:lang w:val="en-US"/>
        </w:rPr>
        <w:t xml:space="preserve">Restrictions on technology availability, with geothermal, CCS and both technologies made unavailable across three separate model runs. </w:t>
      </w:r>
    </w:p>
    <w:p w:rsidR="004A6A46" w:rsidRDefault="004A6A46" w:rsidP="004A6A46">
      <w:pPr>
        <w:pStyle w:val="BodyText"/>
      </w:pPr>
      <w:r>
        <w:t xml:space="preserve">The change in emissions in each of these sensitivities relative to the Central Policy scenario is shown in </w:t>
      </w:r>
      <w:r w:rsidR="006E7DCA">
        <w:fldChar w:fldCharType="begin"/>
      </w:r>
      <w:r w:rsidR="006E7DCA">
        <w:instrText xml:space="preserve"> REF _Ref365542623 \h </w:instrText>
      </w:r>
      <w:r w:rsidR="006E7DCA">
        <w:fldChar w:fldCharType="separate"/>
      </w:r>
      <w:r w:rsidR="00660A8E">
        <w:t xml:space="preserve">Figure ES </w:t>
      </w:r>
      <w:r w:rsidR="00660A8E">
        <w:rPr>
          <w:noProof/>
        </w:rPr>
        <w:t>5</w:t>
      </w:r>
      <w:r w:rsidR="006E7DCA">
        <w:fldChar w:fldCharType="end"/>
      </w:r>
      <w:r>
        <w:t>.</w:t>
      </w:r>
    </w:p>
    <w:p w:rsidR="004A6A46" w:rsidRDefault="004A6A46" w:rsidP="004A1832">
      <w:pPr>
        <w:pStyle w:val="Caption"/>
        <w:ind w:left="1418" w:hanging="1418"/>
      </w:pPr>
      <w:bookmarkStart w:id="11" w:name="_Ref365542623"/>
      <w:bookmarkStart w:id="12" w:name="_Toc370394670"/>
      <w:r>
        <w:lastRenderedPageBreak/>
        <w:t xml:space="preserve">Figure ES </w:t>
      </w:r>
      <w:fldSimple w:instr=" SEQ Figure_ES \* ARABIC ">
        <w:r w:rsidR="00660A8E">
          <w:rPr>
            <w:noProof/>
          </w:rPr>
          <w:t>5</w:t>
        </w:r>
      </w:fldSimple>
      <w:bookmarkEnd w:id="11"/>
      <w:r w:rsidRPr="004E0C91">
        <w:rPr>
          <w:b/>
          <w:color w:val="000080"/>
        </w:rPr>
        <w:tab/>
      </w:r>
      <w:r w:rsidRPr="004A6A46">
        <w:rPr>
          <w:rStyle w:val="CaptionLabel"/>
        </w:rPr>
        <w:t>Change in emissions from Central Policy scenario – all sensitivities</w:t>
      </w:r>
      <w:bookmarkEnd w:id="12"/>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A6A46" w:rsidTr="003739E4">
        <w:tc>
          <w:tcPr>
            <w:tcW w:w="5000" w:type="pct"/>
          </w:tcPr>
          <w:p w:rsidR="004A6A46" w:rsidRDefault="004A6A46" w:rsidP="003739E4">
            <w:pPr>
              <w:pStyle w:val="SmallDeltasRightAligned"/>
              <w:keepNext/>
              <w:keepLines/>
            </w:pPr>
            <w:r>
              <w:rPr>
                <w:noProof/>
                <w:lang w:eastAsia="en-AU"/>
              </w:rPr>
              <w:drawing>
                <wp:inline distT="0" distB="0" distL="0" distR="0" wp14:anchorId="231BF69E" wp14:editId="02D0C925">
                  <wp:extent cx="481585" cy="234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A6A46" w:rsidTr="003739E4">
        <w:tc>
          <w:tcPr>
            <w:tcW w:w="5000" w:type="pct"/>
          </w:tcPr>
          <w:p w:rsidR="004A6A46" w:rsidRDefault="00D373A7" w:rsidP="003739E4">
            <w:pPr>
              <w:pStyle w:val="Figure"/>
              <w:keepLines/>
            </w:pPr>
            <w:r>
              <w:rPr>
                <w:noProof/>
                <w:lang w:eastAsia="en-AU"/>
              </w:rPr>
              <w:drawing>
                <wp:inline distT="0" distB="0" distL="0" distR="0" wp14:anchorId="1EC13755" wp14:editId="757475C5">
                  <wp:extent cx="4673600" cy="278828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3600" cy="2788285"/>
                          </a:xfrm>
                          <a:prstGeom prst="rect">
                            <a:avLst/>
                          </a:prstGeom>
                          <a:noFill/>
                          <a:ln>
                            <a:noFill/>
                          </a:ln>
                        </pic:spPr>
                      </pic:pic>
                    </a:graphicData>
                  </a:graphic>
                </wp:inline>
              </w:drawing>
            </w:r>
          </w:p>
        </w:tc>
      </w:tr>
    </w:tbl>
    <w:p w:rsidR="006E7DCA" w:rsidRDefault="006E7DCA" w:rsidP="006E7DCA">
      <w:pPr>
        <w:pStyle w:val="BodyText"/>
      </w:pPr>
    </w:p>
    <w:p w:rsidR="006E7DCA" w:rsidRDefault="006E7DCA">
      <w:pPr>
        <w:pStyle w:val="BodyText"/>
      </w:pPr>
    </w:p>
    <w:p w:rsidR="0081772A" w:rsidRDefault="0081772A">
      <w:pPr>
        <w:pStyle w:val="BodyText"/>
        <w:sectPr w:rsidR="0081772A" w:rsidSect="003739E4">
          <w:headerReference w:type="default" r:id="rId28"/>
          <w:footerReference w:type="default" r:id="rId29"/>
          <w:pgSz w:w="11907" w:h="16839" w:code="9"/>
          <w:pgMar w:top="1134" w:right="850" w:bottom="907" w:left="3118" w:header="709" w:footer="567" w:gutter="567"/>
          <w:pgNumType w:fmt="lowerRoman"/>
          <w:cols w:space="720"/>
          <w:docGrid w:linePitch="272"/>
        </w:sectPr>
      </w:pPr>
    </w:p>
    <w:p w:rsidR="00CE5AC0" w:rsidRPr="00CE5AC0" w:rsidRDefault="00CE5AC0" w:rsidP="00CE5AC0">
      <w:pPr>
        <w:pStyle w:val="Heading1"/>
      </w:pPr>
      <w:bookmarkStart w:id="13" w:name="_Toc365474005"/>
      <w:bookmarkStart w:id="14" w:name="_Toc370394617"/>
      <w:r w:rsidRPr="00CE5AC0">
        <w:lastRenderedPageBreak/>
        <w:t>Introduction</w:t>
      </w:r>
      <w:bookmarkEnd w:id="13"/>
      <w:bookmarkEnd w:id="14"/>
    </w:p>
    <w:p w:rsidR="00CE5AC0" w:rsidRDefault="00CE5AC0" w:rsidP="00CE5AC0">
      <w:pPr>
        <w:pStyle w:val="BodyText"/>
      </w:pPr>
      <w:r>
        <w:t xml:space="preserve">The Department of Industry, Innovation, Climate Change, Science, Research and Tertiary Education (DIICCSRTE) commissioned ACIL </w:t>
      </w:r>
      <w:r w:rsidR="004F6D61">
        <w:t>Allen</w:t>
      </w:r>
      <w:r w:rsidR="00245E9E">
        <w:t xml:space="preserve"> Consulting (ACIL Allen)</w:t>
      </w:r>
      <w:r>
        <w:t xml:space="preserve"> to model greenhouse gas emissions from Australia’s electricity generation sector over the period to 2049-50 for its national emissions projections. </w:t>
      </w:r>
    </w:p>
    <w:p w:rsidR="00CE5AC0" w:rsidRDefault="00CE5AC0" w:rsidP="00CE5AC0">
      <w:pPr>
        <w:pStyle w:val="BodyText"/>
      </w:pPr>
      <w:r>
        <w:t xml:space="preserve">ACIL </w:t>
      </w:r>
      <w:r w:rsidR="004F6D61">
        <w:t>Allen</w:t>
      </w:r>
      <w:r>
        <w:t xml:space="preserve"> estimated emissions from Australia’s electricity generation sector under two scenarios: a Central Policy scenario including the effect of a carbon price and a No Carbon Price scenario with no carbon price in effect. ACIL </w:t>
      </w:r>
      <w:r w:rsidR="004F6D61">
        <w:t>Allen</w:t>
      </w:r>
      <w:r>
        <w:t xml:space="preserve">’s </w:t>
      </w:r>
      <w:r w:rsidRPr="002F50A3">
        <w:rPr>
          <w:i/>
        </w:rPr>
        <w:t>PowerMark LT</w:t>
      </w:r>
      <w:r>
        <w:t xml:space="preserve"> and </w:t>
      </w:r>
      <w:r w:rsidRPr="002F50A3">
        <w:rPr>
          <w:i/>
        </w:rPr>
        <w:t>RECMark</w:t>
      </w:r>
      <w:r>
        <w:t xml:space="preserve"> models were used to estimate effects in Australia’s major electricity markets: the National Electricity Market, the South-West Interconnected System centred on Perth, the North-West Interconnected System in the Pilbara region, the Darwin-Katherine Interconnected System and the grid serving Mount Isa. Emissions from embedded and off-grid </w:t>
      </w:r>
      <w:r w:rsidR="006E7DCA">
        <w:t>generation were also estimated.</w:t>
      </w:r>
    </w:p>
    <w:p w:rsidR="00CE5AC0" w:rsidRDefault="00CE5AC0" w:rsidP="00CE5AC0">
      <w:pPr>
        <w:pStyle w:val="BodyText"/>
      </w:pPr>
      <w:r>
        <w:t>Electricity demand and other</w:t>
      </w:r>
      <w:r w:rsidR="00245E9E">
        <w:t xml:space="preserve"> assumptions were derived from Computable General E</w:t>
      </w:r>
      <w:r>
        <w:t>quilibrium (CGE) modelling of the Australian and world economies u</w:t>
      </w:r>
      <w:r w:rsidR="006E7DCA">
        <w:t>ndertaken by the Treasury.</w:t>
      </w:r>
    </w:p>
    <w:p w:rsidR="00CE5AC0" w:rsidRDefault="00CE5AC0" w:rsidP="00CE5AC0">
      <w:pPr>
        <w:pStyle w:val="BodyText"/>
      </w:pPr>
      <w:r>
        <w:t xml:space="preserve">In addition to the two core scenarios, ACIL </w:t>
      </w:r>
      <w:r w:rsidR="004F6D61">
        <w:t>Allen</w:t>
      </w:r>
      <w:r>
        <w:t xml:space="preserve"> also modelled low and high carbon price scenarios, and a range of sensitivities, to test the effect of policy and other parameters on emissions from Australia’s electricity gene</w:t>
      </w:r>
      <w:r w:rsidR="006E7DCA">
        <w:t>ration sector.</w:t>
      </w:r>
    </w:p>
    <w:p w:rsidR="00CE5AC0" w:rsidRDefault="00CE5AC0" w:rsidP="00CE5AC0">
      <w:pPr>
        <w:pStyle w:val="BodyText"/>
      </w:pPr>
      <w:r>
        <w:t>This report is structured as follows:</w:t>
      </w:r>
    </w:p>
    <w:p w:rsidR="00CE5AC0" w:rsidRDefault="00CE5AC0" w:rsidP="00CE5AC0">
      <w:pPr>
        <w:pStyle w:val="ListBullet"/>
        <w:spacing w:before="80" w:after="0"/>
      </w:pPr>
      <w:r>
        <w:t xml:space="preserve">Section </w:t>
      </w:r>
      <w:r w:rsidR="00450552">
        <w:fldChar w:fldCharType="begin"/>
      </w:r>
      <w:r w:rsidR="00450552">
        <w:instrText xml:space="preserve"> REF _Ref360623372 \n \h </w:instrText>
      </w:r>
      <w:r w:rsidR="00450552">
        <w:fldChar w:fldCharType="separate"/>
      </w:r>
      <w:r w:rsidR="00660A8E">
        <w:t>2</w:t>
      </w:r>
      <w:r w:rsidR="00450552">
        <w:fldChar w:fldCharType="end"/>
      </w:r>
      <w:r>
        <w:t xml:space="preserve"> gives an overview of the project, including methodology, the models used, and a description of the scenarios and sensitivities modelled</w:t>
      </w:r>
    </w:p>
    <w:p w:rsidR="00CE5AC0" w:rsidRDefault="00CE5AC0" w:rsidP="00CE5AC0">
      <w:pPr>
        <w:pStyle w:val="ListBullet"/>
        <w:spacing w:before="80" w:after="0"/>
      </w:pPr>
      <w:r>
        <w:t xml:space="preserve">Section </w:t>
      </w:r>
      <w:r w:rsidR="00450552">
        <w:fldChar w:fldCharType="begin"/>
      </w:r>
      <w:r w:rsidR="00450552">
        <w:instrText xml:space="preserve"> REF _Ref360623379 \n \h </w:instrText>
      </w:r>
      <w:r w:rsidR="00450552">
        <w:fldChar w:fldCharType="separate"/>
      </w:r>
      <w:r w:rsidR="00660A8E">
        <w:t>3</w:t>
      </w:r>
      <w:r w:rsidR="00450552">
        <w:fldChar w:fldCharType="end"/>
      </w:r>
      <w:r>
        <w:t xml:space="preserve"> sets out the key modelling assumptions, including those derived from CGE modelling and those adopted within the electricity sector modelling</w:t>
      </w:r>
    </w:p>
    <w:p w:rsidR="00CE5AC0" w:rsidRDefault="00CE5AC0" w:rsidP="00CE5AC0">
      <w:pPr>
        <w:pStyle w:val="ListBullet"/>
        <w:spacing w:before="80" w:after="0"/>
      </w:pPr>
      <w:r>
        <w:t xml:space="preserve">Section </w:t>
      </w:r>
      <w:r w:rsidR="00450552">
        <w:fldChar w:fldCharType="begin"/>
      </w:r>
      <w:r w:rsidR="00450552">
        <w:instrText xml:space="preserve"> REF _Ref364255839 \n \h </w:instrText>
      </w:r>
      <w:r w:rsidR="00450552">
        <w:fldChar w:fldCharType="separate"/>
      </w:r>
      <w:r w:rsidR="00660A8E">
        <w:t>4</w:t>
      </w:r>
      <w:r w:rsidR="00450552">
        <w:fldChar w:fldCharType="end"/>
      </w:r>
      <w:r>
        <w:t xml:space="preserve"> highlights the key modelling results for the Central Policy and No Carbon Price scenarios</w:t>
      </w:r>
    </w:p>
    <w:p w:rsidR="00CE5AC0" w:rsidRDefault="00CE5AC0" w:rsidP="00CE5AC0">
      <w:pPr>
        <w:pStyle w:val="ListBullet"/>
        <w:spacing w:before="80" w:after="0"/>
      </w:pPr>
      <w:r>
        <w:t xml:space="preserve">Section </w:t>
      </w:r>
      <w:r w:rsidR="00450552">
        <w:fldChar w:fldCharType="begin"/>
      </w:r>
      <w:r w:rsidR="00450552">
        <w:instrText xml:space="preserve"> REF _Ref365542820 \n \h </w:instrText>
      </w:r>
      <w:r w:rsidR="00450552">
        <w:fldChar w:fldCharType="separate"/>
      </w:r>
      <w:r w:rsidR="00660A8E">
        <w:t>5</w:t>
      </w:r>
      <w:r w:rsidR="00450552">
        <w:fldChar w:fldCharType="end"/>
      </w:r>
      <w:r>
        <w:t xml:space="preserve"> outlines the results from the modell</w:t>
      </w:r>
      <w:r w:rsidR="006E7DCA">
        <w:t>ed scenarios and sensitivities.</w:t>
      </w:r>
    </w:p>
    <w:p w:rsidR="00CE5AC0" w:rsidRPr="00CE5AC0" w:rsidRDefault="00CE5AC0" w:rsidP="00CE5AC0">
      <w:pPr>
        <w:pStyle w:val="Heading1"/>
      </w:pPr>
      <w:bookmarkStart w:id="15" w:name="_Toc350265285"/>
      <w:bookmarkStart w:id="16" w:name="_Ref360623372"/>
      <w:bookmarkStart w:id="17" w:name="_Toc365474006"/>
      <w:bookmarkStart w:id="18" w:name="_Toc370394618"/>
      <w:bookmarkEnd w:id="15"/>
      <w:r w:rsidRPr="00CE5AC0">
        <w:lastRenderedPageBreak/>
        <w:t>Project overview</w:t>
      </w:r>
      <w:bookmarkEnd w:id="16"/>
      <w:bookmarkEnd w:id="17"/>
      <w:bookmarkEnd w:id="18"/>
    </w:p>
    <w:p w:rsidR="00CE5AC0" w:rsidRDefault="00CE5AC0" w:rsidP="00CE5AC0">
      <w:pPr>
        <w:pStyle w:val="Heading2"/>
        <w:pBdr>
          <w:bottom w:val="none" w:sz="0" w:space="0" w:color="auto"/>
        </w:pBdr>
      </w:pPr>
      <w:bookmarkStart w:id="19" w:name="_Toc365474007"/>
      <w:bookmarkStart w:id="20" w:name="_Toc370394619"/>
      <w:r>
        <w:t>Methodology</w:t>
      </w:r>
      <w:bookmarkEnd w:id="19"/>
      <w:bookmarkEnd w:id="20"/>
    </w:p>
    <w:p w:rsidR="00CE5AC0" w:rsidRDefault="00CE5AC0" w:rsidP="00CE5AC0">
      <w:pPr>
        <w:pStyle w:val="BodyText"/>
      </w:pPr>
      <w:r>
        <w:t xml:space="preserve">ACIL </w:t>
      </w:r>
      <w:r w:rsidR="004F6D61">
        <w:t>Allen</w:t>
      </w:r>
      <w:r>
        <w:t xml:space="preserve">’s modelling of the Australian electricity generation sector uses two detailed sectoral models, </w:t>
      </w:r>
      <w:r w:rsidRPr="00602FB4">
        <w:rPr>
          <w:i/>
        </w:rPr>
        <w:t>PowerMark LT</w:t>
      </w:r>
      <w:r>
        <w:t xml:space="preserve"> and </w:t>
      </w:r>
      <w:r w:rsidRPr="00602FB4">
        <w:rPr>
          <w:i/>
        </w:rPr>
        <w:t>RECMark</w:t>
      </w:r>
      <w:r>
        <w:t>, as well as inputs derived from the Treasury’s CGE modelling of the wider Australi</w:t>
      </w:r>
      <w:r w:rsidR="006E7DCA">
        <w:t>an and international economies.</w:t>
      </w:r>
    </w:p>
    <w:p w:rsidR="00CE5AC0" w:rsidRDefault="00CE5AC0" w:rsidP="00CE5AC0">
      <w:pPr>
        <w:pStyle w:val="BodyText"/>
      </w:pPr>
      <w:r w:rsidRPr="00602FB4">
        <w:rPr>
          <w:i/>
        </w:rPr>
        <w:t>PowerMark LT</w:t>
      </w:r>
      <w:r>
        <w:t xml:space="preserve"> is ACIL </w:t>
      </w:r>
      <w:r w:rsidR="004F6D61">
        <w:t>Allen</w:t>
      </w:r>
      <w:r>
        <w:t xml:space="preserve">’s dynamic least cost model of the Australian electricity sector and is designed to optimise dispatch, investment and retirement decisions over long modelling horizons, given demand, carbon price and other assumptions. More detail on </w:t>
      </w:r>
      <w:r w:rsidRPr="00602FB4">
        <w:rPr>
          <w:i/>
        </w:rPr>
        <w:t>PowerMark LT’s</w:t>
      </w:r>
      <w:r>
        <w:t xml:space="preserve"> model structure is provided in section </w:t>
      </w:r>
      <w:r w:rsidR="00450552">
        <w:fldChar w:fldCharType="begin"/>
      </w:r>
      <w:r w:rsidR="00450552">
        <w:instrText xml:space="preserve"> REF _Ref364848471 \n \h </w:instrText>
      </w:r>
      <w:r w:rsidR="00450552">
        <w:fldChar w:fldCharType="separate"/>
      </w:r>
      <w:r w:rsidR="00660A8E">
        <w:t>2.2.1</w:t>
      </w:r>
      <w:r w:rsidR="00450552">
        <w:fldChar w:fldCharType="end"/>
      </w:r>
      <w:r>
        <w:t xml:space="preserve"> </w:t>
      </w:r>
      <w:r w:rsidR="004F6D61">
        <w:t xml:space="preserve">below </w:t>
      </w:r>
      <w:r>
        <w:t xml:space="preserve">and </w:t>
      </w:r>
      <w:r w:rsidR="00450552">
        <w:fldChar w:fldCharType="begin"/>
      </w:r>
      <w:r w:rsidR="00450552">
        <w:instrText xml:space="preserve"> REF _Ref365542874 \n \h </w:instrText>
      </w:r>
      <w:r w:rsidR="00450552">
        <w:fldChar w:fldCharType="separate"/>
      </w:r>
      <w:r w:rsidR="00660A8E">
        <w:t>Appendix A</w:t>
      </w:r>
      <w:r w:rsidR="00450552">
        <w:fldChar w:fldCharType="end"/>
      </w:r>
      <w:r>
        <w:t xml:space="preserve">. </w:t>
      </w:r>
      <w:r w:rsidRPr="009C6091">
        <w:rPr>
          <w:i/>
        </w:rPr>
        <w:t>RECMark</w:t>
      </w:r>
      <w:r>
        <w:t xml:space="preserve"> is ACIL </w:t>
      </w:r>
      <w:r w:rsidR="004F6D61">
        <w:t>Allen</w:t>
      </w:r>
      <w:r>
        <w:t>’s model of how renewable generation responds to broader electricity market outcomes and renewable energy policy settings, particularly the Large-scale Renewable Energy Target (LRET).</w:t>
      </w:r>
      <w:r w:rsidRPr="00486107">
        <w:t xml:space="preserve"> </w:t>
      </w:r>
      <w:r>
        <w:t xml:space="preserve">More detail on </w:t>
      </w:r>
      <w:r w:rsidRPr="00602FB4">
        <w:rPr>
          <w:i/>
        </w:rPr>
        <w:t>RECMark’s</w:t>
      </w:r>
      <w:r>
        <w:t xml:space="preserve"> model structure is provided in </w:t>
      </w:r>
      <w:r w:rsidR="004F6D61">
        <w:t>S</w:t>
      </w:r>
      <w:r>
        <w:t xml:space="preserve">ection </w:t>
      </w:r>
      <w:r w:rsidR="00450552">
        <w:fldChar w:fldCharType="begin"/>
      </w:r>
      <w:r w:rsidR="00450552">
        <w:instrText xml:space="preserve"> REF _Ref350252482 \n \h </w:instrText>
      </w:r>
      <w:r w:rsidR="00450552">
        <w:fldChar w:fldCharType="separate"/>
      </w:r>
      <w:r w:rsidR="00660A8E">
        <w:t>2.2.2</w:t>
      </w:r>
      <w:r w:rsidR="00450552">
        <w:fldChar w:fldCharType="end"/>
      </w:r>
      <w:r>
        <w:t xml:space="preserve"> </w:t>
      </w:r>
      <w:r w:rsidR="004F6D61">
        <w:t xml:space="preserve">below </w:t>
      </w:r>
      <w:r>
        <w:t xml:space="preserve">and </w:t>
      </w:r>
      <w:r w:rsidR="00450552">
        <w:fldChar w:fldCharType="begin"/>
      </w:r>
      <w:r w:rsidR="00450552">
        <w:instrText xml:space="preserve"> REF _Ref365542881 \n \h </w:instrText>
      </w:r>
      <w:r w:rsidR="00450552">
        <w:fldChar w:fldCharType="separate"/>
      </w:r>
      <w:r w:rsidR="00660A8E">
        <w:t>Appendix B</w:t>
      </w:r>
      <w:r w:rsidR="00450552">
        <w:fldChar w:fldCharType="end"/>
      </w:r>
      <w:r>
        <w:t>.</w:t>
      </w:r>
    </w:p>
    <w:p w:rsidR="00CE5AC0" w:rsidRDefault="00CE5AC0" w:rsidP="00CE5AC0">
      <w:pPr>
        <w:pStyle w:val="BodyText"/>
      </w:pPr>
      <w:r>
        <w:t xml:space="preserve">The key inputs from the Treasury CGE modelling for use in ACIL </w:t>
      </w:r>
      <w:r w:rsidR="004F6D61">
        <w:t>Allen</w:t>
      </w:r>
      <w:r>
        <w:t>’s electr</w:t>
      </w:r>
      <w:r w:rsidR="006E7DCA">
        <w:t>icity sector modelling include:</w:t>
      </w:r>
    </w:p>
    <w:p w:rsidR="00CE5AC0" w:rsidRDefault="00CE5AC0" w:rsidP="00CE5AC0">
      <w:pPr>
        <w:pStyle w:val="ListBullet"/>
        <w:spacing w:before="80" w:after="0"/>
      </w:pPr>
      <w:r>
        <w:t>electricity demand growth rates</w:t>
      </w:r>
    </w:p>
    <w:p w:rsidR="00CE5AC0" w:rsidRDefault="00CE5AC0" w:rsidP="00CE5AC0">
      <w:pPr>
        <w:pStyle w:val="ListBullet"/>
        <w:spacing w:before="80" w:after="0"/>
      </w:pPr>
      <w:r>
        <w:t>international fuel prices, which affect domestic prices of fuels used in electricity generation, such as gas and coal</w:t>
      </w:r>
    </w:p>
    <w:p w:rsidR="00CE5AC0" w:rsidRDefault="00CE5AC0" w:rsidP="00CE5AC0">
      <w:pPr>
        <w:pStyle w:val="ListBullet"/>
        <w:spacing w:before="80" w:after="0"/>
      </w:pPr>
      <w:r>
        <w:t>steel prices and Australian labour costs, which affect the cost of building new electricity generators</w:t>
      </w:r>
    </w:p>
    <w:p w:rsidR="00CE5AC0" w:rsidRDefault="00CE5AC0" w:rsidP="00CE5AC0">
      <w:pPr>
        <w:pStyle w:val="ListBullet"/>
        <w:spacing w:before="80" w:after="0"/>
      </w:pPr>
      <w:r>
        <w:t>the Australian real exchange rate, which affects the cost of imported components used in build</w:t>
      </w:r>
      <w:r w:rsidR="006E7DCA">
        <w:t>ing new electricity generators.</w:t>
      </w:r>
    </w:p>
    <w:p w:rsidR="00CE5AC0" w:rsidRDefault="00CE5AC0" w:rsidP="00CE5AC0">
      <w:pPr>
        <w:pStyle w:val="Heading2"/>
        <w:pBdr>
          <w:bottom w:val="none" w:sz="0" w:space="0" w:color="auto"/>
        </w:pBdr>
      </w:pPr>
      <w:bookmarkStart w:id="21" w:name="_Toc350265287"/>
      <w:bookmarkStart w:id="22" w:name="_Toc365474008"/>
      <w:bookmarkStart w:id="23" w:name="_Toc370394620"/>
      <w:bookmarkStart w:id="24" w:name="_Ref350252492"/>
      <w:bookmarkEnd w:id="21"/>
      <w:r>
        <w:t>Model suite</w:t>
      </w:r>
      <w:bookmarkEnd w:id="22"/>
      <w:bookmarkEnd w:id="23"/>
    </w:p>
    <w:p w:rsidR="00CE5AC0" w:rsidRDefault="00CE5AC0" w:rsidP="00CE5AC0">
      <w:pPr>
        <w:pStyle w:val="Heading3"/>
      </w:pPr>
      <w:bookmarkStart w:id="25" w:name="_Ref364848471"/>
      <w:bookmarkStart w:id="26" w:name="_Toc365474009"/>
      <w:bookmarkStart w:id="27" w:name="_Toc370394621"/>
      <w:r>
        <w:t>PowerMark LT</w:t>
      </w:r>
      <w:bookmarkEnd w:id="24"/>
      <w:bookmarkEnd w:id="25"/>
      <w:bookmarkEnd w:id="26"/>
      <w:bookmarkEnd w:id="27"/>
    </w:p>
    <w:p w:rsidR="00CE5AC0" w:rsidRDefault="00CE5AC0" w:rsidP="00CE5AC0">
      <w:pPr>
        <w:pStyle w:val="BodyText"/>
      </w:pPr>
      <w:r w:rsidRPr="009C6091">
        <w:rPr>
          <w:i/>
        </w:rPr>
        <w:t>PowerMark LT</w:t>
      </w:r>
      <w:r>
        <w:t xml:space="preserve"> is a dynamic least cost model, which optimises existing and new generation operation and new investments over a chosen model horizon, given a range of input assumptions regarding demand growth, incumbent plant costs, interconnectors, new development costs and government policy settings (particularly carbon pricing and the LRET). </w:t>
      </w:r>
      <w:r w:rsidRPr="009C6091">
        <w:rPr>
          <w:i/>
        </w:rPr>
        <w:t>PowerMark LT</w:t>
      </w:r>
      <w:r>
        <w:t xml:space="preserve"> utilises a large scale commercial LP solver.</w:t>
      </w:r>
      <w:r w:rsidRPr="008B020E">
        <w:rPr>
          <w:i/>
        </w:rPr>
        <w:t xml:space="preserve"> </w:t>
      </w:r>
      <w:r w:rsidRPr="009C6091">
        <w:rPr>
          <w:i/>
        </w:rPr>
        <w:t>PowerMark LT</w:t>
      </w:r>
      <w:r w:rsidRPr="002848AD">
        <w:rPr>
          <w:i/>
        </w:rPr>
        <w:t xml:space="preserve"> </w:t>
      </w:r>
      <w:r>
        <w:t>solves efficiently providing the solution for a single long term scenario (technology, policy settings etc.) within a few minutes.</w:t>
      </w:r>
      <w:r w:rsidRPr="008B020E">
        <w:rPr>
          <w:i/>
        </w:rPr>
        <w:t xml:space="preserve"> </w:t>
      </w:r>
      <w:r>
        <w:t>This means that multiple scenario comparisons (for example to compare the effect of different technology futures) are practical within a single set of model runs with the full comparison suite available quickly.</w:t>
      </w:r>
    </w:p>
    <w:p w:rsidR="00CE5AC0" w:rsidRDefault="00CE5AC0" w:rsidP="00CE5AC0">
      <w:pPr>
        <w:pStyle w:val="BodyText"/>
      </w:pPr>
      <w:r>
        <w:t xml:space="preserve">To aid computation, </w:t>
      </w:r>
      <w:r w:rsidRPr="009C6091">
        <w:rPr>
          <w:i/>
        </w:rPr>
        <w:t>PowerMark LT</w:t>
      </w:r>
      <w:r>
        <w:t xml:space="preserve"> uses fewer dispatch periods per model year than a simulation model such as </w:t>
      </w:r>
      <w:r w:rsidRPr="009C6091">
        <w:rPr>
          <w:i/>
        </w:rPr>
        <w:t>PowerMark</w:t>
      </w:r>
      <w:r>
        <w:t xml:space="preserve"> (typically 100 for </w:t>
      </w:r>
      <w:r w:rsidRPr="009C6091">
        <w:rPr>
          <w:i/>
        </w:rPr>
        <w:t>PowerMark LT</w:t>
      </w:r>
      <w:r>
        <w:t xml:space="preserve">, compared to 8760, or one per hour, for </w:t>
      </w:r>
      <w:r w:rsidRPr="009C6091">
        <w:rPr>
          <w:i/>
        </w:rPr>
        <w:t>PowerMark</w:t>
      </w:r>
      <w:r>
        <w:t xml:space="preserve">). Accordingly, </w:t>
      </w:r>
      <w:r w:rsidRPr="009C6091">
        <w:rPr>
          <w:i/>
        </w:rPr>
        <w:t>PowerMark LT</w:t>
      </w:r>
      <w:r>
        <w:t xml:space="preserve"> solves more quickly and can automatically optimise generation new entry and dispatch outcomes over long time horizons on an inter-temporal basis (that is, adjusting outcomes in all periods based on outcomes in all other dispatch periods). By contrast, the more data intensive </w:t>
      </w:r>
      <w:r w:rsidRPr="009C6091">
        <w:rPr>
          <w:i/>
        </w:rPr>
        <w:t>PowerMark</w:t>
      </w:r>
      <w:r>
        <w:t xml:space="preserve"> is not solved </w:t>
      </w:r>
      <w:r>
        <w:lastRenderedPageBreak/>
        <w:t>inter-temporally: it optimises each dispatch period separately and requires manual adjustment of plant mix to reflect new entry and retirement over time.</w:t>
      </w:r>
    </w:p>
    <w:p w:rsidR="00CE5AC0" w:rsidRDefault="00CE5AC0" w:rsidP="00CE5AC0">
      <w:pPr>
        <w:pStyle w:val="BodyText"/>
      </w:pPr>
      <w:r>
        <w:t xml:space="preserve">For this exercise, </w:t>
      </w:r>
      <w:r w:rsidRPr="00872F8E">
        <w:rPr>
          <w:i/>
        </w:rPr>
        <w:t>PowerMark LT</w:t>
      </w:r>
      <w:r>
        <w:t xml:space="preserve"> models five physically separate electricity grids comprising nine distinct electricity market regions simultaneously in a single model. The grids and regions modelled are the National Electricity Market (NEM), comprising the five interconnected regions of NSW, QLD, VIC, SA and TAS, the South-West Interconnected System (SWIS) covering south-western Western Australia, the North-West Interconnected System (NWIS) covering the Pilbara region of Western Australia, the Darwin-Katherine Interconnected System (DKIS) covering the northern part of Northern Territory, and the grid servicing the area around Mt Isa in Queensland. The structure and impact of the LRET is integrated into the model to ensure internal consistency.</w:t>
      </w:r>
    </w:p>
    <w:p w:rsidR="00CE5AC0" w:rsidRDefault="00CE5AC0" w:rsidP="00CE5AC0">
      <w:pPr>
        <w:pStyle w:val="BodyText"/>
      </w:pPr>
      <w:r w:rsidRPr="00C342B8">
        <w:rPr>
          <w:i/>
        </w:rPr>
        <w:t>PowerMark LT</w:t>
      </w:r>
      <w:r>
        <w:t xml:space="preserve"> models the supply side at the power station level (as opposed to the generating unit level). Inputs for each station include:</w:t>
      </w:r>
    </w:p>
    <w:p w:rsidR="00CE5AC0" w:rsidRDefault="00CE5AC0" w:rsidP="00CE5AC0">
      <w:pPr>
        <w:pStyle w:val="ListBullet"/>
        <w:spacing w:before="80" w:after="0"/>
      </w:pPr>
      <w:r>
        <w:t>sent-out capacity</w:t>
      </w:r>
    </w:p>
    <w:p w:rsidR="00CE5AC0" w:rsidRDefault="00CE5AC0" w:rsidP="00CE5AC0">
      <w:pPr>
        <w:pStyle w:val="ListBullet"/>
        <w:spacing w:before="80" w:after="0"/>
      </w:pPr>
      <w:r>
        <w:t>planned and unplanned outage rates</w:t>
      </w:r>
    </w:p>
    <w:p w:rsidR="00CE5AC0" w:rsidRDefault="00CE5AC0" w:rsidP="00CE5AC0">
      <w:pPr>
        <w:pStyle w:val="ListBullet"/>
        <w:spacing w:before="80" w:after="0"/>
      </w:pPr>
      <w:r>
        <w:t>fuel costs</w:t>
      </w:r>
    </w:p>
    <w:p w:rsidR="00CE5AC0" w:rsidRDefault="00CE5AC0" w:rsidP="00CE5AC0">
      <w:pPr>
        <w:pStyle w:val="ListBullet"/>
        <w:spacing w:before="80" w:after="0"/>
      </w:pPr>
      <w:r>
        <w:t>thermal efficiency</w:t>
      </w:r>
    </w:p>
    <w:p w:rsidR="00CE5AC0" w:rsidRDefault="00CE5AC0" w:rsidP="00CE5AC0">
      <w:pPr>
        <w:pStyle w:val="ListBullet"/>
        <w:spacing w:before="80" w:after="0"/>
      </w:pPr>
      <w:r>
        <w:t>emission intensity.</w:t>
      </w:r>
    </w:p>
    <w:p w:rsidR="00CE5AC0" w:rsidRDefault="00CE5AC0" w:rsidP="00CE5AC0">
      <w:pPr>
        <w:pStyle w:val="BodyText"/>
      </w:pPr>
      <w:r>
        <w:t xml:space="preserve">Further details on these inputs are provided for existing and committed generators in Section </w:t>
      </w:r>
      <w:r w:rsidR="00450552">
        <w:fldChar w:fldCharType="begin"/>
      </w:r>
      <w:r w:rsidR="00450552">
        <w:instrText xml:space="preserve"> REF _Ref360623379 \n \h </w:instrText>
      </w:r>
      <w:r w:rsidR="00450552">
        <w:fldChar w:fldCharType="separate"/>
      </w:r>
      <w:r w:rsidR="00660A8E">
        <w:t>3</w:t>
      </w:r>
      <w:r w:rsidR="00450552">
        <w:fldChar w:fldCharType="end"/>
      </w:r>
      <w:r>
        <w:t xml:space="preserve">, and for new entrant generation technologies in Section </w:t>
      </w:r>
      <w:r w:rsidR="00450552">
        <w:fldChar w:fldCharType="begin"/>
      </w:r>
      <w:r w:rsidR="00450552">
        <w:instrText xml:space="preserve"> REF _Ref350241098 \n \h </w:instrText>
      </w:r>
      <w:r w:rsidR="00450552">
        <w:fldChar w:fldCharType="separate"/>
      </w:r>
      <w:r w:rsidR="00660A8E">
        <w:t>3.4</w:t>
      </w:r>
      <w:r w:rsidR="00450552">
        <w:fldChar w:fldCharType="end"/>
      </w:r>
      <w:r>
        <w:t>.</w:t>
      </w:r>
    </w:p>
    <w:p w:rsidR="00CE5AC0" w:rsidRDefault="00CE5AC0" w:rsidP="00CE5AC0">
      <w:pPr>
        <w:pStyle w:val="BodyText"/>
      </w:pPr>
      <w:r>
        <w:t>The model is not strictly a least cost Short-Run Marginal Cost (SRMC) model, in that each plant is represented by two or three offer bands:</w:t>
      </w:r>
    </w:p>
    <w:p w:rsidR="00CE5AC0" w:rsidRDefault="00CE5AC0" w:rsidP="00CE5AC0">
      <w:pPr>
        <w:pStyle w:val="ListBullet"/>
        <w:spacing w:before="80" w:after="0"/>
      </w:pPr>
      <w:r>
        <w:t>minimum generation level at the market floor price (for thermal plant where appropriate)</w:t>
      </w:r>
    </w:p>
    <w:p w:rsidR="00CE5AC0" w:rsidRDefault="00245E9E" w:rsidP="00CE5AC0">
      <w:pPr>
        <w:pStyle w:val="ListBullet"/>
        <w:spacing w:before="80" w:after="0"/>
      </w:pPr>
      <w:r>
        <w:t>SRMC</w:t>
      </w:r>
      <w:r w:rsidR="00CE5AC0">
        <w:t xml:space="preserve"> for assumed contracted capacity</w:t>
      </w:r>
    </w:p>
    <w:p w:rsidR="00CE5AC0" w:rsidRDefault="00CE5AC0" w:rsidP="00CE5AC0">
      <w:pPr>
        <w:pStyle w:val="ListBullet"/>
        <w:spacing w:before="80" w:after="0"/>
      </w:pPr>
      <w:r>
        <w:t>opportunistic band at a defined multiple of SRMC.</w:t>
      </w:r>
    </w:p>
    <w:p w:rsidR="00CE5AC0" w:rsidRDefault="00CE5AC0" w:rsidP="00CE5AC0">
      <w:pPr>
        <w:pStyle w:val="BodyText"/>
      </w:pPr>
      <w:r>
        <w:t xml:space="preserve">This is an approximation of the complex bidding behaviour observed in the competitive wholesale electricity markets as simulated within ACIL </w:t>
      </w:r>
      <w:r w:rsidR="004F6D61">
        <w:t>Allen</w:t>
      </w:r>
      <w:r>
        <w:t xml:space="preserve">’s detailed </w:t>
      </w:r>
      <w:r w:rsidRPr="009C6091">
        <w:rPr>
          <w:i/>
        </w:rPr>
        <w:t>PowerMark</w:t>
      </w:r>
      <w:r>
        <w:t xml:space="preserve"> model. The SRMC offer band represents a proxy for the plants level of contract cover, which owners are incentivised to offer to the market at its marginal cost of generation. The second, higher offer band reflects the uncontracted portion of the stations output.</w:t>
      </w:r>
    </w:p>
    <w:p w:rsidR="00CE5AC0" w:rsidRDefault="00CE5AC0" w:rsidP="00CE5AC0">
      <w:pPr>
        <w:pStyle w:val="BodyText"/>
      </w:pPr>
      <w:r>
        <w:t xml:space="preserve">Further detail on </w:t>
      </w:r>
      <w:r w:rsidRPr="002F50A3">
        <w:rPr>
          <w:i/>
        </w:rPr>
        <w:t>PowerMark LT</w:t>
      </w:r>
      <w:r>
        <w:t xml:space="preserve"> is in </w:t>
      </w:r>
      <w:r w:rsidR="00450552">
        <w:fldChar w:fldCharType="begin"/>
      </w:r>
      <w:r w:rsidR="00450552">
        <w:instrText xml:space="preserve"> REF _Ref365542874 \n \h </w:instrText>
      </w:r>
      <w:r w:rsidR="00450552">
        <w:fldChar w:fldCharType="separate"/>
      </w:r>
      <w:r w:rsidR="00660A8E">
        <w:t>Appendix A</w:t>
      </w:r>
      <w:r w:rsidR="00450552">
        <w:fldChar w:fldCharType="end"/>
      </w:r>
      <w:r w:rsidR="00450552">
        <w:t>.</w:t>
      </w:r>
    </w:p>
    <w:p w:rsidR="00CE5AC0" w:rsidRDefault="00CE5AC0" w:rsidP="00CE5AC0">
      <w:pPr>
        <w:pStyle w:val="Heading3"/>
      </w:pPr>
      <w:bookmarkStart w:id="28" w:name="_Ref350252482"/>
      <w:bookmarkStart w:id="29" w:name="_Toc365474010"/>
      <w:bookmarkStart w:id="30" w:name="_Toc370394622"/>
      <w:r>
        <w:t>RECMark</w:t>
      </w:r>
      <w:bookmarkEnd w:id="28"/>
      <w:bookmarkEnd w:id="29"/>
      <w:bookmarkEnd w:id="30"/>
    </w:p>
    <w:p w:rsidR="00CE5AC0" w:rsidRDefault="00CE5AC0" w:rsidP="00CE5AC0">
      <w:pPr>
        <w:pStyle w:val="BodyText"/>
        <w:rPr>
          <w:lang w:val="en-US"/>
        </w:rPr>
      </w:pPr>
      <w:r w:rsidRPr="00504648">
        <w:rPr>
          <w:i/>
          <w:lang w:val="en-US"/>
        </w:rPr>
        <w:t>RECMark</w:t>
      </w:r>
      <w:r>
        <w:rPr>
          <w:lang w:val="en-US"/>
        </w:rPr>
        <w:t xml:space="preserve"> is ACIL </w:t>
      </w:r>
      <w:r w:rsidR="004F6D61">
        <w:rPr>
          <w:lang w:val="en-US"/>
        </w:rPr>
        <w:t>Allen</w:t>
      </w:r>
      <w:r>
        <w:rPr>
          <w:lang w:val="en-US"/>
        </w:rPr>
        <w:t>’s model of the Commonwealth Government’s Large-Scale Renewable Energy Target</w:t>
      </w:r>
      <w:r w:rsidR="00245E9E">
        <w:rPr>
          <w:lang w:val="en-US"/>
        </w:rPr>
        <w:t xml:space="preserve"> (LRET)</w:t>
      </w:r>
      <w:r>
        <w:rPr>
          <w:lang w:val="en-US"/>
        </w:rPr>
        <w:t>. The model utilises a large-scale linear programming solver with an objective function to comply with the LRET in a rational, least cost manner. It operates on an inter-temporal least cost basis, under the assumption of perfect certainty.</w:t>
      </w:r>
    </w:p>
    <w:p w:rsidR="00CE5AC0" w:rsidRDefault="00CE5AC0" w:rsidP="00CE5AC0">
      <w:pPr>
        <w:pStyle w:val="BodyText"/>
      </w:pPr>
      <w:r>
        <w:rPr>
          <w:lang w:val="en-US"/>
        </w:rPr>
        <w:t>The model horizon covers the period from 2010 to 2060. This extends well beyond the end of the LRET (2030) in order to account for the economics of renewable plant installed within the period of the scheme, but beyond the end of the subsidy. In essence the model develops new renewable projects on a least cost basis across Australia and projects the marginal LGC price required to ensure all projects that are projected to be developed are commercially viable. In this sense the</w:t>
      </w:r>
      <w:r w:rsidR="00245E9E">
        <w:rPr>
          <w:lang w:val="en-US"/>
        </w:rPr>
        <w:t xml:space="preserve"> Large-scale Generation Certificate</w:t>
      </w:r>
      <w:r>
        <w:rPr>
          <w:lang w:val="en-US"/>
        </w:rPr>
        <w:t xml:space="preserve"> </w:t>
      </w:r>
      <w:r w:rsidR="00245E9E">
        <w:rPr>
          <w:lang w:val="en-US"/>
        </w:rPr>
        <w:t>(</w:t>
      </w:r>
      <w:r>
        <w:rPr>
          <w:lang w:val="en-US"/>
        </w:rPr>
        <w:t>LGC</w:t>
      </w:r>
      <w:r w:rsidR="00245E9E">
        <w:rPr>
          <w:lang w:val="en-US"/>
        </w:rPr>
        <w:t>)</w:t>
      </w:r>
      <w:r>
        <w:rPr>
          <w:lang w:val="en-US"/>
        </w:rPr>
        <w:t xml:space="preserve"> price reflects the subsidy required to make the most marginally developed project just profitable </w:t>
      </w:r>
      <w:r>
        <w:rPr>
          <w:lang w:val="en-US"/>
        </w:rPr>
        <w:lastRenderedPageBreak/>
        <w:t xml:space="preserve">over the life of the LRET scheme. The </w:t>
      </w:r>
      <w:r>
        <w:t>LGC price series extends through to 2030 and takes into account all inputs and constraints.</w:t>
      </w:r>
    </w:p>
    <w:p w:rsidR="00CE5AC0" w:rsidRDefault="00CE5AC0" w:rsidP="00CE5AC0">
      <w:pPr>
        <w:pStyle w:val="BodyText"/>
        <w:rPr>
          <w:lang w:val="en-US"/>
        </w:rPr>
      </w:pPr>
      <w:r>
        <w:t xml:space="preserve">The model simulates the development and operation of new entrant plant based on technology cost settings and project specific parameters within the inputs. The model will naturally develop the lowest cost projects first, subject to any build and capacity limitations applied. Once developed, each of these new entrant projects creates LGCs over its economic life, based on its maximum capacity factor and marginal loss factor (MLF). </w:t>
      </w:r>
      <w:r>
        <w:rPr>
          <w:lang w:val="en-US"/>
        </w:rPr>
        <w:t>Combined with output assumptions for existing projects, this allows results to be reported on LGC creation by technology and fuel mix. As certificate creation levels for 2010 and 2011 are already known, these are hard wired within the model.</w:t>
      </w:r>
    </w:p>
    <w:p w:rsidR="00CE5AC0" w:rsidRDefault="00CE5AC0" w:rsidP="00CE5AC0">
      <w:pPr>
        <w:pStyle w:val="BodyText"/>
        <w:rPr>
          <w:lang w:val="en-US"/>
        </w:rPr>
      </w:pPr>
      <w:r>
        <w:rPr>
          <w:lang w:val="en-US"/>
        </w:rPr>
        <w:t>The annual holding cost assumption is 5% real (approximately 7.5% nominal). The discount rate for project evaluation (WACC) is 10% on a pre-tax real basis.</w:t>
      </w:r>
    </w:p>
    <w:p w:rsidR="00CE5AC0" w:rsidRDefault="00CE5AC0" w:rsidP="00CE5AC0">
      <w:pPr>
        <w:pStyle w:val="BodyText"/>
        <w:rPr>
          <w:lang w:val="en-US"/>
        </w:rPr>
      </w:pPr>
      <w:r>
        <w:rPr>
          <w:lang w:val="en-US"/>
        </w:rPr>
        <w:t xml:space="preserve">Further detail on </w:t>
      </w:r>
      <w:r w:rsidRPr="00D579AF">
        <w:rPr>
          <w:i/>
          <w:lang w:val="en-US"/>
        </w:rPr>
        <w:t>RECMark</w:t>
      </w:r>
      <w:r>
        <w:rPr>
          <w:lang w:val="en-US"/>
        </w:rPr>
        <w:t xml:space="preserve">, particularly on how it incorporates the specific policy settings of the LRET, is outlined in </w:t>
      </w:r>
      <w:r w:rsidR="00450552">
        <w:rPr>
          <w:lang w:val="en-US"/>
        </w:rPr>
        <w:fldChar w:fldCharType="begin"/>
      </w:r>
      <w:r w:rsidR="00450552">
        <w:rPr>
          <w:lang w:val="en-US"/>
        </w:rPr>
        <w:instrText xml:space="preserve"> REF _Ref365542881 \n \h </w:instrText>
      </w:r>
      <w:r w:rsidR="00450552">
        <w:rPr>
          <w:lang w:val="en-US"/>
        </w:rPr>
      </w:r>
      <w:r w:rsidR="00450552">
        <w:rPr>
          <w:lang w:val="en-US"/>
        </w:rPr>
        <w:fldChar w:fldCharType="separate"/>
      </w:r>
      <w:r w:rsidR="00660A8E">
        <w:rPr>
          <w:lang w:val="en-US"/>
        </w:rPr>
        <w:t>Appendix B</w:t>
      </w:r>
      <w:r w:rsidR="00450552">
        <w:rPr>
          <w:lang w:val="en-US"/>
        </w:rPr>
        <w:fldChar w:fldCharType="end"/>
      </w:r>
      <w:r w:rsidR="00450552">
        <w:rPr>
          <w:lang w:val="en-US"/>
        </w:rPr>
        <w:t>.</w:t>
      </w:r>
    </w:p>
    <w:p w:rsidR="00CE5AC0" w:rsidRDefault="00CE5AC0" w:rsidP="00CE5AC0">
      <w:pPr>
        <w:pStyle w:val="Heading2"/>
        <w:pBdr>
          <w:bottom w:val="none" w:sz="0" w:space="0" w:color="auto"/>
        </w:pBdr>
        <w:rPr>
          <w:lang w:val="en-US"/>
        </w:rPr>
      </w:pPr>
      <w:bookmarkStart w:id="31" w:name="_Toc365474011"/>
      <w:bookmarkStart w:id="32" w:name="_Toc370394623"/>
      <w:r>
        <w:rPr>
          <w:lang w:val="en-US"/>
        </w:rPr>
        <w:t>Scenarios</w:t>
      </w:r>
      <w:bookmarkEnd w:id="31"/>
      <w:bookmarkEnd w:id="32"/>
    </w:p>
    <w:p w:rsidR="00CE5AC0" w:rsidRDefault="00CE5AC0" w:rsidP="00CE5AC0">
      <w:pPr>
        <w:pStyle w:val="Heading3"/>
        <w:rPr>
          <w:lang w:val="en-US"/>
        </w:rPr>
      </w:pPr>
      <w:bookmarkStart w:id="33" w:name="_Toc365474012"/>
      <w:bookmarkStart w:id="34" w:name="_Ref365543022"/>
      <w:bookmarkStart w:id="35" w:name="_Ref365543069"/>
      <w:bookmarkStart w:id="36" w:name="_Toc370394624"/>
      <w:r>
        <w:rPr>
          <w:lang w:val="en-US"/>
        </w:rPr>
        <w:t>Central Policy scenario</w:t>
      </w:r>
      <w:bookmarkEnd w:id="33"/>
      <w:bookmarkEnd w:id="34"/>
      <w:bookmarkEnd w:id="35"/>
      <w:bookmarkEnd w:id="36"/>
    </w:p>
    <w:p w:rsidR="00CE5AC0" w:rsidRDefault="00CE5AC0" w:rsidP="00CE5AC0">
      <w:pPr>
        <w:pStyle w:val="BodyText"/>
        <w:rPr>
          <w:lang w:val="en-US"/>
        </w:rPr>
      </w:pPr>
      <w:r>
        <w:rPr>
          <w:lang w:val="en-US"/>
        </w:rPr>
        <w:t>The Central Policy scenario modelled for the emissions projections incorporate a fixed carbon price for the period 2012-13 to 2013-14, and a floating price from 1 July 2014. The carbon price provided by Treasury is consistent with global efforts to reduce greenhouse gas emissions to 550 parts per million (ppm) of carbon dioxide equivalent (CO</w:t>
      </w:r>
      <w:r w:rsidRPr="00607E63">
        <w:rPr>
          <w:vertAlign w:val="subscript"/>
          <w:lang w:val="en-US"/>
        </w:rPr>
        <w:t>2</w:t>
      </w:r>
      <w:r>
        <w:rPr>
          <w:lang w:val="en-US"/>
        </w:rPr>
        <w:t xml:space="preserve">-e). The Treasury modeled the pattern of Australian economic activity under this scenario within a CGE framework. Electricity demand and other economic variables were derived from this modeling for use within ACIL </w:t>
      </w:r>
      <w:r w:rsidR="004F6D61">
        <w:rPr>
          <w:lang w:val="en-US"/>
        </w:rPr>
        <w:t>Allen</w:t>
      </w:r>
      <w:r>
        <w:rPr>
          <w:lang w:val="en-US"/>
        </w:rPr>
        <w:t xml:space="preserve">’s electricity sector modeling as outlined in section </w:t>
      </w:r>
      <w:r w:rsidR="00450552">
        <w:rPr>
          <w:lang w:val="en-US"/>
        </w:rPr>
        <w:fldChar w:fldCharType="begin"/>
      </w:r>
      <w:r w:rsidR="00450552">
        <w:rPr>
          <w:lang w:val="en-US"/>
        </w:rPr>
        <w:instrText xml:space="preserve"> REF _Ref364773581 \n \h </w:instrText>
      </w:r>
      <w:r w:rsidR="00450552">
        <w:rPr>
          <w:lang w:val="en-US"/>
        </w:rPr>
      </w:r>
      <w:r w:rsidR="00450552">
        <w:rPr>
          <w:lang w:val="en-US"/>
        </w:rPr>
        <w:fldChar w:fldCharType="separate"/>
      </w:r>
      <w:r w:rsidR="00660A8E">
        <w:rPr>
          <w:lang w:val="en-US"/>
        </w:rPr>
        <w:t>3.5</w:t>
      </w:r>
      <w:r w:rsidR="00450552">
        <w:rPr>
          <w:lang w:val="en-US"/>
        </w:rPr>
        <w:fldChar w:fldCharType="end"/>
      </w:r>
      <w:r>
        <w:rPr>
          <w:lang w:val="en-US"/>
        </w:rPr>
        <w:t xml:space="preserve"> and </w:t>
      </w:r>
      <w:r w:rsidR="00450552">
        <w:rPr>
          <w:lang w:val="en-US"/>
        </w:rPr>
        <w:fldChar w:fldCharType="begin"/>
      </w:r>
      <w:r w:rsidR="00450552">
        <w:rPr>
          <w:lang w:val="en-US"/>
        </w:rPr>
        <w:instrText xml:space="preserve"> REF _Ref365542965 \n \h </w:instrText>
      </w:r>
      <w:r w:rsidR="00450552">
        <w:rPr>
          <w:lang w:val="en-US"/>
        </w:rPr>
      </w:r>
      <w:r w:rsidR="00450552">
        <w:rPr>
          <w:lang w:val="en-US"/>
        </w:rPr>
        <w:fldChar w:fldCharType="separate"/>
      </w:r>
      <w:r w:rsidR="00660A8E">
        <w:rPr>
          <w:lang w:val="en-US"/>
        </w:rPr>
        <w:t>3.6</w:t>
      </w:r>
      <w:r w:rsidR="00450552">
        <w:rPr>
          <w:lang w:val="en-US"/>
        </w:rPr>
        <w:fldChar w:fldCharType="end"/>
      </w:r>
      <w:r w:rsidR="00450552">
        <w:rPr>
          <w:lang w:val="en-US"/>
        </w:rPr>
        <w:t>.</w:t>
      </w:r>
    </w:p>
    <w:p w:rsidR="00CE5AC0" w:rsidRDefault="00CE5AC0" w:rsidP="001B52A9">
      <w:pPr>
        <w:pStyle w:val="BodyText"/>
        <w:rPr>
          <w:lang w:val="en-US"/>
        </w:rPr>
      </w:pPr>
      <w:r>
        <w:rPr>
          <w:lang w:val="en-US"/>
        </w:rPr>
        <w:t xml:space="preserve">The Central Policy scenario includes the effects of a range of specific greenhouse gas abatement measures, </w:t>
      </w:r>
      <w:r w:rsidR="00AA5C37">
        <w:rPr>
          <w:lang w:val="en-US"/>
        </w:rPr>
        <w:t xml:space="preserve">including the </w:t>
      </w:r>
      <w:r>
        <w:rPr>
          <w:lang w:val="en-US"/>
        </w:rPr>
        <w:t>LRET</w:t>
      </w:r>
      <w:r w:rsidR="00AA5C37">
        <w:rPr>
          <w:lang w:val="en-US"/>
        </w:rPr>
        <w:t>, t</w:t>
      </w:r>
      <w:r>
        <w:rPr>
          <w:lang w:val="en-US"/>
        </w:rPr>
        <w:t>he Small-scale Renewable Energy Scheme (SRES)</w:t>
      </w:r>
      <w:r w:rsidR="00AA5C37">
        <w:rPr>
          <w:lang w:val="en-US"/>
        </w:rPr>
        <w:t>, and r</w:t>
      </w:r>
      <w:r>
        <w:rPr>
          <w:lang w:val="en-US"/>
        </w:rPr>
        <w:t>enewable energy projects supported by the Australian Renewable Energy Agency (ARENA)</w:t>
      </w:r>
      <w:r w:rsidR="00AA5C37">
        <w:rPr>
          <w:lang w:val="en-US"/>
        </w:rPr>
        <w:t>.</w:t>
      </w:r>
      <w:r>
        <w:rPr>
          <w:lang w:val="en-US"/>
        </w:rPr>
        <w:t xml:space="preserve"> </w:t>
      </w:r>
    </w:p>
    <w:p w:rsidR="00CE5AC0" w:rsidRDefault="00CE5AC0" w:rsidP="00CE5AC0">
      <w:pPr>
        <w:pStyle w:val="BodyText"/>
        <w:rPr>
          <w:lang w:val="en-US"/>
        </w:rPr>
      </w:pPr>
      <w:r>
        <w:rPr>
          <w:lang w:val="en-US"/>
        </w:rPr>
        <w:t xml:space="preserve">Modelling results for the Central Policy scenario are presented in </w:t>
      </w:r>
      <w:r w:rsidR="00450552">
        <w:rPr>
          <w:lang w:val="en-US"/>
        </w:rPr>
        <w:t>S</w:t>
      </w:r>
      <w:r>
        <w:rPr>
          <w:lang w:val="en-US"/>
        </w:rPr>
        <w:t xml:space="preserve">ection </w:t>
      </w:r>
      <w:r w:rsidR="00450552">
        <w:rPr>
          <w:lang w:val="en-US"/>
        </w:rPr>
        <w:fldChar w:fldCharType="begin"/>
      </w:r>
      <w:r w:rsidR="00450552">
        <w:rPr>
          <w:lang w:val="en-US"/>
        </w:rPr>
        <w:instrText xml:space="preserve"> REF _Ref364255839 \n \h </w:instrText>
      </w:r>
      <w:r w:rsidR="00450552">
        <w:rPr>
          <w:lang w:val="en-US"/>
        </w:rPr>
      </w:r>
      <w:r w:rsidR="00450552">
        <w:rPr>
          <w:lang w:val="en-US"/>
        </w:rPr>
        <w:fldChar w:fldCharType="separate"/>
      </w:r>
      <w:r w:rsidR="00660A8E">
        <w:rPr>
          <w:lang w:val="en-US"/>
        </w:rPr>
        <w:t>4</w:t>
      </w:r>
      <w:r w:rsidR="00450552">
        <w:rPr>
          <w:lang w:val="en-US"/>
        </w:rPr>
        <w:fldChar w:fldCharType="end"/>
      </w:r>
      <w:r>
        <w:rPr>
          <w:lang w:val="en-US"/>
        </w:rPr>
        <w:t>.</w:t>
      </w:r>
    </w:p>
    <w:p w:rsidR="00CE5AC0" w:rsidRDefault="00CE5AC0" w:rsidP="00CE5AC0">
      <w:pPr>
        <w:pStyle w:val="Heading3"/>
        <w:rPr>
          <w:lang w:val="en-US"/>
        </w:rPr>
      </w:pPr>
      <w:bookmarkStart w:id="37" w:name="_Toc365474013"/>
      <w:bookmarkStart w:id="38" w:name="_Toc370394625"/>
      <w:r>
        <w:rPr>
          <w:lang w:val="en-US"/>
        </w:rPr>
        <w:t>No Carbon Price scenario</w:t>
      </w:r>
      <w:bookmarkEnd w:id="37"/>
      <w:bookmarkEnd w:id="38"/>
    </w:p>
    <w:p w:rsidR="00CE5AC0" w:rsidRDefault="00CE5AC0" w:rsidP="00CE5AC0">
      <w:pPr>
        <w:pStyle w:val="BodyText"/>
        <w:rPr>
          <w:lang w:val="en-US"/>
        </w:rPr>
      </w:pPr>
      <w:r>
        <w:rPr>
          <w:lang w:val="en-US"/>
        </w:rPr>
        <w:t xml:space="preserve">The No Carbon Price scenario includes </w:t>
      </w:r>
      <w:r w:rsidR="00AA5C37">
        <w:rPr>
          <w:lang w:val="en-US"/>
        </w:rPr>
        <w:t>the LRET, SRES, ARENA projects and other miscellaneous greenhouse gas abatement measures, but excludes</w:t>
      </w:r>
      <w:r>
        <w:rPr>
          <w:lang w:val="en-US"/>
        </w:rPr>
        <w:t xml:space="preserve"> the carbon price itself. The Treasury CGE modeling for this scenario depicts the period from 2012-13 to 2019-20 where </w:t>
      </w:r>
      <w:r>
        <w:t xml:space="preserve">regions act either unilaterally or as a bloc to meet their pledges under the Cancun Agreement to reduce or limit emissions by 2020, with coordinated global action after 2019-20 </w:t>
      </w:r>
      <w:r>
        <w:rPr>
          <w:lang w:val="en-US"/>
        </w:rPr>
        <w:t>to reduce greenhouse gas emissions targeting a reduction of 550 ppm CO</w:t>
      </w:r>
      <w:r w:rsidRPr="00607E63">
        <w:rPr>
          <w:vertAlign w:val="subscript"/>
          <w:lang w:val="en-US"/>
        </w:rPr>
        <w:t>2</w:t>
      </w:r>
      <w:r>
        <w:rPr>
          <w:lang w:val="en-US"/>
        </w:rPr>
        <w:t xml:space="preserve">-e, and no carbon price for Australia. </w:t>
      </w:r>
    </w:p>
    <w:p w:rsidR="00CE5AC0" w:rsidRDefault="00CE5AC0" w:rsidP="00CE5AC0">
      <w:pPr>
        <w:pStyle w:val="BodyText"/>
        <w:rPr>
          <w:lang w:val="en-US"/>
        </w:rPr>
      </w:pPr>
      <w:r>
        <w:rPr>
          <w:lang w:val="en-US"/>
        </w:rPr>
        <w:t xml:space="preserve">Due to the difference in international economic conditions, and the difference in Australian greenhouse gas abatement policies, economic parameters derived from the No Carbon Price scenario vary slightly from those for the Central Policy scenario. In particular, Australian electricity demand is substantially different, reflecting the absence of the price signal created by the carbon price. These different assumptions contribute to the difference in electricity sector outcomes between the two scenarios. Modelling results for the No Carbon Price scenario are presented in </w:t>
      </w:r>
      <w:r w:rsidR="00450552">
        <w:rPr>
          <w:lang w:val="en-US"/>
        </w:rPr>
        <w:t>S</w:t>
      </w:r>
      <w:r>
        <w:rPr>
          <w:lang w:val="en-US"/>
        </w:rPr>
        <w:t xml:space="preserve">ection </w:t>
      </w:r>
      <w:r w:rsidR="00450552">
        <w:rPr>
          <w:lang w:val="en-US"/>
        </w:rPr>
        <w:fldChar w:fldCharType="begin"/>
      </w:r>
      <w:r w:rsidR="00450552">
        <w:rPr>
          <w:lang w:val="en-US"/>
        </w:rPr>
        <w:instrText xml:space="preserve"> REF _Ref364255839 \n \h </w:instrText>
      </w:r>
      <w:r w:rsidR="00450552">
        <w:rPr>
          <w:lang w:val="en-US"/>
        </w:rPr>
      </w:r>
      <w:r w:rsidR="00450552">
        <w:rPr>
          <w:lang w:val="en-US"/>
        </w:rPr>
        <w:fldChar w:fldCharType="separate"/>
      </w:r>
      <w:r w:rsidR="00660A8E">
        <w:rPr>
          <w:lang w:val="en-US"/>
        </w:rPr>
        <w:t>4</w:t>
      </w:r>
      <w:r w:rsidR="00450552">
        <w:rPr>
          <w:lang w:val="en-US"/>
        </w:rPr>
        <w:fldChar w:fldCharType="end"/>
      </w:r>
      <w:r>
        <w:rPr>
          <w:lang w:val="en-US"/>
        </w:rPr>
        <w:t>.</w:t>
      </w:r>
    </w:p>
    <w:p w:rsidR="00CE5AC0" w:rsidRDefault="00CE5AC0" w:rsidP="00CE5AC0">
      <w:pPr>
        <w:pStyle w:val="Heading3"/>
        <w:rPr>
          <w:lang w:val="en-US"/>
        </w:rPr>
      </w:pPr>
      <w:bookmarkStart w:id="39" w:name="_Toc365474014"/>
      <w:bookmarkStart w:id="40" w:name="_Toc370394626"/>
      <w:r>
        <w:rPr>
          <w:lang w:val="en-US"/>
        </w:rPr>
        <w:lastRenderedPageBreak/>
        <w:t>High and Low Carbon Price scenarios</w:t>
      </w:r>
      <w:bookmarkEnd w:id="39"/>
      <w:bookmarkEnd w:id="40"/>
    </w:p>
    <w:p w:rsidR="00CE5AC0" w:rsidRDefault="00CE5AC0" w:rsidP="00CE5AC0">
      <w:pPr>
        <w:pStyle w:val="BodyText"/>
        <w:rPr>
          <w:lang w:val="en-US"/>
        </w:rPr>
      </w:pPr>
      <w:r>
        <w:rPr>
          <w:lang w:val="en-US"/>
        </w:rPr>
        <w:t xml:space="preserve">The High and Low Carbon Price scenarios are similar to the Central Policy scenario described above, except they adopt higher and lower carbon prices respectively. Further, due to the changes in international abatement ambition that generate the different carbon prices, international and Australian economic parameters vary, flowing through to fuel prices, electricity demand, exchange rates and labour costs. </w:t>
      </w:r>
    </w:p>
    <w:p w:rsidR="00CE5AC0" w:rsidRDefault="00CE5AC0" w:rsidP="00CE5AC0">
      <w:pPr>
        <w:pStyle w:val="BodyText"/>
        <w:rPr>
          <w:lang w:val="en-US"/>
        </w:rPr>
      </w:pPr>
      <w:r>
        <w:rPr>
          <w:lang w:val="en-US"/>
        </w:rPr>
        <w:t xml:space="preserve">Modelling results for these scenarios are presented in section </w:t>
      </w:r>
      <w:r w:rsidR="00450552">
        <w:rPr>
          <w:lang w:val="en-US"/>
        </w:rPr>
        <w:fldChar w:fldCharType="begin"/>
      </w:r>
      <w:r w:rsidR="00450552">
        <w:rPr>
          <w:lang w:val="en-US"/>
        </w:rPr>
        <w:instrText xml:space="preserve"> REF _Ref365543098 \n \h </w:instrText>
      </w:r>
      <w:r w:rsidR="00450552">
        <w:rPr>
          <w:lang w:val="en-US"/>
        </w:rPr>
      </w:r>
      <w:r w:rsidR="00450552">
        <w:rPr>
          <w:lang w:val="en-US"/>
        </w:rPr>
        <w:fldChar w:fldCharType="separate"/>
      </w:r>
      <w:r w:rsidR="00660A8E">
        <w:rPr>
          <w:lang w:val="en-US"/>
        </w:rPr>
        <w:t>5</w:t>
      </w:r>
      <w:r w:rsidR="00450552">
        <w:rPr>
          <w:lang w:val="en-US"/>
        </w:rPr>
        <w:fldChar w:fldCharType="end"/>
      </w:r>
      <w:r>
        <w:rPr>
          <w:lang w:val="en-US"/>
        </w:rPr>
        <w:t>.</w:t>
      </w:r>
    </w:p>
    <w:p w:rsidR="00CE5AC0" w:rsidRDefault="00CE5AC0" w:rsidP="00CE5AC0">
      <w:pPr>
        <w:pStyle w:val="Heading2"/>
        <w:pBdr>
          <w:bottom w:val="none" w:sz="0" w:space="0" w:color="auto"/>
        </w:pBdr>
        <w:rPr>
          <w:lang w:val="en-US"/>
        </w:rPr>
      </w:pPr>
      <w:bookmarkStart w:id="41" w:name="_Toc365474015"/>
      <w:bookmarkStart w:id="42" w:name="_Toc370394627"/>
      <w:r>
        <w:rPr>
          <w:lang w:val="en-US"/>
        </w:rPr>
        <w:t>Sensitivities</w:t>
      </w:r>
      <w:bookmarkEnd w:id="41"/>
      <w:bookmarkEnd w:id="42"/>
    </w:p>
    <w:p w:rsidR="00CE5AC0" w:rsidRDefault="00CE5AC0" w:rsidP="00CE5AC0">
      <w:pPr>
        <w:pStyle w:val="BodyText"/>
        <w:rPr>
          <w:lang w:val="en-US"/>
        </w:rPr>
      </w:pPr>
      <w:r>
        <w:rPr>
          <w:lang w:val="en-US"/>
        </w:rPr>
        <w:t>Several sensitivities were also modelled for this exercise. Each sensitivity involved a small change to a key parameter from that assumed for the Central Policy scenario. In each case, the parameter was estimated to vary both above and below the Central Policy scenario value. The sensitivities modelled involve:</w:t>
      </w:r>
    </w:p>
    <w:p w:rsidR="00CE5AC0" w:rsidRDefault="00CE5AC0" w:rsidP="00CE5AC0">
      <w:pPr>
        <w:pStyle w:val="ListBullet"/>
        <w:spacing w:before="80" w:after="0"/>
        <w:rPr>
          <w:lang w:val="en-US"/>
        </w:rPr>
      </w:pPr>
      <w:r>
        <w:rPr>
          <w:lang w:val="en-US"/>
        </w:rPr>
        <w:t xml:space="preserve">Higher and lower electricity demand growth </w:t>
      </w:r>
    </w:p>
    <w:p w:rsidR="00CE5AC0" w:rsidRDefault="00CE5AC0" w:rsidP="00CE5AC0">
      <w:pPr>
        <w:pStyle w:val="ListBullet"/>
        <w:spacing w:before="80" w:after="0"/>
        <w:rPr>
          <w:lang w:val="en-US"/>
        </w:rPr>
      </w:pPr>
      <w:r>
        <w:rPr>
          <w:lang w:val="en-US"/>
        </w:rPr>
        <w:t>Higher and lower fuel prices</w:t>
      </w:r>
    </w:p>
    <w:p w:rsidR="00CE5AC0" w:rsidRDefault="00CE5AC0" w:rsidP="00CE5AC0">
      <w:pPr>
        <w:pStyle w:val="ListBullet"/>
        <w:spacing w:before="80" w:after="0"/>
        <w:rPr>
          <w:lang w:val="en-US"/>
        </w:rPr>
      </w:pPr>
      <w:r>
        <w:rPr>
          <w:lang w:val="en-US"/>
        </w:rPr>
        <w:t>Faster and slower rates of capital cost reductions for key renewable technologies, particularly solar PV</w:t>
      </w:r>
    </w:p>
    <w:p w:rsidR="00CE5AC0" w:rsidRDefault="00CE5AC0" w:rsidP="00CE5AC0">
      <w:pPr>
        <w:pStyle w:val="ListBullet"/>
        <w:spacing w:before="80" w:after="0"/>
        <w:rPr>
          <w:lang w:val="en-US"/>
        </w:rPr>
      </w:pPr>
      <w:r>
        <w:rPr>
          <w:lang w:val="en-US"/>
        </w:rPr>
        <w:t xml:space="preserve">Restrictions on technology availability, with geothermal, CCS and both technologies made unavailable across three separate model runs. </w:t>
      </w:r>
    </w:p>
    <w:p w:rsidR="00CE5AC0" w:rsidRPr="008A3FA9" w:rsidRDefault="00CE5AC0" w:rsidP="00CE5AC0">
      <w:pPr>
        <w:pStyle w:val="BodyText"/>
        <w:rPr>
          <w:lang w:val="en-US"/>
        </w:rPr>
      </w:pPr>
      <w:r>
        <w:rPr>
          <w:lang w:val="en-US"/>
        </w:rPr>
        <w:t xml:space="preserve">Modelling results for the sensitivities are presented in </w:t>
      </w:r>
      <w:r w:rsidR="00450552">
        <w:rPr>
          <w:lang w:val="en-US"/>
        </w:rPr>
        <w:t>S</w:t>
      </w:r>
      <w:r>
        <w:rPr>
          <w:lang w:val="en-US"/>
        </w:rPr>
        <w:t xml:space="preserve">ection </w:t>
      </w:r>
      <w:r w:rsidR="00450552">
        <w:rPr>
          <w:lang w:val="en-US"/>
        </w:rPr>
        <w:fldChar w:fldCharType="begin"/>
      </w:r>
      <w:r w:rsidR="00450552">
        <w:rPr>
          <w:lang w:val="en-US"/>
        </w:rPr>
        <w:instrText xml:space="preserve"> REF _Ref365543109 \n \h </w:instrText>
      </w:r>
      <w:r w:rsidR="00450552">
        <w:rPr>
          <w:lang w:val="en-US"/>
        </w:rPr>
      </w:r>
      <w:r w:rsidR="00450552">
        <w:rPr>
          <w:lang w:val="en-US"/>
        </w:rPr>
        <w:fldChar w:fldCharType="separate"/>
      </w:r>
      <w:r w:rsidR="00660A8E">
        <w:rPr>
          <w:lang w:val="en-US"/>
        </w:rPr>
        <w:t>5</w:t>
      </w:r>
      <w:r w:rsidR="00450552">
        <w:rPr>
          <w:lang w:val="en-US"/>
        </w:rPr>
        <w:fldChar w:fldCharType="end"/>
      </w:r>
      <w:r>
        <w:rPr>
          <w:lang w:val="en-US"/>
        </w:rPr>
        <w:t>.</w:t>
      </w:r>
    </w:p>
    <w:p w:rsidR="00CE5AC0" w:rsidRPr="00CE5AC0" w:rsidRDefault="00CE5AC0" w:rsidP="00CE5AC0">
      <w:pPr>
        <w:pStyle w:val="Heading1"/>
      </w:pPr>
      <w:bookmarkStart w:id="43" w:name="_Ref360623379"/>
      <w:bookmarkStart w:id="44" w:name="_Toc365474016"/>
      <w:bookmarkStart w:id="45" w:name="_Toc370394628"/>
      <w:r w:rsidRPr="00CE5AC0">
        <w:lastRenderedPageBreak/>
        <w:t>Assumptions</w:t>
      </w:r>
      <w:bookmarkEnd w:id="43"/>
      <w:bookmarkEnd w:id="44"/>
      <w:bookmarkEnd w:id="45"/>
    </w:p>
    <w:p w:rsidR="00CE5AC0" w:rsidRDefault="00CE5AC0" w:rsidP="00CE5AC0">
      <w:pPr>
        <w:pStyle w:val="Heading2"/>
        <w:pBdr>
          <w:bottom w:val="none" w:sz="0" w:space="0" w:color="auto"/>
        </w:pBdr>
      </w:pPr>
      <w:bookmarkStart w:id="46" w:name="_Ref360623742"/>
      <w:bookmarkStart w:id="47" w:name="_Toc365474017"/>
      <w:bookmarkStart w:id="48" w:name="_Toc370394629"/>
      <w:r>
        <w:t>Demand</w:t>
      </w:r>
      <w:bookmarkEnd w:id="46"/>
      <w:bookmarkEnd w:id="47"/>
      <w:bookmarkEnd w:id="48"/>
    </w:p>
    <w:p w:rsidR="00CE5AC0" w:rsidRDefault="00CE5AC0" w:rsidP="00CE5AC0">
      <w:pPr>
        <w:pStyle w:val="Heading3"/>
      </w:pPr>
      <w:bookmarkStart w:id="49" w:name="_Ref360633876"/>
      <w:bookmarkStart w:id="50" w:name="_Toc365474018"/>
      <w:bookmarkStart w:id="51" w:name="_Toc370394630"/>
      <w:r>
        <w:t>Aggregate demand</w:t>
      </w:r>
      <w:bookmarkEnd w:id="49"/>
      <w:bookmarkEnd w:id="50"/>
      <w:bookmarkEnd w:id="51"/>
    </w:p>
    <w:p w:rsidR="00CE5AC0" w:rsidRDefault="00CE5AC0" w:rsidP="00CE5AC0">
      <w:pPr>
        <w:pStyle w:val="BodyText"/>
      </w:pPr>
      <w:r>
        <w:t xml:space="preserve">Demand is an exogenous input to ACIL </w:t>
      </w:r>
      <w:r w:rsidR="004F6D61">
        <w:t>Allen</w:t>
      </w:r>
      <w:r>
        <w:t xml:space="preserve">’s electricity sector modelling. To determine the level of aggregate demand to model, ACIL </w:t>
      </w:r>
      <w:r w:rsidR="004F6D61">
        <w:t>Allen</w:t>
      </w:r>
      <w:r>
        <w:t xml:space="preserve"> calibrated initial levels of demand to observed market data where possible. Demand in the years 2009-10 to 2011-12 inclusive for the NEM, SWIS and DKIS was calibrated using market data published by the</w:t>
      </w:r>
      <w:r w:rsidRPr="00D1729B">
        <w:t xml:space="preserve"> </w:t>
      </w:r>
      <w:r>
        <w:t xml:space="preserve">Australian Energy Market Operator (AEMO), the Independent Market Operator (IMO) and the Northern Territory Utilities Commission respectively. For the NWIS and Mount Isa grids, and for embedded and off-grid generation, baseline demand was estimated based on bottom-up estimates of fuel use and generation of the various plant on the respective grids. </w:t>
      </w:r>
    </w:p>
    <w:p w:rsidR="00CE5AC0" w:rsidRDefault="00CE5AC0" w:rsidP="00CE5AC0">
      <w:pPr>
        <w:pStyle w:val="BodyText"/>
      </w:pPr>
      <w:r>
        <w:t xml:space="preserve">For the NEM, demand in 2012-13 was also calibrated to market data. Specifically, AEMO estimates of ‘operational demand’ for 2012-13 were available from the 2013 National Electricity Forecasting Report (NEFR) and were used to calibrate demand for 2012-13 in the Central Policy scenario (which incorporates a carbon price as was in effect during 2012-13). For the No Carbon Price scenario, the 2012-13 AEMO estimates of operational demand were scaled upwards to reflect the difference in Treasury estimated growth rates from 2011-12 to 2012-13 between the Policy and No Carbon Price scenarios. </w:t>
      </w:r>
    </w:p>
    <w:p w:rsidR="00CE5AC0" w:rsidRDefault="00CE5AC0" w:rsidP="00CE5AC0">
      <w:pPr>
        <w:pStyle w:val="BodyText"/>
      </w:pPr>
      <w:r>
        <w:t xml:space="preserve">Once demand was calibrated to actuals in this way, it was grown year-on-year in accordance with demand growth rates from the Treasury CGE modelling. </w:t>
      </w:r>
      <w:r w:rsidR="00245E9E">
        <w:t xml:space="preserve">Treasury’s demand estimates were based on final demand by consumers, which ACIL Allen converted into the equivalent rate of growth in demand expressed on a sent out basis. </w:t>
      </w:r>
      <w:r>
        <w:t xml:space="preserve">Aggregate demand assumptions for the Policy and No Carbon Price scenarios are shown in </w:t>
      </w:r>
      <w:r w:rsidR="00FF6FFD">
        <w:fldChar w:fldCharType="begin"/>
      </w:r>
      <w:r w:rsidR="00FF6FFD">
        <w:instrText xml:space="preserve"> REF _Ref365544756 \h </w:instrText>
      </w:r>
      <w:r w:rsidR="00FF6FFD">
        <w:fldChar w:fldCharType="separate"/>
      </w:r>
      <w:r w:rsidR="00660A8E">
        <w:t xml:space="preserve">Figure </w:t>
      </w:r>
      <w:r w:rsidR="00660A8E">
        <w:rPr>
          <w:noProof/>
        </w:rPr>
        <w:t>1</w:t>
      </w:r>
      <w:r w:rsidR="00FF6FFD">
        <w:fldChar w:fldCharType="end"/>
      </w:r>
      <w:r w:rsidR="00245E9E">
        <w:t xml:space="preserve"> (on a sent out basis)</w:t>
      </w:r>
      <w:r>
        <w:t>.</w:t>
      </w:r>
    </w:p>
    <w:p w:rsidR="00CE5AC0" w:rsidRDefault="00CE5AC0">
      <w:pPr>
        <w:pStyle w:val="Caption"/>
      </w:pPr>
      <w:bookmarkStart w:id="52" w:name="_Ref365544756"/>
      <w:bookmarkStart w:id="53" w:name="_Toc370394671"/>
      <w:r>
        <w:t xml:space="preserve">Figure </w:t>
      </w:r>
      <w:fldSimple w:instr=" SEQ Figure \* ARABIC ">
        <w:r w:rsidR="00660A8E">
          <w:rPr>
            <w:noProof/>
          </w:rPr>
          <w:t>1</w:t>
        </w:r>
      </w:fldSimple>
      <w:bookmarkEnd w:id="52"/>
      <w:r w:rsidRPr="004E0C91">
        <w:rPr>
          <w:b/>
          <w:color w:val="000080"/>
        </w:rPr>
        <w:tab/>
      </w:r>
      <w:r w:rsidRPr="00CE5AC0">
        <w:rPr>
          <w:rStyle w:val="CaptionLabel"/>
        </w:rPr>
        <w:t>Aggregate demand</w:t>
      </w:r>
      <w:bookmarkEnd w:id="5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CE5AC0" w:rsidTr="003739E4">
        <w:trPr>
          <w:cantSplit/>
        </w:trPr>
        <w:tc>
          <w:tcPr>
            <w:tcW w:w="5000" w:type="pct"/>
          </w:tcPr>
          <w:p w:rsidR="00CE5AC0" w:rsidRDefault="00CE5AC0" w:rsidP="003739E4">
            <w:pPr>
              <w:pStyle w:val="SmallDeltasRightAligned"/>
              <w:keepNext/>
            </w:pPr>
            <w:r>
              <w:rPr>
                <w:noProof/>
                <w:lang w:eastAsia="en-AU"/>
              </w:rPr>
              <w:drawing>
                <wp:inline distT="0" distB="0" distL="0" distR="0" wp14:anchorId="0FD6F8C3" wp14:editId="4511FD6C">
                  <wp:extent cx="481585" cy="2346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E5AC0" w:rsidTr="003739E4">
        <w:trPr>
          <w:cantSplit/>
        </w:trPr>
        <w:tc>
          <w:tcPr>
            <w:tcW w:w="5000" w:type="pct"/>
          </w:tcPr>
          <w:p w:rsidR="00CE5AC0" w:rsidRDefault="00CE5AC0" w:rsidP="003739E4">
            <w:pPr>
              <w:pStyle w:val="Figure"/>
            </w:pPr>
            <w:r>
              <w:rPr>
                <w:noProof/>
                <w:lang w:eastAsia="en-AU"/>
              </w:rPr>
              <w:drawing>
                <wp:inline distT="0" distB="0" distL="0" distR="0" wp14:anchorId="5E33F4FE" wp14:editId="0A4AAF89">
                  <wp:extent cx="4673600" cy="240474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CE5AC0" w:rsidRDefault="00CE5AC0">
      <w:pPr>
        <w:pStyle w:val="Note"/>
      </w:pPr>
      <w:r>
        <w:rPr>
          <w:i/>
        </w:rPr>
        <w:t>Note:</w:t>
      </w:r>
      <w:r>
        <w:t xml:space="preserve"> </w:t>
      </w:r>
      <w:r w:rsidRPr="00CE5AC0">
        <w:t>Estimates include off-grid and embedded generation</w:t>
      </w:r>
    </w:p>
    <w:p w:rsidR="00CE5AC0" w:rsidRPr="00B50A1B" w:rsidRDefault="00CE5AC0" w:rsidP="003739E4">
      <w:pPr>
        <w:pStyle w:val="Source"/>
        <w:rPr>
          <w:i/>
        </w:rPr>
      </w:pPr>
      <w:r>
        <w:t>S</w:t>
      </w:r>
      <w:r w:rsidRPr="00B50A1B">
        <w:t>ource:</w:t>
      </w:r>
      <w:r w:rsidRPr="00954EED">
        <w:t xml:space="preserve"> </w:t>
      </w:r>
      <w:r w:rsidRPr="00CE5AC0">
        <w:t xml:space="preserve">ACIL </w:t>
      </w:r>
      <w:r>
        <w:t>Allen</w:t>
      </w:r>
      <w:r w:rsidRPr="00CE5AC0">
        <w:t xml:space="preserve"> estimates based on Treasury, AEMO, IMO and other sources.</w:t>
      </w:r>
    </w:p>
    <w:p w:rsidR="00CE5AC0" w:rsidRDefault="00CE5AC0" w:rsidP="00CE5AC0">
      <w:pPr>
        <w:pStyle w:val="Heading3"/>
      </w:pPr>
      <w:bookmarkStart w:id="54" w:name="_Toc365474019"/>
      <w:bookmarkStart w:id="55" w:name="_Toc370394631"/>
      <w:r>
        <w:lastRenderedPageBreak/>
        <w:t>Demand profiles</w:t>
      </w:r>
      <w:bookmarkEnd w:id="54"/>
      <w:bookmarkEnd w:id="55"/>
    </w:p>
    <w:p w:rsidR="00CE5AC0" w:rsidRDefault="00CE5AC0" w:rsidP="00CE5AC0">
      <w:pPr>
        <w:pStyle w:val="BodyText"/>
      </w:pPr>
      <w:r>
        <w:t xml:space="preserve">While aggregate demand is important, the way demand varies over the course of a year also affects dispatch and emissions outcomes. Accordingly, the aggregate demand assumptions described above need to be transformed into a demand profile suitable for modelling. This demand profile will reflect both the level of peak demand in the relevant energy market or market region, and the way the aggregate energy demand is distributed across the year. </w:t>
      </w:r>
    </w:p>
    <w:p w:rsidR="00CE5AC0" w:rsidRDefault="00CE5AC0" w:rsidP="00CE5AC0">
      <w:pPr>
        <w:pStyle w:val="BodyText"/>
      </w:pPr>
      <w:r>
        <w:t>This is done through a number of steps as follows:</w:t>
      </w:r>
    </w:p>
    <w:p w:rsidR="00CE5AC0" w:rsidRDefault="00CE5AC0" w:rsidP="00CE5AC0">
      <w:pPr>
        <w:pStyle w:val="ListBullet"/>
        <w:spacing w:before="80" w:after="0"/>
      </w:pPr>
      <w:r>
        <w:t xml:space="preserve">Adjust total electricity demand estimated as described in section </w:t>
      </w:r>
      <w:r w:rsidR="00450552">
        <w:fldChar w:fldCharType="begin"/>
      </w:r>
      <w:r w:rsidR="00450552">
        <w:instrText xml:space="preserve"> REF _Ref360633876 \n \h </w:instrText>
      </w:r>
      <w:r w:rsidR="00450552">
        <w:fldChar w:fldCharType="separate"/>
      </w:r>
      <w:r w:rsidR="00660A8E">
        <w:t>3.1.1</w:t>
      </w:r>
      <w:r w:rsidR="00450552">
        <w:fldChar w:fldCharType="end"/>
      </w:r>
      <w:r>
        <w:t xml:space="preserve"> into electricity sent-out for each modelled region (which is the basis on which demand is modelled in </w:t>
      </w:r>
      <w:r w:rsidRPr="00332421">
        <w:rPr>
          <w:i/>
        </w:rPr>
        <w:t>PowerMark LT</w:t>
      </w:r>
      <w:r>
        <w:t xml:space="preserve">). Forecasts of rooftop PV generation are adopted from market forecasts by AEMO in the NEM and the IMO in the SWIS, and deducted from total electricity demand. Embedded generation is held constant, such that incremental changes in electricity demand are competitively supplied from the grid. </w:t>
      </w:r>
    </w:p>
    <w:p w:rsidR="00CE5AC0" w:rsidRDefault="00CE5AC0" w:rsidP="00CE5AC0">
      <w:pPr>
        <w:pStyle w:val="ListBullet"/>
        <w:spacing w:before="80" w:after="0"/>
      </w:pPr>
      <w:r>
        <w:t xml:space="preserve">For grid-supplied electricity, determine 50% and 10% probability of exceedence (POE) peak demand levels which correspond to the energy values. These are taken from implied load factors (ratio of peak to average demand) from official forecasts for the NEM regions, the SWIS and the DKIS, and assumed for the NWIS and Mount Isa. Beyond the forecast periods load factors are assumed to stabilise (i.e. the rate of growth for both peak demand and energy are identical).  </w:t>
      </w:r>
    </w:p>
    <w:p w:rsidR="00CE5AC0" w:rsidRDefault="00CE5AC0" w:rsidP="00CE5AC0">
      <w:pPr>
        <w:pStyle w:val="ListBullet"/>
        <w:spacing w:before="80" w:after="0"/>
      </w:pPr>
      <w:r>
        <w:t>Construct initial year 30 minute resolution demand traces for each region which have been weather corrected (i.e. which reflect weather conditions in stylised ‘normal’ year). Due to no data being available for the DKIS, NWIS and Mt Isa, a Queensland load profile was used and adjusted to the appropriate load factor.</w:t>
      </w:r>
    </w:p>
    <w:p w:rsidR="00CE5AC0" w:rsidRDefault="00CE5AC0" w:rsidP="00CE5AC0">
      <w:pPr>
        <w:pStyle w:val="ListBullet"/>
        <w:spacing w:before="80" w:after="0"/>
      </w:pPr>
      <w:r>
        <w:t>Grow these demand traces to accord with the peak demand and energy forecasts for each year to 2050</w:t>
      </w:r>
    </w:p>
    <w:p w:rsidR="00CE5AC0" w:rsidRDefault="00CE5AC0" w:rsidP="00CE5AC0">
      <w:pPr>
        <w:pStyle w:val="ListBullet"/>
        <w:spacing w:before="80" w:after="0"/>
      </w:pPr>
      <w:r>
        <w:t>Grow 30 minute resolution traces for output from intermittent sources and deduct this from the grid profiles to ensure that impacts upon the time-of-day load shapes is preserved</w:t>
      </w:r>
    </w:p>
    <w:p w:rsidR="00CE5AC0" w:rsidRPr="0018703C" w:rsidRDefault="00CE5AC0" w:rsidP="00CE5AC0">
      <w:pPr>
        <w:pStyle w:val="ListBullet"/>
        <w:spacing w:before="80" w:after="0"/>
      </w:pPr>
      <w:r>
        <w:t xml:space="preserve">Sample the final 30 minute resolution grid-based demand profiles down to a weighted 50 point profile for inclusion into </w:t>
      </w:r>
      <w:r w:rsidRPr="00DD0BDA">
        <w:rPr>
          <w:i/>
        </w:rPr>
        <w:t>PowerMark LT</w:t>
      </w:r>
      <w:r>
        <w:t>.</w:t>
      </w:r>
    </w:p>
    <w:p w:rsidR="00CE5AC0" w:rsidRDefault="00CE5AC0" w:rsidP="00CE5AC0">
      <w:pPr>
        <w:pStyle w:val="Heading2"/>
        <w:pBdr>
          <w:bottom w:val="none" w:sz="0" w:space="0" w:color="auto"/>
        </w:pBdr>
      </w:pPr>
      <w:bookmarkStart w:id="56" w:name="_Ref360623744"/>
      <w:bookmarkStart w:id="57" w:name="_Toc365474020"/>
      <w:bookmarkStart w:id="58" w:name="_Toc370394632"/>
      <w:r>
        <w:t>Other CGE inputs</w:t>
      </w:r>
      <w:bookmarkEnd w:id="56"/>
      <w:bookmarkEnd w:id="57"/>
      <w:bookmarkEnd w:id="58"/>
    </w:p>
    <w:p w:rsidR="00CE5AC0" w:rsidRDefault="00CE5AC0" w:rsidP="00CE5AC0">
      <w:pPr>
        <w:pStyle w:val="BodyText"/>
        <w:rPr>
          <w:lang w:val="en-US"/>
        </w:rPr>
      </w:pPr>
      <w:r>
        <w:rPr>
          <w:lang w:val="en-US"/>
        </w:rPr>
        <w:t xml:space="preserve">The carbon prices modelled in the High Carbon Price, Low Carbon Price and Central Policy scenarios are compared in </w:t>
      </w:r>
      <w:r w:rsidR="00450552">
        <w:rPr>
          <w:lang w:val="en-US"/>
        </w:rPr>
        <w:fldChar w:fldCharType="begin"/>
      </w:r>
      <w:r w:rsidR="00450552">
        <w:rPr>
          <w:lang w:val="en-US"/>
        </w:rPr>
        <w:instrText xml:space="preserve"> REF _Ref365543172 \h </w:instrText>
      </w:r>
      <w:r w:rsidR="00450552">
        <w:rPr>
          <w:lang w:val="en-US"/>
        </w:rPr>
      </w:r>
      <w:r w:rsidR="00450552">
        <w:rPr>
          <w:lang w:val="en-US"/>
        </w:rPr>
        <w:fldChar w:fldCharType="separate"/>
      </w:r>
      <w:r w:rsidR="00660A8E">
        <w:t xml:space="preserve">Figure </w:t>
      </w:r>
      <w:r w:rsidR="00660A8E">
        <w:rPr>
          <w:noProof/>
        </w:rPr>
        <w:t>2</w:t>
      </w:r>
      <w:r w:rsidR="00450552">
        <w:rPr>
          <w:lang w:val="en-US"/>
        </w:rPr>
        <w:fldChar w:fldCharType="end"/>
      </w:r>
      <w:r>
        <w:rPr>
          <w:lang w:val="en-US"/>
        </w:rPr>
        <w:t>.</w:t>
      </w:r>
    </w:p>
    <w:p w:rsidR="00CE5AC0" w:rsidRDefault="00CE5AC0">
      <w:pPr>
        <w:pStyle w:val="Caption"/>
      </w:pPr>
      <w:bookmarkStart w:id="59" w:name="_Ref365543172"/>
      <w:bookmarkStart w:id="60" w:name="_Toc370394672"/>
      <w:r>
        <w:lastRenderedPageBreak/>
        <w:t xml:space="preserve">Figure </w:t>
      </w:r>
      <w:fldSimple w:instr=" SEQ Figure \* ARABIC ">
        <w:r w:rsidR="00660A8E">
          <w:rPr>
            <w:noProof/>
          </w:rPr>
          <w:t>2</w:t>
        </w:r>
      </w:fldSimple>
      <w:bookmarkEnd w:id="59"/>
      <w:r w:rsidRPr="004E0C91">
        <w:rPr>
          <w:b/>
          <w:color w:val="000080"/>
        </w:rPr>
        <w:tab/>
      </w:r>
      <w:r w:rsidRPr="00CE5AC0">
        <w:rPr>
          <w:rStyle w:val="CaptionLabel"/>
        </w:rPr>
        <w:t>Carbon price assumptions</w:t>
      </w:r>
      <w:bookmarkEnd w:id="60"/>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CE5AC0" w:rsidTr="003739E4">
        <w:trPr>
          <w:cantSplit/>
        </w:trPr>
        <w:tc>
          <w:tcPr>
            <w:tcW w:w="5000" w:type="pct"/>
          </w:tcPr>
          <w:p w:rsidR="00CE5AC0" w:rsidRDefault="00CE5AC0" w:rsidP="003739E4">
            <w:pPr>
              <w:pStyle w:val="SmallDeltasRightAligned"/>
              <w:keepNext/>
            </w:pPr>
            <w:r>
              <w:rPr>
                <w:noProof/>
                <w:lang w:eastAsia="en-AU"/>
              </w:rPr>
              <w:drawing>
                <wp:inline distT="0" distB="0" distL="0" distR="0" wp14:anchorId="6E3CC686" wp14:editId="2C9905E1">
                  <wp:extent cx="481585" cy="2346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E5AC0" w:rsidTr="003739E4">
        <w:trPr>
          <w:cantSplit/>
        </w:trPr>
        <w:tc>
          <w:tcPr>
            <w:tcW w:w="5000" w:type="pct"/>
          </w:tcPr>
          <w:p w:rsidR="00CE5AC0" w:rsidRDefault="0030502C" w:rsidP="003739E4">
            <w:pPr>
              <w:pStyle w:val="Figure"/>
            </w:pPr>
            <w:r>
              <w:rPr>
                <w:noProof/>
                <w:lang w:eastAsia="en-AU"/>
              </w:rPr>
              <w:drawing>
                <wp:inline distT="0" distB="0" distL="0" distR="0" wp14:anchorId="058364AE" wp14:editId="1CBA15D2">
                  <wp:extent cx="4673600" cy="2404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CE5AC0" w:rsidRPr="00B50A1B" w:rsidRDefault="00CE5AC0" w:rsidP="003739E4">
      <w:pPr>
        <w:pStyle w:val="Source"/>
        <w:rPr>
          <w:i/>
        </w:rPr>
      </w:pPr>
      <w:r>
        <w:t>S</w:t>
      </w:r>
      <w:r w:rsidRPr="00B50A1B">
        <w:t>ource:</w:t>
      </w:r>
      <w:r w:rsidRPr="00954EED">
        <w:t xml:space="preserve"> </w:t>
      </w:r>
      <w:r>
        <w:t>Treasury</w:t>
      </w:r>
    </w:p>
    <w:p w:rsidR="00CE5AC0" w:rsidRDefault="00CE5AC0" w:rsidP="00CE5AC0">
      <w:pPr>
        <w:pStyle w:val="BodyText"/>
      </w:pPr>
      <w:r>
        <w:t>Steel prices, real wages and real exchange rates were also modelled by the Treasury, and affected the capital cost of generation technologies. The Treasury’s modelled series for these inputs are presented in the joint DIICCSRTE/Treasury report to the Climate Change Authority on emissions projections. In terms of generation capital costs, the key driver from these assumptions was the broad real depreciation of the Australian dollar over the model period, which makes final installed generation costs more expensive due to the increased cost of imported components.</w:t>
      </w:r>
    </w:p>
    <w:p w:rsidR="00CE5AC0" w:rsidRDefault="00CE5AC0" w:rsidP="00CE5AC0">
      <w:pPr>
        <w:pStyle w:val="Heading2"/>
        <w:pBdr>
          <w:bottom w:val="none" w:sz="0" w:space="0" w:color="auto"/>
        </w:pBdr>
      </w:pPr>
      <w:bookmarkStart w:id="61" w:name="_Toc365474021"/>
      <w:bookmarkStart w:id="62" w:name="_Toc370394633"/>
      <w:r>
        <w:t>Existing generators</w:t>
      </w:r>
      <w:bookmarkEnd w:id="61"/>
      <w:bookmarkEnd w:id="62"/>
    </w:p>
    <w:p w:rsidR="00CE5AC0" w:rsidRDefault="00CE5AC0" w:rsidP="00CE5AC0">
      <w:pPr>
        <w:pStyle w:val="BodyText"/>
      </w:pPr>
      <w:r>
        <w:t xml:space="preserve">The modelling incorporates a total of 190 existing generators across the nine regions modelled as shown in </w:t>
      </w:r>
      <w:r w:rsidR="00450552">
        <w:fldChar w:fldCharType="begin"/>
      </w:r>
      <w:r w:rsidR="00450552">
        <w:instrText xml:space="preserve"> REF _Ref365543187 \h </w:instrText>
      </w:r>
      <w:r w:rsidR="00450552">
        <w:fldChar w:fldCharType="separate"/>
      </w:r>
      <w:r w:rsidR="00660A8E">
        <w:t xml:space="preserve">Table </w:t>
      </w:r>
      <w:r w:rsidR="00660A8E">
        <w:rPr>
          <w:noProof/>
        </w:rPr>
        <w:t>1</w:t>
      </w:r>
      <w:r w:rsidR="00450552">
        <w:fldChar w:fldCharType="end"/>
      </w:r>
      <w:r>
        <w:t xml:space="preserve">. For the NEM, these generators represent those that are scheduled and semi-scheduled (i.e. those that report and participate in AEMO’s central dispatch functions). Non-scheduled, embedded ‘behind the meter’ and off-grid generation are handled outside of </w:t>
      </w:r>
      <w:r>
        <w:rPr>
          <w:i/>
        </w:rPr>
        <w:t>PowerM</w:t>
      </w:r>
      <w:r w:rsidRPr="00BC2FE8">
        <w:rPr>
          <w:i/>
        </w:rPr>
        <w:t>ark LT</w:t>
      </w:r>
      <w:r>
        <w:t>.</w:t>
      </w:r>
    </w:p>
    <w:p w:rsidR="00CE5AC0" w:rsidRDefault="00CE5AC0" w:rsidP="00CE5AC0">
      <w:pPr>
        <w:pStyle w:val="BodyText"/>
      </w:pPr>
      <w:r>
        <w:t>For the SWIS, the generators and their capacity corresponds with capacity offered to the IMO as part of the wholesale markets net pool functions. This means that capacity and energy related to own-use consumption (most notably from cogeneration projects) is not included explicitly and is handled outside the modelling.</w:t>
      </w:r>
    </w:p>
    <w:p w:rsidR="00CE5AC0" w:rsidRDefault="00CE5AC0" w:rsidP="00CE5AC0">
      <w:pPr>
        <w:pStyle w:val="BodyText"/>
      </w:pPr>
      <w:r>
        <w:t>For NWIS, DKIS and Mt Isa regions no formal market structure exists and ge</w:t>
      </w:r>
      <w:r w:rsidR="00245E9E">
        <w:t>nerators include all major grid-</w:t>
      </w:r>
      <w:r>
        <w:t>connected plants.</w:t>
      </w:r>
    </w:p>
    <w:p w:rsidR="00E321F5" w:rsidRDefault="00E321F5" w:rsidP="00F25432">
      <w:pPr>
        <w:pStyle w:val="BodyText"/>
      </w:pPr>
    </w:p>
    <w:p w:rsidR="003739E4" w:rsidRDefault="003739E4" w:rsidP="003739E4">
      <w:pPr>
        <w:pStyle w:val="Caption"/>
        <w:ind w:left="-1843"/>
      </w:pPr>
      <w:bookmarkStart w:id="63" w:name="_Ref365543187"/>
      <w:bookmarkStart w:id="64" w:name="_Toc370394743"/>
      <w:r>
        <w:lastRenderedPageBreak/>
        <w:t xml:space="preserve">Table </w:t>
      </w:r>
      <w:fldSimple w:instr=" SEQ Table \* MERGEFORMAT ">
        <w:r w:rsidR="00660A8E">
          <w:rPr>
            <w:noProof/>
          </w:rPr>
          <w:t>1</w:t>
        </w:r>
      </w:fldSimple>
      <w:bookmarkEnd w:id="63"/>
      <w:r w:rsidRPr="003739E4">
        <w:rPr>
          <w:b/>
          <w:color w:val="000000"/>
        </w:rPr>
        <w:tab/>
        <w:t>Existing and committed generators: type, capacity and life</w:t>
      </w:r>
      <w:bookmarkEnd w:id="64"/>
    </w:p>
    <w:tbl>
      <w:tblPr>
        <w:tblW w:w="10206" w:type="dxa"/>
        <w:tblInd w:w="-2693" w:type="dxa"/>
        <w:tblBorders>
          <w:bottom w:val="single" w:sz="2" w:space="0" w:color="C0C0C0"/>
          <w:insideH w:val="single" w:sz="2" w:space="0" w:color="C0C0C0"/>
        </w:tblBorders>
        <w:tblLayout w:type="fixed"/>
        <w:tblCellMar>
          <w:left w:w="142" w:type="dxa"/>
          <w:right w:w="56" w:type="dxa"/>
        </w:tblCellMar>
        <w:tblLook w:val="04A0" w:firstRow="1" w:lastRow="0" w:firstColumn="1" w:lastColumn="0" w:noHBand="0" w:noVBand="1"/>
      </w:tblPr>
      <w:tblGrid>
        <w:gridCol w:w="706"/>
        <w:gridCol w:w="2271"/>
        <w:gridCol w:w="1559"/>
        <w:gridCol w:w="1559"/>
        <w:gridCol w:w="1257"/>
        <w:gridCol w:w="951"/>
        <w:gridCol w:w="951"/>
        <w:gridCol w:w="952"/>
      </w:tblGrid>
      <w:tr w:rsidR="003739E4" w:rsidRPr="003739E4" w:rsidTr="003739E4">
        <w:trPr>
          <w:cantSplit/>
          <w:trHeight w:val="765"/>
          <w:tblHeader/>
        </w:trPr>
        <w:tc>
          <w:tcPr>
            <w:tcW w:w="706" w:type="dxa"/>
            <w:tcBorders>
              <w:top w:val="nil"/>
            </w:tcBorders>
            <w:shd w:val="solid" w:color="9757A6" w:fill="9757A6"/>
            <w:vAlign w:val="center"/>
            <w:hideMark/>
          </w:tcPr>
          <w:p w:rsidR="003739E4" w:rsidRPr="003739E4" w:rsidRDefault="003739E4" w:rsidP="003739E4">
            <w:pPr>
              <w:pStyle w:val="Tablecolumnheadings"/>
              <w:rPr>
                <w:sz w:val="12"/>
                <w:szCs w:val="12"/>
                <w:lang w:eastAsia="en-AU"/>
              </w:rPr>
            </w:pPr>
            <w:r w:rsidRPr="003739E4">
              <w:rPr>
                <w:sz w:val="12"/>
                <w:szCs w:val="12"/>
                <w:lang w:eastAsia="en-AU"/>
              </w:rPr>
              <w:t>Region</w:t>
            </w:r>
          </w:p>
        </w:tc>
        <w:tc>
          <w:tcPr>
            <w:tcW w:w="2271" w:type="dxa"/>
            <w:tcBorders>
              <w:top w:val="nil"/>
            </w:tcBorders>
            <w:shd w:val="solid" w:color="9757A6" w:fill="9757A6"/>
            <w:vAlign w:val="center"/>
            <w:hideMark/>
          </w:tcPr>
          <w:p w:rsidR="003739E4" w:rsidRPr="003739E4" w:rsidRDefault="003739E4" w:rsidP="003739E4">
            <w:pPr>
              <w:pStyle w:val="Tablecolumnheadings"/>
              <w:rPr>
                <w:sz w:val="12"/>
                <w:szCs w:val="12"/>
                <w:lang w:eastAsia="en-AU"/>
              </w:rPr>
            </w:pPr>
            <w:r w:rsidRPr="003739E4">
              <w:rPr>
                <w:sz w:val="12"/>
                <w:szCs w:val="12"/>
                <w:lang w:eastAsia="en-AU"/>
              </w:rPr>
              <w:t>Generator</w:t>
            </w:r>
          </w:p>
        </w:tc>
        <w:tc>
          <w:tcPr>
            <w:tcW w:w="1559" w:type="dxa"/>
            <w:tcBorders>
              <w:top w:val="nil"/>
            </w:tcBorders>
            <w:shd w:val="solid" w:color="9757A6" w:fill="9757A6"/>
            <w:vAlign w:val="center"/>
            <w:hideMark/>
          </w:tcPr>
          <w:p w:rsidR="003739E4" w:rsidRPr="003739E4" w:rsidRDefault="003739E4" w:rsidP="003739E4">
            <w:pPr>
              <w:pStyle w:val="Tablecolumnheadings"/>
              <w:jc w:val="center"/>
              <w:rPr>
                <w:sz w:val="12"/>
                <w:szCs w:val="12"/>
                <w:lang w:eastAsia="en-AU"/>
              </w:rPr>
            </w:pPr>
            <w:r w:rsidRPr="003739E4">
              <w:rPr>
                <w:sz w:val="12"/>
                <w:szCs w:val="12"/>
                <w:lang w:eastAsia="en-AU"/>
              </w:rPr>
              <w:t>Plant type</w:t>
            </w:r>
          </w:p>
        </w:tc>
        <w:tc>
          <w:tcPr>
            <w:tcW w:w="1559" w:type="dxa"/>
            <w:tcBorders>
              <w:top w:val="nil"/>
            </w:tcBorders>
            <w:shd w:val="solid" w:color="9757A6" w:fill="9757A6"/>
            <w:vAlign w:val="center"/>
            <w:hideMark/>
          </w:tcPr>
          <w:p w:rsidR="003739E4" w:rsidRPr="003739E4" w:rsidRDefault="003739E4" w:rsidP="003739E4">
            <w:pPr>
              <w:pStyle w:val="Tablecolumnheadings"/>
              <w:jc w:val="center"/>
              <w:rPr>
                <w:sz w:val="12"/>
                <w:szCs w:val="12"/>
                <w:lang w:eastAsia="en-AU"/>
              </w:rPr>
            </w:pPr>
            <w:r w:rsidRPr="003739E4">
              <w:rPr>
                <w:sz w:val="12"/>
                <w:szCs w:val="12"/>
                <w:lang w:eastAsia="en-AU"/>
              </w:rPr>
              <w:t>Fuel type</w:t>
            </w:r>
          </w:p>
        </w:tc>
        <w:tc>
          <w:tcPr>
            <w:tcW w:w="1257" w:type="dxa"/>
            <w:tcBorders>
              <w:top w:val="nil"/>
            </w:tcBorders>
            <w:shd w:val="solid" w:color="9757A6" w:fill="9757A6"/>
            <w:vAlign w:val="center"/>
            <w:hideMark/>
          </w:tcPr>
          <w:p w:rsidR="003739E4" w:rsidRPr="003739E4" w:rsidRDefault="003739E4" w:rsidP="003739E4">
            <w:pPr>
              <w:pStyle w:val="Tablecolumnheadings"/>
              <w:jc w:val="center"/>
              <w:rPr>
                <w:sz w:val="12"/>
                <w:szCs w:val="12"/>
                <w:lang w:eastAsia="en-AU"/>
              </w:rPr>
            </w:pPr>
            <w:r w:rsidRPr="003739E4">
              <w:rPr>
                <w:sz w:val="12"/>
                <w:szCs w:val="12"/>
                <w:lang w:eastAsia="en-AU"/>
              </w:rPr>
              <w:t>Commissioned</w:t>
            </w:r>
          </w:p>
        </w:tc>
        <w:tc>
          <w:tcPr>
            <w:tcW w:w="951" w:type="dxa"/>
            <w:tcBorders>
              <w:top w:val="nil"/>
            </w:tcBorders>
            <w:shd w:val="solid" w:color="9757A6" w:fill="9757A6"/>
            <w:vAlign w:val="center"/>
            <w:hideMark/>
          </w:tcPr>
          <w:p w:rsidR="003739E4" w:rsidRPr="003739E4" w:rsidRDefault="003739E4" w:rsidP="003739E4">
            <w:pPr>
              <w:pStyle w:val="Tablecolumnheadings"/>
              <w:jc w:val="center"/>
              <w:rPr>
                <w:sz w:val="12"/>
                <w:szCs w:val="12"/>
                <w:lang w:eastAsia="en-AU"/>
              </w:rPr>
            </w:pPr>
            <w:r w:rsidRPr="003739E4">
              <w:rPr>
                <w:sz w:val="12"/>
                <w:szCs w:val="12"/>
                <w:lang w:eastAsia="en-AU"/>
              </w:rPr>
              <w:t>Technical Life (Years)</w:t>
            </w:r>
          </w:p>
        </w:tc>
        <w:tc>
          <w:tcPr>
            <w:tcW w:w="951" w:type="dxa"/>
            <w:tcBorders>
              <w:top w:val="nil"/>
            </w:tcBorders>
            <w:shd w:val="solid" w:color="9757A6" w:fill="9757A6"/>
            <w:vAlign w:val="center"/>
            <w:hideMark/>
          </w:tcPr>
          <w:p w:rsidR="003739E4" w:rsidRPr="003739E4" w:rsidRDefault="003739E4" w:rsidP="003739E4">
            <w:pPr>
              <w:pStyle w:val="Tablecolumnheadings"/>
              <w:jc w:val="center"/>
              <w:rPr>
                <w:sz w:val="12"/>
                <w:szCs w:val="12"/>
                <w:lang w:eastAsia="en-AU"/>
              </w:rPr>
            </w:pPr>
            <w:r w:rsidRPr="003739E4">
              <w:rPr>
                <w:sz w:val="12"/>
                <w:szCs w:val="12"/>
                <w:lang w:eastAsia="en-AU"/>
              </w:rPr>
              <w:t>Technical Retirement Year</w:t>
            </w:r>
          </w:p>
        </w:tc>
        <w:tc>
          <w:tcPr>
            <w:tcW w:w="952" w:type="dxa"/>
            <w:tcBorders>
              <w:top w:val="nil"/>
            </w:tcBorders>
            <w:shd w:val="solid" w:color="9757A6" w:fill="9757A6"/>
            <w:vAlign w:val="center"/>
            <w:hideMark/>
          </w:tcPr>
          <w:p w:rsidR="003739E4" w:rsidRPr="003739E4" w:rsidRDefault="003739E4" w:rsidP="003739E4">
            <w:pPr>
              <w:pStyle w:val="Tablecolumnheadings"/>
              <w:jc w:val="center"/>
              <w:rPr>
                <w:sz w:val="12"/>
                <w:szCs w:val="12"/>
                <w:lang w:eastAsia="en-AU"/>
              </w:rPr>
            </w:pPr>
            <w:r w:rsidRPr="003739E4">
              <w:rPr>
                <w:sz w:val="12"/>
                <w:szCs w:val="12"/>
                <w:lang w:eastAsia="en-AU"/>
              </w:rPr>
              <w:t>Capacity (gross MW)</w:t>
            </w:r>
          </w:p>
        </w:tc>
      </w:tr>
      <w:tr w:rsidR="00760A9C" w:rsidRPr="003739E4" w:rsidTr="003739E4">
        <w:trPr>
          <w:cantSplit/>
          <w:trHeight w:val="225"/>
        </w:trPr>
        <w:tc>
          <w:tcPr>
            <w:tcW w:w="706" w:type="dxa"/>
            <w:vMerge w:val="restart"/>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NSW</w:t>
            </w: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AGL SF PV Broken Hill</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Solar PV</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Solar</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2014</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2044</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53</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AGL SF PV Nyngan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Solar PV</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Solar</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2014</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2044</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106</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Bayswater</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2,720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Bendeela Pumps</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Pump</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2127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240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Blowering</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1969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2119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Colongra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664</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Eraring</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2033</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2,880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Gunning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47</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Guthega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1955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2105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Hume NSW</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1957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2107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29</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Hunter Valley 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Liquid fuel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51</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Liddell</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2,100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Mt Piper</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2043</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1,340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Munmorah</w:t>
            </w:r>
            <w:r w:rsidRPr="003739E4">
              <w:rPr>
                <w:rFonts w:ascii="Century Gothic" w:hAnsi="Century Gothic"/>
                <w:b/>
                <w:bCs/>
                <w:color w:val="000080"/>
                <w:sz w:val="12"/>
                <w:szCs w:val="12"/>
                <w:vertAlign w:val="superscript"/>
                <w:lang w:eastAsia="en-AU"/>
              </w:rPr>
              <w:t xml:space="preserve"> 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1969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600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Redbank</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2051</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Shoalhaven Bendeela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2127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240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Smithfield</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176</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Tallawarra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430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Tumut 1</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1959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2109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616</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Tumut 3</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2123</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Tumut 3 Pumps</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Pump</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2123</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400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Uranquinty</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664</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Vales Point B</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1,320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Wallerawang C</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2023</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960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Woodlawn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48</w:t>
            </w:r>
          </w:p>
        </w:tc>
      </w:tr>
      <w:tr w:rsidR="00760A9C" w:rsidRPr="003739E4" w:rsidTr="003739E4">
        <w:trPr>
          <w:cantSplit/>
          <w:trHeight w:val="225"/>
        </w:trPr>
        <w:tc>
          <w:tcPr>
            <w:tcW w:w="706" w:type="dxa"/>
            <w:vMerge w:val="restart"/>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QLD</w:t>
            </w: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Barcaldine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Barron Gorge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1963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2113</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Braemar 1</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504</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Braemar 2</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459</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Callide B</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700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Callide C</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Supercritical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2051</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810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Collinsville</w:t>
            </w:r>
            <w:r w:rsidRPr="003739E4">
              <w:rPr>
                <w:rFonts w:ascii="Century Gothic" w:hAnsi="Century Gothic"/>
                <w:b/>
                <w:bCs/>
                <w:color w:val="000080"/>
                <w:sz w:val="12"/>
                <w:szCs w:val="12"/>
                <w:vertAlign w:val="superscript"/>
                <w:lang w:eastAsia="en-AU"/>
              </w:rPr>
              <w:t xml:space="preserve"> 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Condamine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140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Darling Downs</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630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Gladstone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1,680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Kareeya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1958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2108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81</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Kogan Creek</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Supercritical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2057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750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Mackay 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Liquid fuel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34</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Millmerran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Supercritical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2052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851</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Mt Stuart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Liquid fuel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418</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Oakey</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282</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Roma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Stanwell</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1,440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Swanbank B</w:t>
            </w:r>
            <w:r w:rsidRPr="003739E4">
              <w:rPr>
                <w:rFonts w:ascii="Century Gothic" w:hAnsi="Century Gothic"/>
                <w:b/>
                <w:bCs/>
                <w:color w:val="000080"/>
                <w:sz w:val="12"/>
                <w:szCs w:val="12"/>
                <w:vertAlign w:val="superscript"/>
                <w:lang w:eastAsia="en-AU"/>
              </w:rPr>
              <w:t xml:space="preserve"> 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480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Swanbank 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385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Tarong</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1,400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Tarong North</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Supercritical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2052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443</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Townsville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240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Wivenhoe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1984</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2134</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Wivenhoe Pump</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Pump</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1984</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2134</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480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Yarwun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Cogeneration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168</w:t>
            </w:r>
          </w:p>
        </w:tc>
      </w:tr>
      <w:tr w:rsidR="00760A9C" w:rsidRPr="003739E4" w:rsidTr="003739E4">
        <w:trPr>
          <w:cantSplit/>
          <w:trHeight w:val="225"/>
        </w:trPr>
        <w:tc>
          <w:tcPr>
            <w:tcW w:w="706" w:type="dxa"/>
            <w:vMerge w:val="restart"/>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SA</w:t>
            </w: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Angaston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Reciprocating engine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Liquid fuel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Bluff WF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53</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Clements Gap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2033</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57</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Dry Creek</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156</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Hallett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Hallett 2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2033</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71</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Hallett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95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Ladbroke Grove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Lake Bonney 2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2033</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159</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Lake Bonney 3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39</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Mintaro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1984</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2014</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90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North Brown Hill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132</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Northern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Brown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530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Osborne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180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Pelican Point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485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Playford B</w:t>
            </w:r>
            <w:r w:rsidRPr="003739E4">
              <w:rPr>
                <w:rFonts w:ascii="Century Gothic" w:hAnsi="Century Gothic"/>
                <w:b/>
                <w:bCs/>
                <w:color w:val="000080"/>
                <w:sz w:val="12"/>
                <w:szCs w:val="12"/>
                <w:vertAlign w:val="superscript"/>
                <w:lang w:eastAsia="en-AU"/>
              </w:rPr>
              <w:t xml:space="preserve"> 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Brown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1960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231</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Port Lincoln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Liquid fuel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74</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Quarantine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216</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Snowtown 2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2014</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270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Snowtown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2033</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99</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Snuggery</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Liquid fuel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63</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Torrens Island A</w:t>
            </w:r>
          </w:p>
        </w:tc>
        <w:tc>
          <w:tcPr>
            <w:tcW w:w="1559" w:type="dxa"/>
            <w:shd w:val="clear" w:color="auto" w:fill="auto"/>
            <w:noWrap/>
            <w:vAlign w:val="center"/>
            <w:hideMark/>
          </w:tcPr>
          <w:p w:rsidR="00760A9C" w:rsidRPr="003739E4" w:rsidRDefault="00760A9C" w:rsidP="00085E29">
            <w:pPr>
              <w:pStyle w:val="Tabletext"/>
              <w:jc w:val="center"/>
              <w:rPr>
                <w:sz w:val="12"/>
                <w:szCs w:val="12"/>
                <w:lang w:eastAsia="en-AU"/>
              </w:rPr>
            </w:pPr>
            <w:r w:rsidRPr="003739E4">
              <w:rPr>
                <w:sz w:val="12"/>
                <w:szCs w:val="12"/>
                <w:lang w:eastAsia="en-AU"/>
              </w:rPr>
              <w:t>Steam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1967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480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Torrens Island B</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Steam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800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Waterloo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111</w:t>
            </w:r>
          </w:p>
        </w:tc>
      </w:tr>
      <w:tr w:rsidR="00760A9C" w:rsidRPr="003739E4" w:rsidTr="003739E4">
        <w:trPr>
          <w:cantSplit/>
          <w:trHeight w:val="225"/>
        </w:trPr>
        <w:tc>
          <w:tcPr>
            <w:tcW w:w="706" w:type="dxa"/>
            <w:vMerge w:val="restart"/>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TAS</w:t>
            </w: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Bastyan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2133</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Bell Bay</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240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Bell Bay Three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120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Cethana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2121</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Devils Gate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1969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2119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Fisher</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2123</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43</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Gordon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2128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432</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John Butters</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2142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144</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Lake Echo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1956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2106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32</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Lemonthyme_Wilmot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2120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82</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Liapootah_Wayatinah_Catagunya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1960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2110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170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Mackintosh</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2132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Meadowbank</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1967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2117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Musselroe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168</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Poatina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1964</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2114</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Reece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2136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231</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Tamar Valley</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Tamar Valley 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58</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Tarraleah</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1938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2088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90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Trevallyn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1955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2105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Tribute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1994</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2144</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83</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Tungatinah</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1953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2103</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125</w:t>
            </w:r>
          </w:p>
        </w:tc>
      </w:tr>
      <w:tr w:rsidR="00760A9C" w:rsidRPr="003739E4" w:rsidTr="003739E4">
        <w:trPr>
          <w:cantSplit/>
          <w:trHeight w:val="225"/>
        </w:trPr>
        <w:tc>
          <w:tcPr>
            <w:tcW w:w="706" w:type="dxa"/>
            <w:vMerge w:val="restart"/>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VIC</w:t>
            </w: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Anglesea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Brown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1969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2021</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160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Bairnsdale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2031</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92</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Dartmouth</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1960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2110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158</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Eildon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1957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2107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120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Energy Brix</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Brown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1960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Hazelwood</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Brown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1968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2031</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1,640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Hume VIC</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1957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2107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29</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Jeeralang 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228</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Jeeralang B</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Laverton North</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312</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Loy Yang 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Brown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2,180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Loy Yang B</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Brown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1,050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Macarthur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420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McKay</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2130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Mortlake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2051</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566</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Mt Mercer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2014</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131</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Murray</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1968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2118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Newport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Steam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Oaklands Hill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63</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Somerton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160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Valley Power</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West Kiewa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Hydro</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1956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2106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62</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Yallourn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Brown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1,538</w:t>
            </w:r>
          </w:p>
        </w:tc>
      </w:tr>
      <w:tr w:rsidR="00760A9C" w:rsidRPr="003739E4" w:rsidTr="003739E4">
        <w:trPr>
          <w:cantSplit/>
          <w:trHeight w:val="225"/>
        </w:trPr>
        <w:tc>
          <w:tcPr>
            <w:tcW w:w="706" w:type="dxa"/>
            <w:vMerge w:val="restart"/>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SWIS</w:t>
            </w: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Albany</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22</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Alcoa Kwinana Cogen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Cogeneration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Alcoa Pinjarra Cogen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Cogeneration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Alcoa Wagerup Cogen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Cogeneration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Bluewaters</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441</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BP Cogen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Cogeneration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81</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Canning/Melville LFG</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Reciprocating engine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Landfill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9</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Cockburn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2033</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246</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Collgar Wind Farm</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206</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Collie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333</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Emu downs</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2031</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 xml:space="preserve">Geraldton </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Distillate</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1973</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2013</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Grasmere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14</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Greenough River</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Solar PV</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Solar</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Kalgoorlie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Distillate</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63</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Kalgoorlie Nickel</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Kemerton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310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Kwinana 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Steam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2011</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245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Kwinana B</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Steam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1974</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34</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Kwinana C</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Steam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385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Kwinana 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Distillate</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21</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Kwinana HEGT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2041</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Muja A&amp;B</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1968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240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Muja C</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2021</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398</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Muja D</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Subcritical pf</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454</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Mumbida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Mungarra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2021</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113</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Namarkkon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Distillate</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70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Neerabup Peaker</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330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Newgen Power</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314</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Parkeston SCE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68</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Pinjar A B</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228</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Pinjar C</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233</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Pinjar D</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124</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Pinjarra Alinta Cogen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Cogeneration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280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Tesla (various sites)</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Distillate</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Tiwest Cogen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Cogeneration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37</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Wagerup Alinta Peaker</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Distillate</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323</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Walkaway</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Wind</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89</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Western Energy Peaker</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2011</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2041</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106</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Worsley</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Cogeneration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Black coal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Worsley SWCJV</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Cogeneration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116</w:t>
            </w:r>
          </w:p>
        </w:tc>
      </w:tr>
      <w:tr w:rsidR="00760A9C" w:rsidRPr="003739E4" w:rsidTr="003739E4">
        <w:trPr>
          <w:cantSplit/>
          <w:trHeight w:val="225"/>
        </w:trPr>
        <w:tc>
          <w:tcPr>
            <w:tcW w:w="706" w:type="dxa"/>
            <w:vMerge w:val="restart"/>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NWIS</w:t>
            </w: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Burrup Peninsula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74</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Cape Lambert</w:t>
            </w:r>
            <w:r w:rsidRPr="003739E4">
              <w:rPr>
                <w:rFonts w:ascii="Century Gothic" w:hAnsi="Century Gothic"/>
                <w:b/>
                <w:bCs/>
                <w:color w:val="000080"/>
                <w:sz w:val="12"/>
                <w:szCs w:val="12"/>
                <w:vertAlign w:val="superscript"/>
                <w:lang w:eastAsia="en-AU"/>
              </w:rPr>
              <w:t xml:space="preserve"> 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Steam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105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Cape Preston</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450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Dampier</w:t>
            </w:r>
            <w:r w:rsidRPr="003739E4">
              <w:rPr>
                <w:rFonts w:ascii="Century Gothic" w:hAnsi="Century Gothic"/>
                <w:b/>
                <w:bCs/>
                <w:color w:val="000080"/>
                <w:sz w:val="12"/>
                <w:szCs w:val="12"/>
                <w:vertAlign w:val="superscript"/>
                <w:lang w:eastAsia="en-AU"/>
              </w:rPr>
              <w:t xml:space="preserve"> 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Steam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2050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120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Karratha</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Steam turbine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2055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44</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Karratha ACTO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86</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Paraburdoo</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Reciprocating Engine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Liquid fuel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2015</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Port Hedland</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180</w:t>
            </w:r>
          </w:p>
        </w:tc>
      </w:tr>
      <w:tr w:rsidR="00760A9C" w:rsidRPr="003739E4" w:rsidTr="003739E4">
        <w:trPr>
          <w:cantSplit/>
          <w:trHeight w:val="225"/>
        </w:trPr>
        <w:tc>
          <w:tcPr>
            <w:tcW w:w="706" w:type="dxa"/>
            <w:vMerge w:val="restart"/>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DKIS</w:t>
            </w: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Berrimah</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Liquid fuel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Channel Island u1-3</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95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Channel Island u4-6</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95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Channel Island u7</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2006</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2036</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42</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Channel Island u8-9</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2012</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2042</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90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Katherine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34</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LMS Shoal Bay</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Reciprocating engine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Landfill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15</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Pine Creek 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1989</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2019</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27</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Weddell</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128</w:t>
            </w:r>
          </w:p>
        </w:tc>
      </w:tr>
      <w:tr w:rsidR="00760A9C" w:rsidRPr="003739E4" w:rsidTr="003739E4">
        <w:trPr>
          <w:cantSplit/>
          <w:trHeight w:val="225"/>
        </w:trPr>
        <w:tc>
          <w:tcPr>
            <w:tcW w:w="706" w:type="dxa"/>
            <w:vMerge w:val="restart"/>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Mt Isa</w:t>
            </w: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APA Xstrata 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2008</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2038</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Diamantina 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2014</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2044</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242</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Diamantina 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2014</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2044</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60</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Ernest Henry</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Reciprocating Engine</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Liquid fuel</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1997</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2027</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32</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Mica Creek A 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103</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Mica Creek A 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132</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Mica Creek B</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35</w:t>
            </w:r>
          </w:p>
        </w:tc>
      </w:tr>
      <w:tr w:rsidR="00760A9C" w:rsidRPr="003739E4" w:rsidTr="003739E4">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Mica Creek C</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CCGT</w:t>
            </w:r>
          </w:p>
        </w:tc>
        <w:tc>
          <w:tcPr>
            <w:tcW w:w="1559"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2000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2030</w:t>
            </w:r>
          </w:p>
        </w:tc>
        <w:tc>
          <w:tcPr>
            <w:tcW w:w="952" w:type="dxa"/>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55</w:t>
            </w:r>
          </w:p>
        </w:tc>
      </w:tr>
      <w:tr w:rsidR="00760A9C" w:rsidRPr="003739E4" w:rsidTr="00760A9C">
        <w:trPr>
          <w:cantSplit/>
          <w:trHeight w:val="225"/>
        </w:trPr>
        <w:tc>
          <w:tcPr>
            <w:tcW w:w="706" w:type="dxa"/>
            <w:vMerge/>
            <w:shd w:val="clear" w:color="auto" w:fill="auto"/>
            <w:noWrap/>
            <w:vAlign w:val="center"/>
            <w:hideMark/>
          </w:tcPr>
          <w:p w:rsidR="00760A9C" w:rsidRPr="003739E4" w:rsidRDefault="00760A9C" w:rsidP="003739E4">
            <w:pPr>
              <w:pStyle w:val="Tabletext"/>
              <w:rPr>
                <w:sz w:val="12"/>
                <w:szCs w:val="12"/>
                <w:lang w:eastAsia="en-AU"/>
              </w:rPr>
            </w:pPr>
          </w:p>
        </w:tc>
        <w:tc>
          <w:tcPr>
            <w:tcW w:w="2271" w:type="dxa"/>
            <w:tcBorders>
              <w:bottom w:val="single" w:sz="2" w:space="0" w:color="C0C0C0"/>
            </w:tcBorders>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Mt Isa Mines Station</w:t>
            </w:r>
          </w:p>
        </w:tc>
        <w:tc>
          <w:tcPr>
            <w:tcW w:w="1559" w:type="dxa"/>
            <w:tcBorders>
              <w:bottom w:val="single" w:sz="2" w:space="0" w:color="C0C0C0"/>
            </w:tcBorders>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Steam turbine</w:t>
            </w:r>
          </w:p>
        </w:tc>
        <w:tc>
          <w:tcPr>
            <w:tcW w:w="1559" w:type="dxa"/>
            <w:tcBorders>
              <w:bottom w:val="single" w:sz="2" w:space="0" w:color="C0C0C0"/>
            </w:tcBorders>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tcBorders>
              <w:bottom w:val="single" w:sz="2" w:space="0" w:color="C0C0C0"/>
            </w:tcBorders>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1974</w:t>
            </w:r>
          </w:p>
        </w:tc>
        <w:tc>
          <w:tcPr>
            <w:tcW w:w="951" w:type="dxa"/>
            <w:tcBorders>
              <w:bottom w:val="single" w:sz="2" w:space="0" w:color="C0C0C0"/>
            </w:tcBorders>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50</w:t>
            </w:r>
          </w:p>
        </w:tc>
        <w:tc>
          <w:tcPr>
            <w:tcW w:w="951" w:type="dxa"/>
            <w:tcBorders>
              <w:bottom w:val="single" w:sz="2" w:space="0" w:color="C0C0C0"/>
            </w:tcBorders>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2024</w:t>
            </w:r>
          </w:p>
        </w:tc>
        <w:tc>
          <w:tcPr>
            <w:tcW w:w="952" w:type="dxa"/>
            <w:tcBorders>
              <w:bottom w:val="single" w:sz="2" w:space="0" w:color="C0C0C0"/>
            </w:tcBorders>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38</w:t>
            </w:r>
          </w:p>
        </w:tc>
      </w:tr>
      <w:tr w:rsidR="00760A9C" w:rsidRPr="003739E4" w:rsidTr="00760A9C">
        <w:trPr>
          <w:cantSplit/>
          <w:trHeight w:val="225"/>
        </w:trPr>
        <w:tc>
          <w:tcPr>
            <w:tcW w:w="706" w:type="dxa"/>
            <w:vMerge/>
            <w:tcBorders>
              <w:bottom w:val="single" w:sz="2" w:space="0" w:color="999999"/>
            </w:tcBorders>
            <w:shd w:val="clear" w:color="auto" w:fill="auto"/>
            <w:noWrap/>
            <w:vAlign w:val="center"/>
            <w:hideMark/>
          </w:tcPr>
          <w:p w:rsidR="00760A9C" w:rsidRPr="003739E4" w:rsidRDefault="00760A9C" w:rsidP="003739E4">
            <w:pPr>
              <w:pStyle w:val="Tabletext"/>
              <w:rPr>
                <w:sz w:val="12"/>
                <w:szCs w:val="12"/>
                <w:lang w:eastAsia="en-AU"/>
              </w:rPr>
            </w:pPr>
          </w:p>
        </w:tc>
        <w:tc>
          <w:tcPr>
            <w:tcW w:w="2271" w:type="dxa"/>
            <w:tcBorders>
              <w:top w:val="single" w:sz="2" w:space="0" w:color="C0C0C0"/>
              <w:bottom w:val="single" w:sz="2" w:space="0" w:color="999999"/>
            </w:tcBorders>
            <w:shd w:val="clear" w:color="auto" w:fill="auto"/>
            <w:noWrap/>
            <w:vAlign w:val="center"/>
            <w:hideMark/>
          </w:tcPr>
          <w:p w:rsidR="00760A9C" w:rsidRPr="003739E4" w:rsidRDefault="00760A9C" w:rsidP="003739E4">
            <w:pPr>
              <w:pStyle w:val="Tabletext"/>
              <w:rPr>
                <w:sz w:val="12"/>
                <w:szCs w:val="12"/>
                <w:lang w:eastAsia="en-AU"/>
              </w:rPr>
            </w:pPr>
            <w:r w:rsidRPr="003739E4">
              <w:rPr>
                <w:sz w:val="12"/>
                <w:szCs w:val="12"/>
                <w:lang w:eastAsia="en-AU"/>
              </w:rPr>
              <w:t>Phosphate Hill</w:t>
            </w:r>
          </w:p>
        </w:tc>
        <w:tc>
          <w:tcPr>
            <w:tcW w:w="1559" w:type="dxa"/>
            <w:tcBorders>
              <w:top w:val="single" w:sz="2" w:space="0" w:color="C0C0C0"/>
              <w:bottom w:val="single" w:sz="2" w:space="0" w:color="999999"/>
            </w:tcBorders>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OCGT</w:t>
            </w:r>
          </w:p>
        </w:tc>
        <w:tc>
          <w:tcPr>
            <w:tcW w:w="1559" w:type="dxa"/>
            <w:tcBorders>
              <w:top w:val="single" w:sz="2" w:space="0" w:color="C0C0C0"/>
              <w:bottom w:val="single" w:sz="2" w:space="0" w:color="999999"/>
            </w:tcBorders>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Natural gas</w:t>
            </w:r>
          </w:p>
        </w:tc>
        <w:tc>
          <w:tcPr>
            <w:tcW w:w="1257" w:type="dxa"/>
            <w:tcBorders>
              <w:top w:val="single" w:sz="2" w:space="0" w:color="C0C0C0"/>
              <w:bottom w:val="single" w:sz="2" w:space="0" w:color="999999"/>
            </w:tcBorders>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1999</w:t>
            </w:r>
          </w:p>
        </w:tc>
        <w:tc>
          <w:tcPr>
            <w:tcW w:w="951" w:type="dxa"/>
            <w:tcBorders>
              <w:top w:val="single" w:sz="2" w:space="0" w:color="C0C0C0"/>
              <w:bottom w:val="single" w:sz="2" w:space="0" w:color="999999"/>
            </w:tcBorders>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30</w:t>
            </w:r>
          </w:p>
        </w:tc>
        <w:tc>
          <w:tcPr>
            <w:tcW w:w="951" w:type="dxa"/>
            <w:tcBorders>
              <w:top w:val="single" w:sz="2" w:space="0" w:color="C0C0C0"/>
              <w:bottom w:val="single" w:sz="2" w:space="0" w:color="999999"/>
            </w:tcBorders>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2029</w:t>
            </w:r>
          </w:p>
        </w:tc>
        <w:tc>
          <w:tcPr>
            <w:tcW w:w="952" w:type="dxa"/>
            <w:tcBorders>
              <w:top w:val="single" w:sz="2" w:space="0" w:color="C0C0C0"/>
              <w:bottom w:val="single" w:sz="2" w:space="0" w:color="999999"/>
            </w:tcBorders>
            <w:shd w:val="clear" w:color="auto" w:fill="auto"/>
            <w:noWrap/>
            <w:vAlign w:val="center"/>
            <w:hideMark/>
          </w:tcPr>
          <w:p w:rsidR="00760A9C" w:rsidRPr="003739E4" w:rsidRDefault="00760A9C" w:rsidP="003739E4">
            <w:pPr>
              <w:pStyle w:val="Tabletext"/>
              <w:jc w:val="center"/>
              <w:rPr>
                <w:sz w:val="12"/>
                <w:szCs w:val="12"/>
                <w:lang w:eastAsia="en-AU"/>
              </w:rPr>
            </w:pPr>
            <w:r w:rsidRPr="003739E4">
              <w:rPr>
                <w:sz w:val="12"/>
                <w:szCs w:val="12"/>
                <w:lang w:eastAsia="en-AU"/>
              </w:rPr>
              <w:t>42</w:t>
            </w:r>
          </w:p>
        </w:tc>
      </w:tr>
    </w:tbl>
    <w:p w:rsidR="00CE5AC0" w:rsidRDefault="003739E4" w:rsidP="00760A9C">
      <w:pPr>
        <w:pStyle w:val="Note"/>
        <w:ind w:left="-2835"/>
      </w:pPr>
      <w:r w:rsidRPr="003739E4">
        <w:rPr>
          <w:rStyle w:val="Notelabel"/>
        </w:rPr>
        <w:t>a</w:t>
      </w:r>
      <w:r w:rsidRPr="003739E4">
        <w:t xml:space="preserve"> </w:t>
      </w:r>
      <w:r w:rsidR="00760A9C" w:rsidRPr="00760A9C">
        <w:t>These generators are mothballed as of April 2013 but have been operational during the model period (starting 1 July 2009).</w:t>
      </w:r>
    </w:p>
    <w:p w:rsidR="003739E4" w:rsidRPr="003739E4" w:rsidRDefault="003739E4" w:rsidP="00760A9C">
      <w:pPr>
        <w:pStyle w:val="Source"/>
        <w:ind w:left="-2835"/>
      </w:pPr>
      <w:r>
        <w:t xml:space="preserve">Source: </w:t>
      </w:r>
      <w:r w:rsidR="00760A9C">
        <w:t>ACIL Allen</w:t>
      </w:r>
    </w:p>
    <w:p w:rsidR="00760A9C" w:rsidRDefault="00450552" w:rsidP="00760A9C">
      <w:pPr>
        <w:pStyle w:val="BodyText"/>
      </w:pPr>
      <w:r>
        <w:fldChar w:fldCharType="begin"/>
      </w:r>
      <w:r>
        <w:instrText xml:space="preserve"> REF _Ref365543201 \h </w:instrText>
      </w:r>
      <w:r>
        <w:fldChar w:fldCharType="separate"/>
      </w:r>
      <w:r w:rsidR="00660A8E">
        <w:t xml:space="preserve">Table </w:t>
      </w:r>
      <w:r w:rsidR="00660A8E">
        <w:rPr>
          <w:noProof/>
        </w:rPr>
        <w:t>2</w:t>
      </w:r>
      <w:r>
        <w:fldChar w:fldCharType="end"/>
      </w:r>
      <w:r w:rsidR="00760A9C">
        <w:t xml:space="preserve"> provides the assumed thermal efficiencies, auxiliary use, emissions factors, O&amp;M costs, outage rates and marginal loss factor (MLF) values for each existing and committed generator. These values are taken from ACIL </w:t>
      </w:r>
      <w:r w:rsidR="004F6D61">
        <w:t>Allen</w:t>
      </w:r>
      <w:r w:rsidR="00760A9C">
        <w:t>’s generator database.</w:t>
      </w:r>
    </w:p>
    <w:p w:rsidR="00760A9C" w:rsidRDefault="00760A9C" w:rsidP="00FE41B8">
      <w:pPr>
        <w:pStyle w:val="Caption"/>
        <w:ind w:left="-1843"/>
      </w:pPr>
      <w:bookmarkStart w:id="65" w:name="_Ref365543201"/>
      <w:bookmarkStart w:id="66" w:name="_Toc370394744"/>
      <w:r>
        <w:t xml:space="preserve">Table </w:t>
      </w:r>
      <w:fldSimple w:instr=" SEQ Table \* MERGEFORMAT ">
        <w:r w:rsidR="00660A8E">
          <w:rPr>
            <w:noProof/>
          </w:rPr>
          <w:t>2</w:t>
        </w:r>
      </w:fldSimple>
      <w:bookmarkEnd w:id="65"/>
      <w:r w:rsidRPr="00760A9C">
        <w:rPr>
          <w:b/>
          <w:color w:val="000000"/>
        </w:rPr>
        <w:tab/>
      </w:r>
      <w:r w:rsidR="00FE41B8" w:rsidRPr="00FE41B8">
        <w:rPr>
          <w:b/>
          <w:color w:val="000000"/>
        </w:rPr>
        <w:t>Existing and committed generators: efficiency, emissions and O&amp;M costs</w:t>
      </w:r>
      <w:bookmarkEnd w:id="66"/>
    </w:p>
    <w:tbl>
      <w:tblPr>
        <w:tblW w:w="10231" w:type="dxa"/>
        <w:tblInd w:w="-2693" w:type="dxa"/>
        <w:tblBorders>
          <w:bottom w:val="single" w:sz="2" w:space="0" w:color="C0C0C0"/>
          <w:insideH w:val="single" w:sz="2" w:space="0" w:color="C0C0C0"/>
        </w:tblBorders>
        <w:tblCellMar>
          <w:left w:w="142" w:type="dxa"/>
          <w:right w:w="56" w:type="dxa"/>
        </w:tblCellMar>
        <w:tblLook w:val="04A0" w:firstRow="1" w:lastRow="0" w:firstColumn="1" w:lastColumn="0" w:noHBand="0" w:noVBand="1"/>
      </w:tblPr>
      <w:tblGrid>
        <w:gridCol w:w="840"/>
        <w:gridCol w:w="2007"/>
        <w:gridCol w:w="865"/>
        <w:gridCol w:w="928"/>
        <w:gridCol w:w="840"/>
        <w:gridCol w:w="840"/>
        <w:gridCol w:w="910"/>
        <w:gridCol w:w="840"/>
        <w:gridCol w:w="612"/>
        <w:gridCol w:w="709"/>
        <w:gridCol w:w="840"/>
      </w:tblGrid>
      <w:tr w:rsidR="00FE41B8" w:rsidRPr="00FE41B8" w:rsidTr="00653055">
        <w:trPr>
          <w:cantSplit/>
          <w:trHeight w:val="765"/>
          <w:tblHeader/>
        </w:trPr>
        <w:tc>
          <w:tcPr>
            <w:tcW w:w="840" w:type="dxa"/>
            <w:vMerge w:val="restart"/>
            <w:tcBorders>
              <w:top w:val="nil"/>
            </w:tcBorders>
            <w:shd w:val="solid" w:color="9757A6" w:fill="9757A6"/>
            <w:vAlign w:val="center"/>
            <w:hideMark/>
          </w:tcPr>
          <w:p w:rsidR="00FE41B8" w:rsidRPr="00FE41B8" w:rsidRDefault="00FE41B8" w:rsidP="00FE41B8">
            <w:pPr>
              <w:pStyle w:val="Tablecolumnheadings"/>
              <w:keepNext w:val="0"/>
              <w:rPr>
                <w:sz w:val="12"/>
                <w:szCs w:val="12"/>
                <w:lang w:eastAsia="en-AU"/>
              </w:rPr>
            </w:pPr>
            <w:r w:rsidRPr="00FE41B8">
              <w:rPr>
                <w:sz w:val="12"/>
                <w:szCs w:val="12"/>
                <w:lang w:eastAsia="en-AU"/>
              </w:rPr>
              <w:t>Region</w:t>
            </w:r>
          </w:p>
        </w:tc>
        <w:tc>
          <w:tcPr>
            <w:tcW w:w="2007" w:type="dxa"/>
            <w:vMerge w:val="restart"/>
            <w:tcBorders>
              <w:top w:val="nil"/>
            </w:tcBorders>
            <w:shd w:val="solid" w:color="9757A6" w:fill="9757A6"/>
            <w:vAlign w:val="center"/>
            <w:hideMark/>
          </w:tcPr>
          <w:p w:rsidR="00FE41B8" w:rsidRPr="00FE41B8" w:rsidRDefault="00FE41B8" w:rsidP="00FE41B8">
            <w:pPr>
              <w:pStyle w:val="Tablecolumnheadings"/>
              <w:keepNext w:val="0"/>
              <w:rPr>
                <w:sz w:val="12"/>
                <w:szCs w:val="12"/>
                <w:lang w:eastAsia="en-AU"/>
              </w:rPr>
            </w:pPr>
            <w:r w:rsidRPr="00FE41B8">
              <w:rPr>
                <w:sz w:val="12"/>
                <w:szCs w:val="12"/>
                <w:lang w:eastAsia="en-AU"/>
              </w:rPr>
              <w:t>Generator</w:t>
            </w:r>
          </w:p>
        </w:tc>
        <w:tc>
          <w:tcPr>
            <w:tcW w:w="865" w:type="dxa"/>
            <w:tcBorders>
              <w:top w:val="nil"/>
              <w:bottom w:val="single" w:sz="2" w:space="0" w:color="C0C0C0"/>
            </w:tcBorders>
            <w:shd w:val="solid" w:color="9757A6" w:fill="9757A6"/>
            <w:vAlign w:val="center"/>
            <w:hideMark/>
          </w:tcPr>
          <w:p w:rsidR="00FE41B8" w:rsidRPr="00FE41B8" w:rsidRDefault="00FE41B8" w:rsidP="00FE41B8">
            <w:pPr>
              <w:pStyle w:val="Tablecolumnheadings"/>
              <w:keepNext w:val="0"/>
              <w:jc w:val="center"/>
              <w:rPr>
                <w:sz w:val="12"/>
                <w:szCs w:val="12"/>
                <w:lang w:eastAsia="en-AU"/>
              </w:rPr>
            </w:pPr>
            <w:r w:rsidRPr="00FE41B8">
              <w:rPr>
                <w:sz w:val="12"/>
                <w:szCs w:val="12"/>
                <w:lang w:eastAsia="en-AU"/>
              </w:rPr>
              <w:t>Thermal efficiency</w:t>
            </w:r>
          </w:p>
        </w:tc>
        <w:tc>
          <w:tcPr>
            <w:tcW w:w="928" w:type="dxa"/>
            <w:tcBorders>
              <w:top w:val="nil"/>
              <w:bottom w:val="single" w:sz="2" w:space="0" w:color="C0C0C0"/>
            </w:tcBorders>
            <w:shd w:val="solid" w:color="9757A6" w:fill="9757A6"/>
            <w:vAlign w:val="center"/>
            <w:hideMark/>
          </w:tcPr>
          <w:p w:rsidR="00FE41B8" w:rsidRPr="00FE41B8" w:rsidRDefault="00FE41B8" w:rsidP="00FE41B8">
            <w:pPr>
              <w:pStyle w:val="Tablecolumnheadings"/>
              <w:keepNext w:val="0"/>
              <w:jc w:val="center"/>
              <w:rPr>
                <w:sz w:val="12"/>
                <w:szCs w:val="12"/>
                <w:lang w:eastAsia="en-AU"/>
              </w:rPr>
            </w:pPr>
            <w:r w:rsidRPr="00FE41B8">
              <w:rPr>
                <w:sz w:val="12"/>
                <w:szCs w:val="12"/>
                <w:lang w:eastAsia="en-AU"/>
              </w:rPr>
              <w:t>Auxiliaries</w:t>
            </w:r>
          </w:p>
        </w:tc>
        <w:tc>
          <w:tcPr>
            <w:tcW w:w="840" w:type="dxa"/>
            <w:tcBorders>
              <w:top w:val="nil"/>
              <w:bottom w:val="single" w:sz="2" w:space="0" w:color="C0C0C0"/>
            </w:tcBorders>
            <w:shd w:val="solid" w:color="9757A6" w:fill="9757A6"/>
            <w:vAlign w:val="center"/>
            <w:hideMark/>
          </w:tcPr>
          <w:p w:rsidR="00FE41B8" w:rsidRPr="00FE41B8" w:rsidRDefault="00FE41B8" w:rsidP="00FE41B8">
            <w:pPr>
              <w:pStyle w:val="Tablecolumnheadings"/>
              <w:keepNext w:val="0"/>
              <w:jc w:val="center"/>
              <w:rPr>
                <w:sz w:val="12"/>
                <w:szCs w:val="12"/>
                <w:lang w:eastAsia="en-AU"/>
              </w:rPr>
            </w:pPr>
            <w:r w:rsidRPr="00FE41B8">
              <w:rPr>
                <w:sz w:val="12"/>
                <w:szCs w:val="12"/>
                <w:lang w:eastAsia="en-AU"/>
              </w:rPr>
              <w:t>Scope 1 emission factor</w:t>
            </w:r>
          </w:p>
        </w:tc>
        <w:tc>
          <w:tcPr>
            <w:tcW w:w="840" w:type="dxa"/>
            <w:tcBorders>
              <w:top w:val="nil"/>
              <w:bottom w:val="single" w:sz="2" w:space="0" w:color="C0C0C0"/>
            </w:tcBorders>
            <w:shd w:val="solid" w:color="9757A6" w:fill="9757A6"/>
            <w:vAlign w:val="center"/>
            <w:hideMark/>
          </w:tcPr>
          <w:p w:rsidR="00FE41B8" w:rsidRPr="00FE41B8" w:rsidRDefault="00FE41B8" w:rsidP="00FE41B8">
            <w:pPr>
              <w:pStyle w:val="Tablecolumnheadings"/>
              <w:keepNext w:val="0"/>
              <w:jc w:val="center"/>
              <w:rPr>
                <w:sz w:val="12"/>
                <w:szCs w:val="12"/>
                <w:lang w:eastAsia="en-AU"/>
              </w:rPr>
            </w:pPr>
            <w:r w:rsidRPr="00FE41B8">
              <w:rPr>
                <w:sz w:val="12"/>
                <w:szCs w:val="12"/>
                <w:lang w:eastAsia="en-AU"/>
              </w:rPr>
              <w:t>Scope 1 emission intensity</w:t>
            </w:r>
          </w:p>
        </w:tc>
        <w:tc>
          <w:tcPr>
            <w:tcW w:w="910" w:type="dxa"/>
            <w:tcBorders>
              <w:top w:val="nil"/>
              <w:bottom w:val="single" w:sz="2" w:space="0" w:color="C0C0C0"/>
            </w:tcBorders>
            <w:shd w:val="solid" w:color="9757A6" w:fill="9757A6"/>
            <w:vAlign w:val="center"/>
            <w:hideMark/>
          </w:tcPr>
          <w:p w:rsidR="00FE41B8" w:rsidRPr="00FE41B8" w:rsidRDefault="00FE41B8" w:rsidP="00FE41B8">
            <w:pPr>
              <w:pStyle w:val="Tablecolumnheadings"/>
              <w:keepNext w:val="0"/>
              <w:jc w:val="center"/>
              <w:rPr>
                <w:sz w:val="12"/>
                <w:szCs w:val="12"/>
                <w:lang w:eastAsia="en-AU"/>
              </w:rPr>
            </w:pPr>
            <w:r w:rsidRPr="00FE41B8">
              <w:rPr>
                <w:sz w:val="12"/>
                <w:szCs w:val="12"/>
                <w:lang w:eastAsia="en-AU"/>
              </w:rPr>
              <w:t>Fixed O&amp;M</w:t>
            </w:r>
          </w:p>
        </w:tc>
        <w:tc>
          <w:tcPr>
            <w:tcW w:w="840" w:type="dxa"/>
            <w:tcBorders>
              <w:top w:val="nil"/>
              <w:bottom w:val="single" w:sz="2" w:space="0" w:color="C0C0C0"/>
            </w:tcBorders>
            <w:shd w:val="solid" w:color="9757A6" w:fill="9757A6"/>
            <w:vAlign w:val="center"/>
            <w:hideMark/>
          </w:tcPr>
          <w:p w:rsidR="00FE41B8" w:rsidRPr="00FE41B8" w:rsidRDefault="0095744E" w:rsidP="00FE41B8">
            <w:pPr>
              <w:pStyle w:val="Tablecolumnheadings"/>
              <w:keepNext w:val="0"/>
              <w:jc w:val="center"/>
              <w:rPr>
                <w:sz w:val="12"/>
                <w:szCs w:val="12"/>
                <w:lang w:eastAsia="en-AU"/>
              </w:rPr>
            </w:pPr>
            <w:r>
              <w:rPr>
                <w:sz w:val="12"/>
                <w:szCs w:val="12"/>
                <w:lang w:eastAsia="en-AU"/>
              </w:rPr>
              <w:t>Vari</w:t>
            </w:r>
            <w:r w:rsidR="00FE41B8" w:rsidRPr="00FE41B8">
              <w:rPr>
                <w:sz w:val="12"/>
                <w:szCs w:val="12"/>
                <w:lang w:eastAsia="en-AU"/>
              </w:rPr>
              <w:t>able O&amp;M</w:t>
            </w:r>
          </w:p>
        </w:tc>
        <w:tc>
          <w:tcPr>
            <w:tcW w:w="612" w:type="dxa"/>
            <w:tcBorders>
              <w:top w:val="nil"/>
              <w:bottom w:val="single" w:sz="2" w:space="0" w:color="C0C0C0"/>
            </w:tcBorders>
            <w:shd w:val="solid" w:color="9757A6" w:fill="9757A6"/>
            <w:vAlign w:val="center"/>
            <w:hideMark/>
          </w:tcPr>
          <w:p w:rsidR="00FE41B8" w:rsidRPr="00FE41B8" w:rsidRDefault="00FE41B8" w:rsidP="00FE41B8">
            <w:pPr>
              <w:pStyle w:val="Tablecolumnheadings"/>
              <w:keepNext w:val="0"/>
              <w:jc w:val="center"/>
              <w:rPr>
                <w:sz w:val="12"/>
                <w:szCs w:val="12"/>
                <w:lang w:eastAsia="en-AU"/>
              </w:rPr>
            </w:pPr>
            <w:r w:rsidRPr="00FE41B8">
              <w:rPr>
                <w:sz w:val="12"/>
                <w:szCs w:val="12"/>
                <w:lang w:eastAsia="en-AU"/>
              </w:rPr>
              <w:t>Forced outage rate</w:t>
            </w:r>
          </w:p>
        </w:tc>
        <w:tc>
          <w:tcPr>
            <w:tcW w:w="709" w:type="dxa"/>
            <w:tcBorders>
              <w:top w:val="nil"/>
              <w:bottom w:val="single" w:sz="2" w:space="0" w:color="C0C0C0"/>
            </w:tcBorders>
            <w:shd w:val="solid" w:color="9757A6" w:fill="9757A6"/>
            <w:vAlign w:val="center"/>
            <w:hideMark/>
          </w:tcPr>
          <w:p w:rsidR="00FE41B8" w:rsidRPr="00FE41B8" w:rsidRDefault="00FE41B8" w:rsidP="00FE41B8">
            <w:pPr>
              <w:pStyle w:val="Tablecolumnheadings"/>
              <w:keepNext w:val="0"/>
              <w:jc w:val="center"/>
              <w:rPr>
                <w:sz w:val="12"/>
                <w:szCs w:val="12"/>
                <w:lang w:eastAsia="en-AU"/>
              </w:rPr>
            </w:pPr>
            <w:r w:rsidRPr="00FE41B8">
              <w:rPr>
                <w:sz w:val="12"/>
                <w:szCs w:val="12"/>
                <w:lang w:eastAsia="en-AU"/>
              </w:rPr>
              <w:t>Planned outage rate</w:t>
            </w:r>
          </w:p>
        </w:tc>
        <w:tc>
          <w:tcPr>
            <w:tcW w:w="840" w:type="dxa"/>
            <w:tcBorders>
              <w:top w:val="nil"/>
              <w:bottom w:val="single" w:sz="2" w:space="0" w:color="C0C0C0"/>
            </w:tcBorders>
            <w:shd w:val="solid" w:color="9757A6" w:fill="9757A6"/>
            <w:vAlign w:val="center"/>
            <w:hideMark/>
          </w:tcPr>
          <w:p w:rsidR="00FE41B8" w:rsidRPr="00FE41B8" w:rsidRDefault="00FE41B8" w:rsidP="00FE41B8">
            <w:pPr>
              <w:pStyle w:val="Tablecolumnheadings"/>
              <w:keepNext w:val="0"/>
              <w:jc w:val="center"/>
              <w:rPr>
                <w:sz w:val="12"/>
                <w:szCs w:val="12"/>
                <w:lang w:eastAsia="en-AU"/>
              </w:rPr>
            </w:pPr>
            <w:r w:rsidRPr="00FE41B8">
              <w:rPr>
                <w:sz w:val="12"/>
                <w:szCs w:val="12"/>
                <w:lang w:eastAsia="en-AU"/>
              </w:rPr>
              <w:t>Marginal Loss Factor</w:t>
            </w:r>
          </w:p>
        </w:tc>
      </w:tr>
      <w:tr w:rsidR="00FE41B8" w:rsidRPr="00FE41B8" w:rsidTr="00653055">
        <w:trPr>
          <w:cantSplit/>
          <w:trHeight w:val="915"/>
          <w:tblHeader/>
        </w:trPr>
        <w:tc>
          <w:tcPr>
            <w:tcW w:w="840" w:type="dxa"/>
            <w:vMerge/>
            <w:shd w:val="solid" w:color="E6E6E6" w:fill="E6E6E6"/>
            <w:vAlign w:val="center"/>
            <w:hideMark/>
          </w:tcPr>
          <w:p w:rsidR="00FE41B8" w:rsidRPr="00FE41B8" w:rsidRDefault="00FE41B8" w:rsidP="00FE41B8">
            <w:pPr>
              <w:pStyle w:val="Tableunitsrow"/>
              <w:keepNext w:val="0"/>
              <w:rPr>
                <w:sz w:val="12"/>
                <w:szCs w:val="12"/>
                <w:lang w:eastAsia="en-AU"/>
              </w:rPr>
            </w:pPr>
          </w:p>
        </w:tc>
        <w:tc>
          <w:tcPr>
            <w:tcW w:w="2007" w:type="dxa"/>
            <w:vMerge/>
            <w:shd w:val="solid" w:color="E6E6E6" w:fill="E6E6E6"/>
            <w:vAlign w:val="center"/>
            <w:hideMark/>
          </w:tcPr>
          <w:p w:rsidR="00FE41B8" w:rsidRPr="00FE41B8" w:rsidRDefault="00FE41B8" w:rsidP="00FE41B8">
            <w:pPr>
              <w:pStyle w:val="Tableunitsrow"/>
              <w:keepNext w:val="0"/>
              <w:rPr>
                <w:sz w:val="12"/>
                <w:szCs w:val="12"/>
                <w:lang w:eastAsia="en-AU"/>
              </w:rPr>
            </w:pPr>
          </w:p>
        </w:tc>
        <w:tc>
          <w:tcPr>
            <w:tcW w:w="865" w:type="dxa"/>
            <w:tcBorders>
              <w:top w:val="single" w:sz="2" w:space="0" w:color="C0C0C0"/>
            </w:tcBorders>
            <w:shd w:val="solid" w:color="E6E6E6" w:fill="E6E6E6"/>
            <w:vAlign w:val="center"/>
            <w:hideMark/>
          </w:tcPr>
          <w:p w:rsidR="00FE41B8" w:rsidRPr="00FE41B8" w:rsidRDefault="00FE41B8" w:rsidP="00FE41B8">
            <w:pPr>
              <w:pStyle w:val="Tableunitsrow"/>
              <w:keepNext w:val="0"/>
              <w:jc w:val="center"/>
              <w:rPr>
                <w:sz w:val="12"/>
                <w:szCs w:val="12"/>
                <w:lang w:eastAsia="en-AU"/>
              </w:rPr>
            </w:pPr>
            <w:r>
              <w:rPr>
                <w:sz w:val="12"/>
                <w:szCs w:val="12"/>
                <w:lang w:eastAsia="en-AU"/>
              </w:rPr>
              <w:t>HHV</w:t>
            </w:r>
            <w:r w:rsidRPr="00FE41B8">
              <w:rPr>
                <w:sz w:val="12"/>
                <w:szCs w:val="12"/>
                <w:lang w:eastAsia="en-AU"/>
              </w:rPr>
              <w:t xml:space="preserve"> (%) sent-out</w:t>
            </w:r>
          </w:p>
        </w:tc>
        <w:tc>
          <w:tcPr>
            <w:tcW w:w="928" w:type="dxa"/>
            <w:tcBorders>
              <w:top w:val="single" w:sz="2" w:space="0" w:color="C0C0C0"/>
            </w:tcBorders>
            <w:shd w:val="solid" w:color="E6E6E6" w:fill="E6E6E6"/>
            <w:vAlign w:val="center"/>
            <w:hideMark/>
          </w:tcPr>
          <w:p w:rsidR="00FE41B8" w:rsidRPr="00FE41B8" w:rsidRDefault="00FE41B8" w:rsidP="00FE41B8">
            <w:pPr>
              <w:pStyle w:val="Tableunitsrow"/>
              <w:keepNext w:val="0"/>
              <w:jc w:val="center"/>
              <w:rPr>
                <w:sz w:val="12"/>
                <w:szCs w:val="12"/>
                <w:lang w:eastAsia="en-AU"/>
              </w:rPr>
            </w:pPr>
            <w:r w:rsidRPr="00FE41B8">
              <w:rPr>
                <w:sz w:val="12"/>
                <w:szCs w:val="12"/>
                <w:lang w:eastAsia="en-AU"/>
              </w:rPr>
              <w:t>%</w:t>
            </w:r>
          </w:p>
        </w:tc>
        <w:tc>
          <w:tcPr>
            <w:tcW w:w="840" w:type="dxa"/>
            <w:tcBorders>
              <w:top w:val="single" w:sz="2" w:space="0" w:color="C0C0C0"/>
            </w:tcBorders>
            <w:shd w:val="solid" w:color="E6E6E6" w:fill="E6E6E6"/>
            <w:vAlign w:val="center"/>
            <w:hideMark/>
          </w:tcPr>
          <w:p w:rsidR="00FE41B8" w:rsidRPr="00FE41B8" w:rsidRDefault="00FE41B8" w:rsidP="00FE41B8">
            <w:pPr>
              <w:pStyle w:val="Tableunitsrow"/>
              <w:keepNext w:val="0"/>
              <w:jc w:val="center"/>
              <w:rPr>
                <w:sz w:val="12"/>
                <w:szCs w:val="12"/>
                <w:lang w:eastAsia="en-AU"/>
              </w:rPr>
            </w:pPr>
            <w:r w:rsidRPr="00FE41B8">
              <w:rPr>
                <w:sz w:val="12"/>
                <w:szCs w:val="12"/>
                <w:lang w:eastAsia="en-AU"/>
              </w:rPr>
              <w:t>(kg CO</w:t>
            </w:r>
            <w:r w:rsidRPr="0095744E">
              <w:rPr>
                <w:sz w:val="12"/>
                <w:szCs w:val="12"/>
                <w:vertAlign w:val="subscript"/>
                <w:lang w:eastAsia="en-AU"/>
              </w:rPr>
              <w:t>2</w:t>
            </w:r>
            <w:r w:rsidRPr="00FE41B8">
              <w:rPr>
                <w:sz w:val="12"/>
                <w:szCs w:val="12"/>
                <w:lang w:eastAsia="en-AU"/>
              </w:rPr>
              <w:t>-e/GJ of fuel)</w:t>
            </w:r>
          </w:p>
        </w:tc>
        <w:tc>
          <w:tcPr>
            <w:tcW w:w="840" w:type="dxa"/>
            <w:tcBorders>
              <w:top w:val="single" w:sz="2" w:space="0" w:color="C0C0C0"/>
            </w:tcBorders>
            <w:shd w:val="solid" w:color="E6E6E6" w:fill="E6E6E6"/>
            <w:vAlign w:val="center"/>
            <w:hideMark/>
          </w:tcPr>
          <w:p w:rsidR="00FE41B8" w:rsidRPr="00FE41B8" w:rsidRDefault="00FE41B8" w:rsidP="00FE41B8">
            <w:pPr>
              <w:pStyle w:val="Tableunitsrow"/>
              <w:keepNext w:val="0"/>
              <w:jc w:val="center"/>
              <w:rPr>
                <w:sz w:val="12"/>
                <w:szCs w:val="12"/>
                <w:lang w:eastAsia="en-AU"/>
              </w:rPr>
            </w:pPr>
            <w:r w:rsidRPr="00FE41B8">
              <w:rPr>
                <w:sz w:val="12"/>
                <w:szCs w:val="12"/>
                <w:lang w:eastAsia="en-AU"/>
              </w:rPr>
              <w:t>(tonnes CO</w:t>
            </w:r>
            <w:r w:rsidRPr="0095744E">
              <w:rPr>
                <w:sz w:val="12"/>
                <w:szCs w:val="12"/>
                <w:vertAlign w:val="subscript"/>
                <w:lang w:eastAsia="en-AU"/>
              </w:rPr>
              <w:t>2</w:t>
            </w:r>
            <w:r w:rsidRPr="00FE41B8">
              <w:rPr>
                <w:sz w:val="12"/>
                <w:szCs w:val="12"/>
                <w:lang w:eastAsia="en-AU"/>
              </w:rPr>
              <w:t>-e/MWh sent-out)</w:t>
            </w:r>
          </w:p>
        </w:tc>
        <w:tc>
          <w:tcPr>
            <w:tcW w:w="910" w:type="dxa"/>
            <w:tcBorders>
              <w:top w:val="single" w:sz="2" w:space="0" w:color="C0C0C0"/>
            </w:tcBorders>
            <w:shd w:val="solid" w:color="E6E6E6" w:fill="E6E6E6"/>
            <w:vAlign w:val="center"/>
            <w:hideMark/>
          </w:tcPr>
          <w:p w:rsidR="00FE41B8" w:rsidRPr="00FE41B8" w:rsidRDefault="00FE41B8" w:rsidP="00FE41B8">
            <w:pPr>
              <w:pStyle w:val="Tableunitsrow"/>
              <w:keepNext w:val="0"/>
              <w:jc w:val="center"/>
              <w:rPr>
                <w:sz w:val="12"/>
                <w:szCs w:val="12"/>
                <w:lang w:eastAsia="en-AU"/>
              </w:rPr>
            </w:pPr>
            <w:r w:rsidRPr="00FE41B8">
              <w:rPr>
                <w:sz w:val="12"/>
                <w:szCs w:val="12"/>
                <w:lang w:eastAsia="en-AU"/>
              </w:rPr>
              <w:t>($/MW gross/year)</w:t>
            </w:r>
          </w:p>
        </w:tc>
        <w:tc>
          <w:tcPr>
            <w:tcW w:w="840" w:type="dxa"/>
            <w:tcBorders>
              <w:top w:val="single" w:sz="2" w:space="0" w:color="C0C0C0"/>
            </w:tcBorders>
            <w:shd w:val="solid" w:color="E6E6E6" w:fill="E6E6E6"/>
            <w:vAlign w:val="center"/>
            <w:hideMark/>
          </w:tcPr>
          <w:p w:rsidR="00FE41B8" w:rsidRPr="00FE41B8" w:rsidRDefault="00FE41B8" w:rsidP="00FE41B8">
            <w:pPr>
              <w:pStyle w:val="Tableunitsrow"/>
              <w:keepNext w:val="0"/>
              <w:jc w:val="center"/>
              <w:rPr>
                <w:sz w:val="12"/>
                <w:szCs w:val="12"/>
                <w:lang w:eastAsia="en-AU"/>
              </w:rPr>
            </w:pPr>
            <w:r w:rsidRPr="00FE41B8">
              <w:rPr>
                <w:sz w:val="12"/>
                <w:szCs w:val="12"/>
                <w:lang w:eastAsia="en-AU"/>
              </w:rPr>
              <w:t>$/MWh sent-out</w:t>
            </w:r>
          </w:p>
        </w:tc>
        <w:tc>
          <w:tcPr>
            <w:tcW w:w="612" w:type="dxa"/>
            <w:tcBorders>
              <w:top w:val="single" w:sz="2" w:space="0" w:color="C0C0C0"/>
            </w:tcBorders>
            <w:shd w:val="solid" w:color="E6E6E6" w:fill="E6E6E6"/>
            <w:vAlign w:val="center"/>
            <w:hideMark/>
          </w:tcPr>
          <w:p w:rsidR="00FE41B8" w:rsidRPr="00FE41B8" w:rsidRDefault="00FE41B8" w:rsidP="00FE41B8">
            <w:pPr>
              <w:pStyle w:val="Tableunitsrow"/>
              <w:keepNext w:val="0"/>
              <w:jc w:val="center"/>
              <w:rPr>
                <w:sz w:val="12"/>
                <w:szCs w:val="12"/>
                <w:lang w:eastAsia="en-AU"/>
              </w:rPr>
            </w:pPr>
            <w:r w:rsidRPr="00FE41B8">
              <w:rPr>
                <w:sz w:val="12"/>
                <w:szCs w:val="12"/>
                <w:lang w:eastAsia="en-AU"/>
              </w:rPr>
              <w:t>%</w:t>
            </w:r>
          </w:p>
        </w:tc>
        <w:tc>
          <w:tcPr>
            <w:tcW w:w="709" w:type="dxa"/>
            <w:tcBorders>
              <w:top w:val="single" w:sz="2" w:space="0" w:color="C0C0C0"/>
            </w:tcBorders>
            <w:shd w:val="solid" w:color="E6E6E6" w:fill="E6E6E6"/>
            <w:vAlign w:val="center"/>
            <w:hideMark/>
          </w:tcPr>
          <w:p w:rsidR="00FE41B8" w:rsidRPr="00FE41B8" w:rsidRDefault="00FE41B8" w:rsidP="00FE41B8">
            <w:pPr>
              <w:pStyle w:val="Tableunitsrow"/>
              <w:keepNext w:val="0"/>
              <w:jc w:val="center"/>
              <w:rPr>
                <w:sz w:val="12"/>
                <w:szCs w:val="12"/>
                <w:lang w:eastAsia="en-AU"/>
              </w:rPr>
            </w:pPr>
            <w:r w:rsidRPr="00FE41B8">
              <w:rPr>
                <w:sz w:val="12"/>
                <w:szCs w:val="12"/>
                <w:lang w:eastAsia="en-AU"/>
              </w:rPr>
              <w:t>%</w:t>
            </w:r>
          </w:p>
        </w:tc>
        <w:tc>
          <w:tcPr>
            <w:tcW w:w="840" w:type="dxa"/>
            <w:tcBorders>
              <w:top w:val="single" w:sz="2" w:space="0" w:color="C0C0C0"/>
            </w:tcBorders>
            <w:shd w:val="solid" w:color="E6E6E6" w:fill="E6E6E6"/>
            <w:vAlign w:val="center"/>
            <w:hideMark/>
          </w:tcPr>
          <w:p w:rsidR="00FE41B8" w:rsidRPr="00FE41B8" w:rsidRDefault="00FE41B8" w:rsidP="00FE41B8">
            <w:pPr>
              <w:pStyle w:val="Tableunitsrow"/>
              <w:keepNext w:val="0"/>
              <w:jc w:val="center"/>
              <w:rPr>
                <w:sz w:val="12"/>
                <w:szCs w:val="12"/>
                <w:lang w:eastAsia="en-AU"/>
              </w:rPr>
            </w:pPr>
          </w:p>
        </w:tc>
      </w:tr>
      <w:tr w:rsidR="00653055" w:rsidRPr="00FE41B8" w:rsidTr="00FE41B8">
        <w:trPr>
          <w:cantSplit/>
          <w:trHeight w:hRule="exact" w:val="227"/>
        </w:trPr>
        <w:tc>
          <w:tcPr>
            <w:tcW w:w="840" w:type="dxa"/>
            <w:vMerge w:val="restart"/>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NSW</w:t>
            </w: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AGL SF PV Broken Hill</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34,833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1.1026</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AGL SF PV Nyngan</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34,833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1.1026</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Bayswater</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35.90%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90.2</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0.905</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46,039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0.9552</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Bendeela Pumps</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8.67</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1.0017</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Blowering</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4.82</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0.9709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Colongra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0.577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9.38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0.986</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Eraring</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35.40%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89.5</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0.91</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46,039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0.9859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Gunning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0.9852</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Guthega</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6.74</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0.9484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Hume NSW</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0.9704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Hunter Valley GT</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28.00%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69.7</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0.896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0.9641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Liddell</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33.80%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92.8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0.988</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0.9556</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Mt Piper</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37.00%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87.4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0.85</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46,039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0.9629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Munmorah</w:t>
            </w:r>
            <w:r w:rsidRPr="00FE41B8">
              <w:rPr>
                <w:rFonts w:ascii="Century Gothic" w:hAnsi="Century Gothic"/>
                <w:b/>
                <w:bCs/>
                <w:color w:val="000080"/>
                <w:sz w:val="12"/>
                <w:szCs w:val="12"/>
                <w:vertAlign w:val="superscript"/>
                <w:lang w:eastAsia="en-AU"/>
              </w:rPr>
              <w:t xml:space="preserve"> 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30.80%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7.30%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90.3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1.055</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51,676</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0.9857</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Redbank</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29.30%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1.106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46,509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0.9572</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Shoalhaven Bendeela</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8.67</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0.9798</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Smithfield</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41.00%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0.45</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23,489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2.23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1.0053</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Tallawarra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0.369</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30,249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0.9934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Tumut 1</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6.74</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0.9453</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Tumut 3</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0.9233</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Tumut 3 Pumps</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1.0069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Uranquinty</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0.577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9.38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0.9665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Vales Point B</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35.40%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4.60%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0.913</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46,039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0.9877</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Wallerawang C</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33.10%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7.30%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87.4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0.951</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0.9633</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Woodlawn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0.9845</w:t>
            </w:r>
          </w:p>
        </w:tc>
      </w:tr>
      <w:tr w:rsidR="00653055" w:rsidRPr="00FE41B8" w:rsidTr="00FE41B8">
        <w:trPr>
          <w:cantSplit/>
          <w:trHeight w:hRule="exact" w:val="227"/>
        </w:trPr>
        <w:tc>
          <w:tcPr>
            <w:tcW w:w="840" w:type="dxa"/>
            <w:vMerge w:val="restart"/>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QLD</w:t>
            </w: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Barcaldine</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0.462</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23,489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2.23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1.0235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Barron Gorge</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1.1135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Braemar 1</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0.616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7.33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0.9471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Braemar 2</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0.616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7.33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0.9471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Callide B</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36.10%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0.927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46,509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1.12</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0.9471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Callide C</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36.50%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95</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0.937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46,509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2.54</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0.9476</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Collinsville</w:t>
            </w:r>
            <w:r w:rsidRPr="00FE41B8">
              <w:rPr>
                <w:rFonts w:ascii="Century Gothic" w:hAnsi="Century Gothic"/>
                <w:b/>
                <w:bCs/>
                <w:color w:val="000080"/>
                <w:sz w:val="12"/>
                <w:szCs w:val="12"/>
                <w:vertAlign w:val="superscript"/>
                <w:lang w:eastAsia="en-AU"/>
              </w:rPr>
              <w:t xml:space="preserve"> 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27.70%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1.162</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61,072</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1.0389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Condamine</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0.385</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30,249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0.8895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Darling Downs</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46.00%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0.401</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30,249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0.9471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Gladstone</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35.20%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92.1</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0.942</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0.9885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Kareeya</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1.1055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Kogan Creek</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37.50%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0.902</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45,099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1.17</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0.9464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Mackay GT</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28.00%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69.7</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0.896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8.4</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1.0674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Millmerran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36.90%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4.70%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92</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0.898</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45,099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2.64</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0.9578</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Mt Stuart</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69.7</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0.836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8.4</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0.9813</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Oakey</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32.60%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0.567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0.9395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Roma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0.616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0.864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Stanwell</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36.40%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90.4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0.894</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46,039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2.99</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0.9876</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Swanbank B</w:t>
            </w:r>
            <w:r w:rsidRPr="00FE41B8">
              <w:rPr>
                <w:rFonts w:ascii="Century Gothic" w:hAnsi="Century Gothic"/>
                <w:b/>
                <w:bCs/>
                <w:color w:val="000080"/>
                <w:sz w:val="12"/>
                <w:szCs w:val="12"/>
                <w:vertAlign w:val="superscript"/>
                <w:lang w:eastAsia="en-AU"/>
              </w:rPr>
              <w:t xml:space="preserve"> 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30.50%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90.4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1.067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51,676</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1.0011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Swanbank E</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47.00%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0.393</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30,249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0.9963</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Tarong</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36.20%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92.1</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0.916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46,509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6.98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0.9631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Tarong North</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39.20%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92.1</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0.846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45,099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1.33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0.9633</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Townsville</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46.00%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0.401</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30,249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1.0524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Wivenhoe</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0.9871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Wivenhoe Pump</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28,187</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0.9933</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Yarwun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34.00%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0.543</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23,489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0.9934</w:t>
            </w:r>
          </w:p>
        </w:tc>
      </w:tr>
      <w:tr w:rsidR="00653055" w:rsidRPr="00FE41B8" w:rsidTr="00FE41B8">
        <w:trPr>
          <w:cantSplit/>
          <w:trHeight w:hRule="exact" w:val="227"/>
        </w:trPr>
        <w:tc>
          <w:tcPr>
            <w:tcW w:w="840" w:type="dxa"/>
            <w:vMerge w:val="restart"/>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SA</w:t>
            </w: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Angaston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26.00%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Bluff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0.9718</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Clements Gap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0.9589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Dry Creek</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26.00%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0.71</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1.0009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Hallett</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24.00%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0.77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0.9705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Hallett 2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0.9718</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Hallett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0.9705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Ladbroke Grove</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0.616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3.34</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0.9626</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Lake Bonney 2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0.9404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Lake Bonney 3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0.9404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Mintaro</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28.00%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0.9778</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North Brown Hill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0.9694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Northern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34.90%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91</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0.939</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51,676</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0.9638</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Osborne</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42.00%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0.44</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23,489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4.72</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0.9997</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Pelican Point</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0.385</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30,249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Playford B</w:t>
            </w:r>
            <w:r w:rsidRPr="00FE41B8">
              <w:rPr>
                <w:rFonts w:ascii="Century Gothic" w:hAnsi="Century Gothic"/>
                <w:b/>
                <w:bCs/>
                <w:color w:val="000080"/>
                <w:sz w:val="12"/>
                <w:szCs w:val="12"/>
                <w:vertAlign w:val="superscript"/>
                <w:lang w:eastAsia="en-AU"/>
              </w:rPr>
              <w:t xml:space="preserve"> 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21.90%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91</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1.496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65,770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2.79</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0.9573</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Port Lincoln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26.00%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0.9038</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Quarantine</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0.577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Snowtown 2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0.9154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Snowtown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0.9154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Snuggery</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26.00%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1.0289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Torrens Island 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27.60%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0.669</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36,666</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0.9999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Torrens Island B</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0.616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36,666</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0.9999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Waterloo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0.9747</w:t>
            </w:r>
          </w:p>
        </w:tc>
      </w:tr>
      <w:tr w:rsidR="00653055" w:rsidRPr="00FE41B8" w:rsidTr="00FE41B8">
        <w:trPr>
          <w:cantSplit/>
          <w:trHeight w:hRule="exact" w:val="227"/>
        </w:trPr>
        <w:tc>
          <w:tcPr>
            <w:tcW w:w="840" w:type="dxa"/>
            <w:vMerge w:val="restart"/>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TAS</w:t>
            </w: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Bastyan</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0.9436</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Bell Bay</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29.00%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0.637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36,666</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0.9994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Bell Bay Three</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29.00%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0.637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7.33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0.9994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Cethana</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0.9668</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Devils Gate</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0.9715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Fisher</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4.82</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0.9717</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Gordon</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4.82</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0.9672</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John Butters</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0.942</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Lake Echo</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0.9428</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Lemonthyme_Wilmot</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0.9746</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Liapootah_Wayatinah_Catagunya</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1.0062</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Mackintosh</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0.927</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Meadowbank</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1.0064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Musselroe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0.9974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Poatina</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0.9758</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Reece</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0.9348</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Tamar Valley</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0.385</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30,249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0.9989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Tamar Valley GT</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28.00%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0.9994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Tarraleah</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0.9522</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Trevallyn</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0.9974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Tribute</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0.9378</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Tungatinah</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0.9395</w:t>
            </w:r>
          </w:p>
        </w:tc>
      </w:tr>
      <w:tr w:rsidR="00653055" w:rsidRPr="00FE41B8" w:rsidTr="00FE41B8">
        <w:trPr>
          <w:cantSplit/>
          <w:trHeight w:hRule="exact" w:val="227"/>
        </w:trPr>
        <w:tc>
          <w:tcPr>
            <w:tcW w:w="840" w:type="dxa"/>
            <w:vMerge w:val="restart"/>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VIC</w:t>
            </w: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Anglesea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27.20%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91</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1.204</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124,962</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1.0135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Bairnsdale</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34.00%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0.543</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2.09</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0.9701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Dartmouth</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0.9885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Eildon</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8.67</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0.9902</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Energy Brix</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24.00%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1.485</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93,957</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0.9619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Hazelwood</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22.00%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1.522</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131,539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0.9685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Hume VIC</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1.0912</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Jeeralang 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22.90%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0.806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8.4</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0.964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Jeeralang B</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22.90%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0.806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8.4</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0.964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Laverton North</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30.40%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0.608</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7.33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0.998</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Loy Yang 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27.20%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91.5</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1.211</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0.9709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Loy Yang B</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26.60%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91.5</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1.238</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87,738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0.9709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Macarthur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McKay</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6.74</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0.9993</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Mortlake</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0.577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7.73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0.9709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Mt Mercer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0.956</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Murray</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5.78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Newport</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33.30%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0.555</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37,583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2.09</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0.9969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Oaklands Hill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32,083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1.0252</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Somerton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24.00%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0.77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0.996</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Valley Power</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24.00%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0.77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0.9709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West Kiewa</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48,858</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6.74</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1.0191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Yallourn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23.50%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8.90%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92.5</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1.417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126,842</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0.9494</w:t>
            </w:r>
          </w:p>
        </w:tc>
      </w:tr>
      <w:tr w:rsidR="00653055" w:rsidRPr="00FE41B8" w:rsidTr="00FE41B8">
        <w:trPr>
          <w:cantSplit/>
          <w:trHeight w:hRule="exact" w:val="227"/>
        </w:trPr>
        <w:tc>
          <w:tcPr>
            <w:tcW w:w="840" w:type="dxa"/>
            <w:vMerge w:val="restart"/>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SWIS</w:t>
            </w: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Albany</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42,000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1.072</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Alcoa Kwinana Cogen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0.616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3.80%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1.0199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Alcoa Pinjarra Cogen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0.616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3.80%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0.9964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Alcoa Wagerup Cogen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0.616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3.80%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0.9848</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Bluewaters</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36.10%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93.1</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0.928</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4.90%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0.9949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BP Cogen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33.00%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23,489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4.10%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1.0199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Canning/Melville LFG</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3.68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1.0284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Cockburn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2.40%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0.385</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30,249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4.73</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4.20%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1.0164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Collgar Wind Farm</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42,000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1.1229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Collie</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36.00%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7.90%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93.1</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0.931</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0.9949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Emu downs</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42,000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0.9945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 xml:space="preserve">Geraldton </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29.00%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0.843</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5.90%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1.037</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Grasmere</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42,000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1.072</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Greenough River</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0.10%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1.037</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Kalgoorlie</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33.00%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0.741</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5.90%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4.10%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1.0782</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Kalgoorlie Nickel</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33.00%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4.70%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1.2253</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Kemerton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34.00%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0.543</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7.90%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1.0057</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Kwinana 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0.577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8.41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5.40%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14.80%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1.0164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Kwinana B</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0.577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8.41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5.40%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14.80%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1.0164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Kwinana C</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33.00%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7.35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9.90%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1.0164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Kwinana GT</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0.764</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9.90%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1.0164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Kwinana HEGT</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0.462</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1.31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4.10%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1.0164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Muja A&amp;B</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26.40%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93.1</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60,000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4.20%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Muja C</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34.60%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93.1</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4.20%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9.90%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Muja D</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35.60%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93.1</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0.942</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1.58</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4.90%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9.90%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Mumbida</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42,000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1.037</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Mungarra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29.00%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0.637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9.90%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1.0181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Namarkkon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0.815</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1.1229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Neerabup Peaker</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0.577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3.90%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2.20%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1.0164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Newgen Power</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0.385</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30,249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3.30%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1.0164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Parkeston SCE</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33.00%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4.90%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1.2429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Pinjar A B</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29.00%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0.637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9.90%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1.0295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Pinjar C</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29.00%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0.637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9.90%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1.0295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Pinjar D</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29.00%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0.637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9.90%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1.0295</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Pinjarra Alinta Cogen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34.10%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2.40%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0.542</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3.90%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4.10%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0.9898</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Tesla (various sites)</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28.00%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0.873</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1.1229</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Tiwest Cogen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0.577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5.90%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4.10%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1.0177</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Wagerup Alinta Peaker</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34.10%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0.717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3.90%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4.10%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1.012</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Walkaway</w:t>
            </w:r>
          </w:p>
        </w:tc>
        <w:tc>
          <w:tcPr>
            <w:tcW w:w="865" w:type="dxa"/>
            <w:shd w:val="clear" w:color="auto" w:fill="auto"/>
            <w:noWrap/>
            <w:vAlign w:val="center"/>
            <w:hideMark/>
          </w:tcPr>
          <w:p w:rsidR="00653055" w:rsidRPr="00FE41B8" w:rsidRDefault="00653055" w:rsidP="00FE41B8">
            <w:pPr>
              <w:pStyle w:val="Tabletext"/>
              <w:keepNext w:val="0"/>
              <w:jc w:val="center"/>
              <w:rPr>
                <w:rFonts w:ascii="Garamond" w:hAnsi="Garamond"/>
                <w:sz w:val="12"/>
                <w:szCs w:val="12"/>
                <w:lang w:eastAsia="en-AU"/>
              </w:rPr>
            </w:pP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42,000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0.9444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Western Energy Peaker</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0.577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9.46</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5.20%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4.10%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1.0164</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Worsley</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28.00%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93.1</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1.197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4.10%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0.9836</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Worsley SWCJV</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33.00%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4.10%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0.9836</w:t>
            </w:r>
          </w:p>
        </w:tc>
      </w:tr>
      <w:tr w:rsidR="00653055" w:rsidRPr="00FE41B8" w:rsidTr="00FE41B8">
        <w:trPr>
          <w:cantSplit/>
          <w:trHeight w:hRule="exact" w:val="227"/>
        </w:trPr>
        <w:tc>
          <w:tcPr>
            <w:tcW w:w="840" w:type="dxa"/>
            <w:vMerge w:val="restart"/>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NWIS</w:t>
            </w: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Burrup Peninsula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29.00%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0.637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Cape Lambert</w:t>
            </w:r>
            <w:r w:rsidRPr="00FE41B8">
              <w:rPr>
                <w:rFonts w:ascii="Century Gothic" w:hAnsi="Century Gothic"/>
                <w:b/>
                <w:bCs/>
                <w:color w:val="000080"/>
                <w:sz w:val="12"/>
                <w:szCs w:val="12"/>
                <w:vertAlign w:val="superscript"/>
                <w:lang w:eastAsia="en-AU"/>
              </w:rPr>
              <w:t xml:space="preserve"> 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0.616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2.25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Cape Preston</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0.369</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30,249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Dampier</w:t>
            </w:r>
            <w:r w:rsidRPr="00FE41B8">
              <w:rPr>
                <w:rFonts w:ascii="Century Gothic" w:hAnsi="Century Gothic"/>
                <w:b/>
                <w:bCs/>
                <w:color w:val="000080"/>
                <w:sz w:val="12"/>
                <w:szCs w:val="12"/>
                <w:vertAlign w:val="superscript"/>
                <w:lang w:eastAsia="en-AU"/>
              </w:rPr>
              <w:t xml:space="preserve"> 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0.616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2.25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Karratha</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0.616</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2.25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Karratha ATCO</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0.462</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Paraburdoo</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29.00%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0.843</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13,000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Port Hedland</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29.00%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0.637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val="restart"/>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DKIS</w:t>
            </w: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Berrimah</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24.00%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1.019</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Channel Island u1-3</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27.00%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0.684</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Channel Island u4-6</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0.385</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30,249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Channel Island u7</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37.00%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0.499</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Channel Island u8-9</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37.00%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0.499</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Katherine</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0.739</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LMS Shoal Bay</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Pine Creek CCGT</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47.00%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0.393</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30,249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Weddell</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35.00%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0.528</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val="restart"/>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Mt Isa</w:t>
            </w: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APA Xstrata OCGT</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36.00%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0.513</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Diamantina CCGT</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48.00%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0.385</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30,249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Diamantina OCGT</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32.00%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0.577</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Ernest Henry</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29.00%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67.9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0.843</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13,000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Mica Creek A CCGT</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43.00%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0.429</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30,249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1.05</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Mica Creek A GT</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27.00%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0.684</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Mica Creek B</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27.00%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0.684</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FE41B8">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Mica Creek C</w:t>
            </w:r>
          </w:p>
        </w:tc>
        <w:tc>
          <w:tcPr>
            <w:tcW w:w="865"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43.00%</w:t>
            </w:r>
          </w:p>
        </w:tc>
        <w:tc>
          <w:tcPr>
            <w:tcW w:w="928"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0.429</w:t>
            </w:r>
          </w:p>
        </w:tc>
        <w:tc>
          <w:tcPr>
            <w:tcW w:w="91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30,249</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E63457">
        <w:trPr>
          <w:cantSplit/>
          <w:trHeight w:hRule="exact" w:val="227"/>
        </w:trPr>
        <w:tc>
          <w:tcPr>
            <w:tcW w:w="840" w:type="dxa"/>
            <w:vMerge/>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tcBorders>
              <w:bottom w:val="single" w:sz="2" w:space="0" w:color="C0C0C0"/>
            </w:tcBorders>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Mt Isa Mines Station</w:t>
            </w:r>
          </w:p>
        </w:tc>
        <w:tc>
          <w:tcPr>
            <w:tcW w:w="865" w:type="dxa"/>
            <w:tcBorders>
              <w:bottom w:val="single" w:sz="2" w:space="0" w:color="C0C0C0"/>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25.00%</w:t>
            </w:r>
          </w:p>
        </w:tc>
        <w:tc>
          <w:tcPr>
            <w:tcW w:w="928" w:type="dxa"/>
            <w:tcBorders>
              <w:bottom w:val="single" w:sz="2" w:space="0" w:color="C0C0C0"/>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1.00%</w:t>
            </w:r>
          </w:p>
        </w:tc>
        <w:tc>
          <w:tcPr>
            <w:tcW w:w="840" w:type="dxa"/>
            <w:tcBorders>
              <w:bottom w:val="single" w:sz="2" w:space="0" w:color="C0C0C0"/>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tcBorders>
              <w:bottom w:val="single" w:sz="2" w:space="0" w:color="C0C0C0"/>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0.739</w:t>
            </w:r>
          </w:p>
        </w:tc>
        <w:tc>
          <w:tcPr>
            <w:tcW w:w="910" w:type="dxa"/>
            <w:tcBorders>
              <w:bottom w:val="single" w:sz="2" w:space="0" w:color="C0C0C0"/>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40,000</w:t>
            </w:r>
          </w:p>
        </w:tc>
        <w:tc>
          <w:tcPr>
            <w:tcW w:w="840" w:type="dxa"/>
            <w:tcBorders>
              <w:bottom w:val="single" w:sz="2" w:space="0" w:color="C0C0C0"/>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9.61</w:t>
            </w:r>
          </w:p>
        </w:tc>
        <w:tc>
          <w:tcPr>
            <w:tcW w:w="612" w:type="dxa"/>
            <w:tcBorders>
              <w:bottom w:val="single" w:sz="2" w:space="0" w:color="C0C0C0"/>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tcBorders>
              <w:bottom w:val="single" w:sz="2" w:space="0" w:color="C0C0C0"/>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tcBorders>
              <w:bottom w:val="single" w:sz="2" w:space="0" w:color="C0C0C0"/>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r w:rsidR="00653055" w:rsidRPr="00FE41B8" w:rsidTr="00E63457">
        <w:trPr>
          <w:cantSplit/>
          <w:trHeight w:hRule="exact" w:val="227"/>
        </w:trPr>
        <w:tc>
          <w:tcPr>
            <w:tcW w:w="840" w:type="dxa"/>
            <w:vMerge/>
            <w:tcBorders>
              <w:bottom w:val="single" w:sz="2" w:space="0" w:color="999999"/>
            </w:tcBorders>
            <w:shd w:val="clear" w:color="auto" w:fill="auto"/>
            <w:noWrap/>
            <w:vAlign w:val="center"/>
            <w:hideMark/>
          </w:tcPr>
          <w:p w:rsidR="00653055" w:rsidRPr="00FE41B8" w:rsidRDefault="00653055" w:rsidP="00FE41B8">
            <w:pPr>
              <w:pStyle w:val="Tabletext"/>
              <w:keepNext w:val="0"/>
              <w:rPr>
                <w:sz w:val="12"/>
                <w:szCs w:val="12"/>
                <w:lang w:eastAsia="en-AU"/>
              </w:rPr>
            </w:pPr>
          </w:p>
        </w:tc>
        <w:tc>
          <w:tcPr>
            <w:tcW w:w="2007" w:type="dxa"/>
            <w:tcBorders>
              <w:top w:val="single" w:sz="2" w:space="0" w:color="C0C0C0"/>
              <w:bottom w:val="single" w:sz="2" w:space="0" w:color="999999"/>
            </w:tcBorders>
            <w:shd w:val="clear" w:color="auto" w:fill="auto"/>
            <w:noWrap/>
            <w:vAlign w:val="center"/>
            <w:hideMark/>
          </w:tcPr>
          <w:p w:rsidR="00653055" w:rsidRPr="00FE41B8" w:rsidRDefault="00653055" w:rsidP="00FE41B8">
            <w:pPr>
              <w:pStyle w:val="Tabletext"/>
              <w:keepNext w:val="0"/>
              <w:rPr>
                <w:sz w:val="12"/>
                <w:szCs w:val="12"/>
                <w:lang w:eastAsia="en-AU"/>
              </w:rPr>
            </w:pPr>
            <w:r w:rsidRPr="00FE41B8">
              <w:rPr>
                <w:sz w:val="12"/>
                <w:szCs w:val="12"/>
                <w:lang w:eastAsia="en-AU"/>
              </w:rPr>
              <w:t>Phosphate Hill</w:t>
            </w:r>
          </w:p>
        </w:tc>
        <w:tc>
          <w:tcPr>
            <w:tcW w:w="865" w:type="dxa"/>
            <w:tcBorders>
              <w:top w:val="single" w:sz="2" w:space="0" w:color="C0C0C0"/>
              <w:bottom w:val="single" w:sz="2" w:space="0" w:color="999999"/>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27.00%</w:t>
            </w:r>
          </w:p>
        </w:tc>
        <w:tc>
          <w:tcPr>
            <w:tcW w:w="928" w:type="dxa"/>
            <w:tcBorders>
              <w:top w:val="single" w:sz="2" w:space="0" w:color="C0C0C0"/>
              <w:bottom w:val="single" w:sz="2" w:space="0" w:color="999999"/>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840" w:type="dxa"/>
            <w:tcBorders>
              <w:top w:val="single" w:sz="2" w:space="0" w:color="C0C0C0"/>
              <w:bottom w:val="single" w:sz="2" w:space="0" w:color="999999"/>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51.3</w:t>
            </w:r>
          </w:p>
        </w:tc>
        <w:tc>
          <w:tcPr>
            <w:tcW w:w="840" w:type="dxa"/>
            <w:tcBorders>
              <w:top w:val="single" w:sz="2" w:space="0" w:color="C0C0C0"/>
              <w:bottom w:val="single" w:sz="2" w:space="0" w:color="999999"/>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0.684</w:t>
            </w:r>
          </w:p>
        </w:tc>
        <w:tc>
          <w:tcPr>
            <w:tcW w:w="910" w:type="dxa"/>
            <w:tcBorders>
              <w:top w:val="single" w:sz="2" w:space="0" w:color="C0C0C0"/>
              <w:bottom w:val="single" w:sz="2" w:space="0" w:color="999999"/>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12,214</w:t>
            </w:r>
          </w:p>
        </w:tc>
        <w:tc>
          <w:tcPr>
            <w:tcW w:w="840" w:type="dxa"/>
            <w:tcBorders>
              <w:top w:val="single" w:sz="2" w:space="0" w:color="C0C0C0"/>
              <w:bottom w:val="single" w:sz="2" w:space="0" w:color="999999"/>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1.05</w:t>
            </w:r>
          </w:p>
        </w:tc>
        <w:tc>
          <w:tcPr>
            <w:tcW w:w="612" w:type="dxa"/>
            <w:tcBorders>
              <w:top w:val="single" w:sz="2" w:space="0" w:color="C0C0C0"/>
              <w:bottom w:val="single" w:sz="2" w:space="0" w:color="999999"/>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3.00%</w:t>
            </w:r>
          </w:p>
        </w:tc>
        <w:tc>
          <w:tcPr>
            <w:tcW w:w="709" w:type="dxa"/>
            <w:tcBorders>
              <w:top w:val="single" w:sz="2" w:space="0" w:color="C0C0C0"/>
              <w:bottom w:val="single" w:sz="2" w:space="0" w:color="999999"/>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8.00%</w:t>
            </w:r>
          </w:p>
        </w:tc>
        <w:tc>
          <w:tcPr>
            <w:tcW w:w="840" w:type="dxa"/>
            <w:tcBorders>
              <w:top w:val="single" w:sz="2" w:space="0" w:color="C0C0C0"/>
              <w:bottom w:val="single" w:sz="2" w:space="0" w:color="999999"/>
            </w:tcBorders>
            <w:shd w:val="clear" w:color="auto" w:fill="auto"/>
            <w:noWrap/>
            <w:vAlign w:val="center"/>
            <w:hideMark/>
          </w:tcPr>
          <w:p w:rsidR="00653055" w:rsidRPr="00FE41B8" w:rsidRDefault="00653055" w:rsidP="00FE41B8">
            <w:pPr>
              <w:pStyle w:val="Tabletext"/>
              <w:keepNext w:val="0"/>
              <w:jc w:val="center"/>
              <w:rPr>
                <w:sz w:val="12"/>
                <w:szCs w:val="12"/>
                <w:lang w:eastAsia="en-AU"/>
              </w:rPr>
            </w:pPr>
            <w:r w:rsidRPr="00FE41B8">
              <w:rPr>
                <w:sz w:val="12"/>
                <w:szCs w:val="12"/>
                <w:lang w:eastAsia="en-AU"/>
              </w:rPr>
              <w:t>1</w:t>
            </w:r>
          </w:p>
        </w:tc>
      </w:tr>
    </w:tbl>
    <w:p w:rsidR="00760A9C" w:rsidRDefault="00760A9C" w:rsidP="00FE41B8">
      <w:pPr>
        <w:pStyle w:val="Note"/>
        <w:ind w:left="-2835"/>
      </w:pPr>
      <w:r w:rsidRPr="00760A9C">
        <w:rPr>
          <w:rStyle w:val="Notelabel"/>
        </w:rPr>
        <w:t>a</w:t>
      </w:r>
      <w:r w:rsidRPr="00760A9C">
        <w:t xml:space="preserve"> </w:t>
      </w:r>
      <w:r w:rsidR="00653055" w:rsidRPr="00653055">
        <w:t>These generators are mothballed as of April 2013 but have been operational during the model period (starting 1 July 2009).</w:t>
      </w:r>
    </w:p>
    <w:p w:rsidR="00760A9C" w:rsidRDefault="00760A9C" w:rsidP="00FE41B8">
      <w:pPr>
        <w:pStyle w:val="Note"/>
        <w:ind w:left="-2835"/>
      </w:pPr>
      <w:r w:rsidRPr="00760A9C">
        <w:rPr>
          <w:i/>
        </w:rPr>
        <w:t>Note:</w:t>
      </w:r>
      <w:r w:rsidRPr="00760A9C">
        <w:t xml:space="preserve"> </w:t>
      </w:r>
      <w:r w:rsidR="00653055">
        <w:t>O&amp;M cost values are in 2009-10 dollars</w:t>
      </w:r>
    </w:p>
    <w:p w:rsidR="00760A9C" w:rsidRPr="00760A9C" w:rsidRDefault="00760A9C" w:rsidP="00FE41B8">
      <w:pPr>
        <w:pStyle w:val="Source"/>
        <w:ind w:left="-2835"/>
      </w:pPr>
      <w:r>
        <w:t xml:space="preserve">Source: </w:t>
      </w:r>
      <w:r w:rsidR="00653055">
        <w:t>ACIL Allen</w:t>
      </w:r>
    </w:p>
    <w:p w:rsidR="00760A9C" w:rsidRDefault="00760A9C" w:rsidP="00F25432">
      <w:pPr>
        <w:pStyle w:val="BodyText"/>
      </w:pPr>
    </w:p>
    <w:p w:rsidR="00653055" w:rsidRDefault="00653055" w:rsidP="00653055">
      <w:pPr>
        <w:pStyle w:val="Heading2"/>
        <w:pBdr>
          <w:bottom w:val="none" w:sz="0" w:space="0" w:color="auto"/>
        </w:pBdr>
      </w:pPr>
      <w:bookmarkStart w:id="67" w:name="_Ref350241098"/>
      <w:bookmarkStart w:id="68" w:name="_Toc365474022"/>
      <w:bookmarkStart w:id="69" w:name="_Toc370394634"/>
      <w:r>
        <w:lastRenderedPageBreak/>
        <w:t>New entrant generators</w:t>
      </w:r>
      <w:bookmarkEnd w:id="67"/>
      <w:bookmarkEnd w:id="68"/>
      <w:bookmarkEnd w:id="69"/>
    </w:p>
    <w:p w:rsidR="00653055" w:rsidRDefault="00653055" w:rsidP="00653055">
      <w:pPr>
        <w:pStyle w:val="BodyText"/>
      </w:pPr>
      <w:r>
        <w:t xml:space="preserve">A range of new entrant generating technologies are made available within the modelling over the period to 2050. </w:t>
      </w:r>
      <w:r w:rsidRPr="00120195">
        <w:rPr>
          <w:i/>
        </w:rPr>
        <w:t>PowerMark LT</w:t>
      </w:r>
      <w:r>
        <w:t xml:space="preserve"> determines a least cost plant mix for each modelled region on a dynamic inter-temporal basis.</w:t>
      </w:r>
    </w:p>
    <w:p w:rsidR="00653055" w:rsidRDefault="00653055" w:rsidP="00653055">
      <w:pPr>
        <w:pStyle w:val="BodyText"/>
      </w:pPr>
      <w:r>
        <w:t>New capacity is introduced to each region through the use of continuous capacity variables, that is, generation increments are not set to predetermined sizes and the model allows entry of any optimal increment.</w:t>
      </w:r>
      <w:r>
        <w:rPr>
          <w:rStyle w:val="FootnoteReference"/>
        </w:rPr>
        <w:footnoteReference w:id="1"/>
      </w:r>
    </w:p>
    <w:p w:rsidR="00653055" w:rsidRDefault="00653055" w:rsidP="00653055">
      <w:pPr>
        <w:pStyle w:val="BodyText"/>
      </w:pPr>
      <w:r>
        <w:t>A range of cost and generation characteristics are required for each new entrant technology</w:t>
      </w:r>
      <w:r w:rsidRPr="003E005F">
        <w:t xml:space="preserve"> </w:t>
      </w:r>
      <w:r>
        <w:t>to solve the model in a way that minimises overall resource costs on a net present value basis. The key proposed inputs for each of these elements is discussed in the following sections.</w:t>
      </w:r>
    </w:p>
    <w:p w:rsidR="00653055" w:rsidRDefault="00245E9E" w:rsidP="00653055">
      <w:pPr>
        <w:pStyle w:val="Heading3"/>
      </w:pPr>
      <w:bookmarkStart w:id="70" w:name="_Toc365474023"/>
      <w:bookmarkStart w:id="71" w:name="_Toc370394635"/>
      <w:r>
        <w:t>Starting c</w:t>
      </w:r>
      <w:r w:rsidR="00653055">
        <w:t>apital costs</w:t>
      </w:r>
      <w:bookmarkEnd w:id="70"/>
      <w:bookmarkEnd w:id="71"/>
    </w:p>
    <w:p w:rsidR="00653055" w:rsidRDefault="00653055" w:rsidP="00653055">
      <w:pPr>
        <w:pStyle w:val="BodyText"/>
      </w:pPr>
      <w:r>
        <w:t>Capital costs comprise one of the key inputs for long-term electricity sector modelling as capital is the largest cost component for most generation technologies.</w:t>
      </w:r>
    </w:p>
    <w:p w:rsidR="00653055" w:rsidRDefault="00653055" w:rsidP="00653055">
      <w:pPr>
        <w:pStyle w:val="BodyText"/>
      </w:pPr>
      <w:r>
        <w:t>The methodology employed for this study is to commence with a starting capital cost value (termed the ‘base’ capital cost) and break this down into its component parts: local labour; local equipment and commodities; and foreign equipment and commodities.</w:t>
      </w:r>
    </w:p>
    <w:p w:rsidR="00653055" w:rsidRDefault="00653055" w:rsidP="00653055">
      <w:pPr>
        <w:pStyle w:val="BodyText"/>
      </w:pPr>
      <w:r>
        <w:t>These component parts are then projected forward individually before being recombined into a final capital cost estimate. This process allows for the influences of learning rates (both foreign and local), labour costs, and exchange rates to be properly incorporated into the final cost estimates.</w:t>
      </w:r>
    </w:p>
    <w:p w:rsidR="00653055" w:rsidRDefault="00653055" w:rsidP="00653055">
      <w:pPr>
        <w:pStyle w:val="BodyText"/>
      </w:pPr>
      <w:r>
        <w:t xml:space="preserve">For the most part, the base capital cost estimates for most technologies were taken from the 2012 Australian Energy Technology Assessment (AETA) published by the Bureau of Resource and Energy Economics (BREE). ACIL </w:t>
      </w:r>
      <w:r w:rsidR="004F6D61">
        <w:t>Allen</w:t>
      </w:r>
      <w:r>
        <w:t xml:space="preserve"> has selected a sub-set of 29 of the 40 technologies examined within the AETA study. Technologies excluded include exotic coal-based technologies that do not employ carbon capture and storage (IGCC, oxy-fuel and direct injection), solar hybrids, offshore wind, landfill gas, bagasse and nuclear options.</w:t>
      </w:r>
    </w:p>
    <w:p w:rsidR="00653055" w:rsidRDefault="00450552" w:rsidP="00653055">
      <w:pPr>
        <w:pStyle w:val="BodyText"/>
      </w:pPr>
      <w:r>
        <w:fldChar w:fldCharType="begin"/>
      </w:r>
      <w:r>
        <w:instrText xml:space="preserve"> REF _Ref365543219 \h </w:instrText>
      </w:r>
      <w:r>
        <w:fldChar w:fldCharType="separate"/>
      </w:r>
      <w:r w:rsidR="00660A8E">
        <w:t xml:space="preserve">Table </w:t>
      </w:r>
      <w:r w:rsidR="00660A8E">
        <w:rPr>
          <w:noProof/>
        </w:rPr>
        <w:t>3</w:t>
      </w:r>
      <w:r>
        <w:fldChar w:fldCharType="end"/>
      </w:r>
      <w:r w:rsidR="00653055">
        <w:t xml:space="preserve"> presents the proposed capital costs for each of the technologies for use within the emission projection modelling. The table also includes the headline splits for the cost components taken from the AETA study.</w:t>
      </w:r>
    </w:p>
    <w:p w:rsidR="00653055" w:rsidRDefault="00653055" w:rsidP="00653055">
      <w:pPr>
        <w:pStyle w:val="BodyText"/>
      </w:pPr>
      <w:r>
        <w:t>These capital costs are presented on an ‘overnight’ basis – i</w:t>
      </w:r>
      <w:r w:rsidRPr="00B4066F">
        <w:t>nterest during constru</w:t>
      </w:r>
      <w:r>
        <w:t>ction and financing costs are excluded.</w:t>
      </w:r>
      <w:r>
        <w:rPr>
          <w:rStyle w:val="FootnoteReference"/>
        </w:rPr>
        <w:footnoteReference w:id="2"/>
      </w:r>
      <w:r>
        <w:t xml:space="preserve"> For plants that employ carbon capture, the capital costs include capture and compression of CO</w:t>
      </w:r>
      <w:r w:rsidRPr="00B4066F">
        <w:rPr>
          <w:vertAlign w:val="subscript"/>
        </w:rPr>
        <w:t>2</w:t>
      </w:r>
      <w:r>
        <w:t>, but exclude transport and storage costs.</w:t>
      </w:r>
    </w:p>
    <w:p w:rsidR="00653055" w:rsidRDefault="00653055" w:rsidP="00653055">
      <w:pPr>
        <w:pStyle w:val="BodyText"/>
      </w:pPr>
      <w:r>
        <w:t xml:space="preserve">ACIL </w:t>
      </w:r>
      <w:r w:rsidR="004F6D61">
        <w:t>Allen</w:t>
      </w:r>
      <w:r>
        <w:t xml:space="preserve"> has proposed some minor modifications to base capital costs for a number of selected technologies where it has direct recent experience with actual proposed projects in Australia. </w:t>
      </w:r>
      <w:r w:rsidR="00450552">
        <w:fldChar w:fldCharType="begin"/>
      </w:r>
      <w:r w:rsidR="00450552">
        <w:instrText xml:space="preserve"> REF _Ref365543228 \h </w:instrText>
      </w:r>
      <w:r w:rsidR="00450552">
        <w:fldChar w:fldCharType="separate"/>
      </w:r>
      <w:r w:rsidR="00660A8E">
        <w:t xml:space="preserve">Figure </w:t>
      </w:r>
      <w:r w:rsidR="00660A8E">
        <w:rPr>
          <w:noProof/>
        </w:rPr>
        <w:t>3</w:t>
      </w:r>
      <w:r w:rsidR="00450552">
        <w:fldChar w:fldCharType="end"/>
      </w:r>
      <w:r>
        <w:t xml:space="preserve"> shows a comparison of the proposed capital cost figures against those within the AETA 2012 study.</w:t>
      </w:r>
    </w:p>
    <w:p w:rsidR="00653055" w:rsidRDefault="00653055" w:rsidP="00653055">
      <w:pPr>
        <w:pStyle w:val="BodyText"/>
      </w:pPr>
      <w:r>
        <w:t>Modifications to the base capital costs were made for the following technologies:</w:t>
      </w:r>
    </w:p>
    <w:p w:rsidR="00653055" w:rsidRDefault="00653055" w:rsidP="00653055">
      <w:pPr>
        <w:pStyle w:val="ListBullet"/>
        <w:spacing w:before="80" w:after="0"/>
      </w:pPr>
      <w:r>
        <w:lastRenderedPageBreak/>
        <w:t>Natural gas-fired CCGT (7% higher)</w:t>
      </w:r>
    </w:p>
    <w:p w:rsidR="00653055" w:rsidRDefault="00653055" w:rsidP="00653055">
      <w:pPr>
        <w:pStyle w:val="ListBullet"/>
        <w:spacing w:before="80" w:after="0"/>
      </w:pPr>
      <w:r>
        <w:t>Natural gas-fired OCGT (12% higher)</w:t>
      </w:r>
    </w:p>
    <w:p w:rsidR="00653055" w:rsidRDefault="00653055" w:rsidP="00653055">
      <w:pPr>
        <w:pStyle w:val="ListBullet"/>
        <w:spacing w:before="80" w:after="0"/>
      </w:pPr>
      <w:r>
        <w:t>Solar PV (20% lower) including corresponding changes to tracking options</w:t>
      </w:r>
    </w:p>
    <w:p w:rsidR="00653055" w:rsidRDefault="00653055" w:rsidP="00653055">
      <w:pPr>
        <w:pStyle w:val="ListBullet"/>
        <w:spacing w:before="80" w:after="0"/>
      </w:pPr>
      <w:r>
        <w:t>Onshore wind (9% lower).</w:t>
      </w:r>
    </w:p>
    <w:p w:rsidR="00631C08" w:rsidRDefault="00631C08" w:rsidP="001B52A9">
      <w:pPr>
        <w:pStyle w:val="BodyText"/>
      </w:pPr>
      <w:r>
        <w:t xml:space="preserve">Biomass technologies were not adopted as a new entrant in the modelling, despite being included in the AETA study, due to the miscellaneous nature of the fuel resource for biomass generation and the associated variation in generation costs. In a long-term planning modelling exercise of the type used here, capturing such variety would require applying strict uptake limitations on lower-cost biomass </w:t>
      </w:r>
      <w:r w:rsidR="00D23978">
        <w:t>options</w:t>
      </w:r>
      <w:r>
        <w:t xml:space="preserve">, and the appropriate limits are, in turn, quite uncertain. Given this, for simplicity, this class of generation was not included in the wholesale market modelling. Existing bagasse, landfill gas and other biomass generation was incorporated as embedded generation (see section </w:t>
      </w:r>
      <w:r>
        <w:fldChar w:fldCharType="begin"/>
      </w:r>
      <w:r>
        <w:instrText xml:space="preserve"> REF _Ref365560785 \n \h </w:instrText>
      </w:r>
      <w:r>
        <w:fldChar w:fldCharType="separate"/>
      </w:r>
      <w:r w:rsidR="00660A8E">
        <w:t>3.8</w:t>
      </w:r>
      <w:r>
        <w:fldChar w:fldCharType="end"/>
      </w:r>
      <w:r>
        <w:t>).</w:t>
      </w:r>
    </w:p>
    <w:p w:rsidR="00870E54" w:rsidRDefault="00870E54" w:rsidP="00870E54">
      <w:pPr>
        <w:pStyle w:val="BodyText"/>
      </w:pPr>
      <w:r>
        <w:t xml:space="preserve">Hydro-electric generation is not included as a model as a new entrant technology. This reflects the fact that few commercially viable large-scale hydro-electric sites remain in Australia for exploitation. </w:t>
      </w:r>
    </w:p>
    <w:p w:rsidR="00653055" w:rsidRDefault="00653055" w:rsidP="00653055">
      <w:pPr>
        <w:pStyle w:val="Caption"/>
        <w:ind w:left="-1843"/>
      </w:pPr>
      <w:bookmarkStart w:id="72" w:name="_Ref365543228"/>
      <w:bookmarkStart w:id="73" w:name="_Toc370394673"/>
      <w:r>
        <w:t xml:space="preserve">Figure </w:t>
      </w:r>
      <w:fldSimple w:instr=" SEQ Figure \* ARABIC ">
        <w:r w:rsidR="00660A8E">
          <w:rPr>
            <w:noProof/>
          </w:rPr>
          <w:t>3</w:t>
        </w:r>
      </w:fldSimple>
      <w:bookmarkEnd w:id="72"/>
      <w:r w:rsidRPr="004E0C91">
        <w:rPr>
          <w:b/>
          <w:color w:val="000080"/>
        </w:rPr>
        <w:tab/>
      </w:r>
      <w:r w:rsidRPr="00653055">
        <w:rPr>
          <w:rStyle w:val="CaptionLabel"/>
        </w:rPr>
        <w:t>Base capital cost comparison with AETA 2012</w:t>
      </w:r>
      <w:bookmarkEnd w:id="73"/>
    </w:p>
    <w:tbl>
      <w:tblPr>
        <w:tblW w:w="6922" w:type="pct"/>
        <w:tblInd w:w="-283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0206"/>
      </w:tblGrid>
      <w:tr w:rsidR="00653055" w:rsidTr="00653055">
        <w:trPr>
          <w:cantSplit/>
        </w:trPr>
        <w:tc>
          <w:tcPr>
            <w:tcW w:w="5000" w:type="pct"/>
          </w:tcPr>
          <w:p w:rsidR="00653055" w:rsidRDefault="00653055" w:rsidP="00E63457">
            <w:pPr>
              <w:pStyle w:val="SmallDeltasRightAligned"/>
              <w:keepNext/>
            </w:pPr>
            <w:r>
              <w:rPr>
                <w:noProof/>
                <w:lang w:eastAsia="en-AU"/>
              </w:rPr>
              <w:drawing>
                <wp:inline distT="0" distB="0" distL="0" distR="0" wp14:anchorId="29E3CC04" wp14:editId="23168E2C">
                  <wp:extent cx="481585" cy="2346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653055" w:rsidTr="003E7873">
        <w:tblPrEx>
          <w:tblCellMar>
            <w:left w:w="108" w:type="dxa"/>
            <w:right w:w="108" w:type="dxa"/>
          </w:tblCellMar>
        </w:tblPrEx>
        <w:trPr>
          <w:cantSplit/>
        </w:trPr>
        <w:tc>
          <w:tcPr>
            <w:tcW w:w="5000" w:type="pct"/>
          </w:tcPr>
          <w:p w:rsidR="00653055" w:rsidRDefault="003E7873" w:rsidP="00E63457">
            <w:pPr>
              <w:pStyle w:val="Figure"/>
            </w:pPr>
            <w:r>
              <w:rPr>
                <w:noProof/>
                <w:lang w:eastAsia="en-AU"/>
              </w:rPr>
              <w:drawing>
                <wp:inline distT="0" distB="0" distL="0" distR="0" wp14:anchorId="3358E3DC" wp14:editId="742A3966">
                  <wp:extent cx="5943600" cy="2999105"/>
                  <wp:effectExtent l="0" t="0" r="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653055" w:rsidRDefault="00653055" w:rsidP="00653055">
      <w:pPr>
        <w:pStyle w:val="Source"/>
        <w:ind w:left="-2835"/>
      </w:pPr>
      <w:r>
        <w:t>S</w:t>
      </w:r>
      <w:r w:rsidRPr="00B50A1B">
        <w:t>ource:</w:t>
      </w:r>
      <w:r w:rsidRPr="00954EED">
        <w:t xml:space="preserve"> </w:t>
      </w:r>
      <w:r w:rsidRPr="00653055">
        <w:t xml:space="preserve">ACIL </w:t>
      </w:r>
      <w:r>
        <w:t>Allen</w:t>
      </w:r>
      <w:r w:rsidRPr="00653055">
        <w:t xml:space="preserve">, </w:t>
      </w:r>
      <w:r w:rsidR="0062418D">
        <w:t>BREE</w:t>
      </w:r>
    </w:p>
    <w:p w:rsidR="00FD48FC" w:rsidRDefault="00FD48FC" w:rsidP="00FD48FC">
      <w:pPr>
        <w:pStyle w:val="Caption"/>
        <w:ind w:left="-1843"/>
      </w:pPr>
      <w:bookmarkStart w:id="74" w:name="_Ref365543219"/>
      <w:bookmarkStart w:id="75" w:name="_Toc370394745"/>
      <w:r>
        <w:t xml:space="preserve">Table </w:t>
      </w:r>
      <w:fldSimple w:instr=" SEQ Table \* MERGEFORMAT ">
        <w:r w:rsidR="00660A8E">
          <w:rPr>
            <w:noProof/>
          </w:rPr>
          <w:t>3</w:t>
        </w:r>
      </w:fldSimple>
      <w:bookmarkEnd w:id="74"/>
      <w:r w:rsidRPr="00FD48FC">
        <w:rPr>
          <w:b/>
          <w:color w:val="000000"/>
        </w:rPr>
        <w:tab/>
        <w:t>Base capital costs and cost component splits</w:t>
      </w:r>
      <w:bookmarkEnd w:id="75"/>
    </w:p>
    <w:tbl>
      <w:tblPr>
        <w:tblW w:w="10206" w:type="dxa"/>
        <w:tblInd w:w="-2693" w:type="dxa"/>
        <w:tblBorders>
          <w:bottom w:val="single" w:sz="2" w:space="0" w:color="C0C0C0"/>
          <w:insideH w:val="single" w:sz="2" w:space="0" w:color="C0C0C0"/>
        </w:tblBorders>
        <w:tblLayout w:type="fixed"/>
        <w:tblCellMar>
          <w:left w:w="142" w:type="dxa"/>
          <w:right w:w="56" w:type="dxa"/>
        </w:tblCellMar>
        <w:tblLook w:val="04A0" w:firstRow="1" w:lastRow="0" w:firstColumn="1" w:lastColumn="0" w:noHBand="0" w:noVBand="1"/>
      </w:tblPr>
      <w:tblGrid>
        <w:gridCol w:w="1300"/>
        <w:gridCol w:w="2811"/>
        <w:gridCol w:w="1530"/>
        <w:gridCol w:w="1163"/>
        <w:gridCol w:w="1134"/>
        <w:gridCol w:w="1134"/>
        <w:gridCol w:w="1134"/>
      </w:tblGrid>
      <w:tr w:rsidR="00FD48FC" w:rsidRPr="00FD48FC" w:rsidTr="00FD48FC">
        <w:trPr>
          <w:cantSplit/>
          <w:trHeight w:val="675"/>
          <w:tblHeader/>
        </w:trPr>
        <w:tc>
          <w:tcPr>
            <w:tcW w:w="1300" w:type="dxa"/>
            <w:tcBorders>
              <w:top w:val="nil"/>
            </w:tcBorders>
            <w:shd w:val="solid" w:color="9757A6" w:fill="D9D9D9"/>
            <w:vAlign w:val="center"/>
            <w:hideMark/>
          </w:tcPr>
          <w:p w:rsidR="00FD48FC" w:rsidRPr="00FD48FC" w:rsidRDefault="00FD48FC" w:rsidP="00FD48FC">
            <w:pPr>
              <w:pStyle w:val="Tablecolumnheadings"/>
              <w:keepNext w:val="0"/>
              <w:rPr>
                <w:sz w:val="12"/>
                <w:szCs w:val="12"/>
                <w:lang w:eastAsia="en-AU"/>
              </w:rPr>
            </w:pPr>
            <w:r w:rsidRPr="00FD48FC">
              <w:rPr>
                <w:sz w:val="12"/>
                <w:szCs w:val="12"/>
                <w:lang w:eastAsia="en-AU"/>
              </w:rPr>
              <w:t>Category</w:t>
            </w:r>
          </w:p>
        </w:tc>
        <w:tc>
          <w:tcPr>
            <w:tcW w:w="2811" w:type="dxa"/>
            <w:tcBorders>
              <w:top w:val="nil"/>
            </w:tcBorders>
            <w:shd w:val="solid" w:color="9757A6" w:fill="D9D9D9"/>
            <w:vAlign w:val="center"/>
            <w:hideMark/>
          </w:tcPr>
          <w:p w:rsidR="00FD48FC" w:rsidRPr="00FD48FC" w:rsidRDefault="00FD48FC" w:rsidP="00FD48FC">
            <w:pPr>
              <w:pStyle w:val="Tablecolumnheadings"/>
              <w:keepNext w:val="0"/>
              <w:rPr>
                <w:sz w:val="12"/>
                <w:szCs w:val="12"/>
                <w:lang w:eastAsia="en-AU"/>
              </w:rPr>
            </w:pPr>
            <w:r w:rsidRPr="00FD48FC">
              <w:rPr>
                <w:sz w:val="12"/>
                <w:szCs w:val="12"/>
                <w:lang w:eastAsia="en-AU"/>
              </w:rPr>
              <w:t>Technology</w:t>
            </w:r>
          </w:p>
        </w:tc>
        <w:tc>
          <w:tcPr>
            <w:tcW w:w="1530" w:type="dxa"/>
            <w:tcBorders>
              <w:top w:val="nil"/>
            </w:tcBorders>
            <w:shd w:val="solid" w:color="9757A6" w:fill="D9D9D9"/>
            <w:vAlign w:val="center"/>
            <w:hideMark/>
          </w:tcPr>
          <w:p w:rsidR="00FD48FC" w:rsidRPr="00FD48FC" w:rsidRDefault="00FD48FC" w:rsidP="00FD48FC">
            <w:pPr>
              <w:pStyle w:val="Tablecolumnheadings"/>
              <w:keepNext w:val="0"/>
              <w:jc w:val="center"/>
              <w:rPr>
                <w:sz w:val="12"/>
                <w:szCs w:val="12"/>
                <w:lang w:eastAsia="en-AU"/>
              </w:rPr>
            </w:pPr>
            <w:r w:rsidRPr="00FD48FC">
              <w:rPr>
                <w:sz w:val="12"/>
                <w:szCs w:val="12"/>
                <w:lang w:eastAsia="en-AU"/>
              </w:rPr>
              <w:t>2011-12 Base capital cost (2011-12 A$/kW installed)</w:t>
            </w:r>
          </w:p>
        </w:tc>
        <w:tc>
          <w:tcPr>
            <w:tcW w:w="1163" w:type="dxa"/>
            <w:tcBorders>
              <w:top w:val="nil"/>
            </w:tcBorders>
            <w:shd w:val="solid" w:color="9757A6" w:fill="D9D9D9"/>
            <w:vAlign w:val="center"/>
            <w:hideMark/>
          </w:tcPr>
          <w:p w:rsidR="00FD48FC" w:rsidRPr="00FD48FC" w:rsidRDefault="00FD48FC" w:rsidP="00FD48FC">
            <w:pPr>
              <w:pStyle w:val="Tablecolumnheadings"/>
              <w:keepNext w:val="0"/>
              <w:jc w:val="center"/>
              <w:rPr>
                <w:sz w:val="12"/>
                <w:szCs w:val="12"/>
                <w:lang w:eastAsia="en-AU"/>
              </w:rPr>
            </w:pPr>
            <w:r w:rsidRPr="00FD48FC">
              <w:rPr>
                <w:sz w:val="12"/>
                <w:szCs w:val="12"/>
                <w:lang w:eastAsia="en-AU"/>
              </w:rPr>
              <w:t>2011-12 Base capital cost (A$/kW net)</w:t>
            </w:r>
          </w:p>
        </w:tc>
        <w:tc>
          <w:tcPr>
            <w:tcW w:w="1134" w:type="dxa"/>
            <w:tcBorders>
              <w:top w:val="nil"/>
            </w:tcBorders>
            <w:shd w:val="solid" w:color="9757A6" w:fill="D9D9D9"/>
            <w:vAlign w:val="center"/>
            <w:hideMark/>
          </w:tcPr>
          <w:p w:rsidR="00FD48FC" w:rsidRPr="00FD48FC" w:rsidRDefault="00FD48FC" w:rsidP="00FD48FC">
            <w:pPr>
              <w:pStyle w:val="Tablecolumnheadings"/>
              <w:keepNext w:val="0"/>
              <w:jc w:val="center"/>
              <w:rPr>
                <w:sz w:val="12"/>
                <w:szCs w:val="12"/>
                <w:lang w:eastAsia="en-AU"/>
              </w:rPr>
            </w:pPr>
            <w:r w:rsidRPr="00FD48FC">
              <w:rPr>
                <w:sz w:val="12"/>
                <w:szCs w:val="12"/>
                <w:lang w:eastAsia="en-AU"/>
              </w:rPr>
              <w:t>Labour</w:t>
            </w:r>
          </w:p>
        </w:tc>
        <w:tc>
          <w:tcPr>
            <w:tcW w:w="1134" w:type="dxa"/>
            <w:tcBorders>
              <w:top w:val="nil"/>
            </w:tcBorders>
            <w:shd w:val="solid" w:color="9757A6" w:fill="D9D9D9"/>
            <w:vAlign w:val="center"/>
            <w:hideMark/>
          </w:tcPr>
          <w:p w:rsidR="00FD48FC" w:rsidRPr="00FD48FC" w:rsidRDefault="00FD48FC" w:rsidP="00FD48FC">
            <w:pPr>
              <w:pStyle w:val="Tablecolumnheadings"/>
              <w:keepNext w:val="0"/>
              <w:jc w:val="center"/>
              <w:rPr>
                <w:sz w:val="12"/>
                <w:szCs w:val="12"/>
                <w:lang w:eastAsia="en-AU"/>
              </w:rPr>
            </w:pPr>
            <w:r w:rsidRPr="00FD48FC">
              <w:rPr>
                <w:sz w:val="12"/>
                <w:szCs w:val="12"/>
                <w:lang w:eastAsia="en-AU"/>
              </w:rPr>
              <w:t>Foreign equipment and commodities</w:t>
            </w:r>
          </w:p>
        </w:tc>
        <w:tc>
          <w:tcPr>
            <w:tcW w:w="1134" w:type="dxa"/>
            <w:tcBorders>
              <w:top w:val="nil"/>
            </w:tcBorders>
            <w:shd w:val="solid" w:color="9757A6" w:fill="D9D9D9"/>
            <w:vAlign w:val="center"/>
            <w:hideMark/>
          </w:tcPr>
          <w:p w:rsidR="00FD48FC" w:rsidRPr="00FD48FC" w:rsidRDefault="00FD48FC" w:rsidP="00FD48FC">
            <w:pPr>
              <w:pStyle w:val="Tablecolumnheadings"/>
              <w:keepNext w:val="0"/>
              <w:jc w:val="center"/>
              <w:rPr>
                <w:sz w:val="12"/>
                <w:szCs w:val="12"/>
                <w:lang w:eastAsia="en-AU"/>
              </w:rPr>
            </w:pPr>
            <w:r w:rsidRPr="00FD48FC">
              <w:rPr>
                <w:sz w:val="12"/>
                <w:szCs w:val="12"/>
                <w:lang w:eastAsia="en-AU"/>
              </w:rPr>
              <w:t>Local equipment and commodities</w:t>
            </w:r>
          </w:p>
        </w:tc>
      </w:tr>
      <w:tr w:rsidR="00FD48FC" w:rsidRPr="00FD48FC" w:rsidTr="00FD48FC">
        <w:trPr>
          <w:cantSplit/>
          <w:trHeight w:val="225"/>
        </w:trPr>
        <w:tc>
          <w:tcPr>
            <w:tcW w:w="1300" w:type="dxa"/>
            <w:vMerge w:val="restart"/>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Coal</w:t>
            </w: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PC Supercritical – Brown Coal</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3,451</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3,788</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29%</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38%</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33%</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PC Supercritical Black Coal</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2,974</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3,124</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39%</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31%</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PC Supercritical Black Coal (SWIS Scale)</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3,192</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3,381</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31%</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40%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29%</w:t>
            </w:r>
          </w:p>
        </w:tc>
      </w:tr>
      <w:tr w:rsidR="00FD48FC" w:rsidRPr="00FD48FC" w:rsidTr="00FD48FC">
        <w:trPr>
          <w:cantSplit/>
          <w:trHeight w:val="225"/>
        </w:trPr>
        <w:tc>
          <w:tcPr>
            <w:tcW w:w="1300" w:type="dxa"/>
            <w:vMerge w:val="restart"/>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Natural gas</w:t>
            </w: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CCGT</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1,100</w:t>
            </w:r>
            <w:r w:rsidRPr="00FD48FC">
              <w:rPr>
                <w:rStyle w:val="Notelabel"/>
                <w:rFonts w:eastAsia="Calibri"/>
                <w:b w:val="0"/>
                <w:sz w:val="12"/>
                <w:szCs w:val="12"/>
              </w:rPr>
              <w:t>a</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1,127</w:t>
            </w:r>
            <w:r w:rsidRPr="00FD48FC">
              <w:rPr>
                <w:rStyle w:val="Notelabel"/>
                <w:rFonts w:eastAsia="Calibri"/>
                <w:b w:val="0"/>
                <w:sz w:val="12"/>
                <w:szCs w:val="12"/>
              </w:rPr>
              <w:t>a</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26%</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56%</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18%</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CCGT SWIS Scale</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1,078</w:t>
            </w:r>
            <w:r w:rsidRPr="00FD48FC">
              <w:rPr>
                <w:rStyle w:val="Notelabel"/>
                <w:rFonts w:eastAsia="Calibri"/>
                <w:b w:val="0"/>
                <w:sz w:val="12"/>
                <w:szCs w:val="12"/>
              </w:rPr>
              <w:t>a</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1,111</w:t>
            </w:r>
            <w:r w:rsidRPr="00FD48FC">
              <w:rPr>
                <w:rStyle w:val="Notelabel"/>
                <w:rFonts w:eastAsia="Calibri"/>
                <w:b w:val="0"/>
                <w:sz w:val="12"/>
                <w:szCs w:val="12"/>
              </w:rPr>
              <w:t>a</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26%</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56%</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18%</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OCGT</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800</w:t>
            </w:r>
            <w:r w:rsidRPr="00FD48FC">
              <w:rPr>
                <w:rStyle w:val="Notelabel"/>
                <w:rFonts w:eastAsia="Calibri"/>
                <w:b w:val="0"/>
                <w:sz w:val="12"/>
                <w:szCs w:val="12"/>
              </w:rPr>
              <w:t>a</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808</w:t>
            </w:r>
            <w:r w:rsidRPr="00FD48FC">
              <w:rPr>
                <w:rStyle w:val="Notelabel"/>
                <w:rFonts w:eastAsia="Calibri"/>
                <w:b w:val="0"/>
                <w:sz w:val="12"/>
                <w:szCs w:val="12"/>
              </w:rPr>
              <w:t>a</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11%</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79%</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10%</w:t>
            </w:r>
          </w:p>
        </w:tc>
      </w:tr>
      <w:tr w:rsidR="00FD48FC" w:rsidRPr="00FD48FC" w:rsidTr="00FD48FC">
        <w:trPr>
          <w:cantSplit/>
          <w:trHeight w:val="225"/>
        </w:trPr>
        <w:tc>
          <w:tcPr>
            <w:tcW w:w="1300" w:type="dxa"/>
            <w:vMerge w:val="restart"/>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Solar</w:t>
            </w: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CLFR</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4,802</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5,220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25%</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CLFR with storage</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8,550</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9,500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20%</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Parabolic trough</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4,526</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4,920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25%</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Parabolic trough with storage</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8,055</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8,950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20%</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Central Receiver</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5,570</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5,900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15%</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Central Receiver with storage</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7,477</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8,308</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20%</w:t>
            </w:r>
          </w:p>
        </w:tc>
      </w:tr>
      <w:tr w:rsidR="00FD48FC" w:rsidRPr="00FD48FC" w:rsidTr="00FD48FC">
        <w:trPr>
          <w:cantSplit/>
          <w:trHeight w:val="225"/>
        </w:trPr>
        <w:tc>
          <w:tcPr>
            <w:tcW w:w="1300" w:type="dxa"/>
            <w:vMerge w:val="restart"/>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Solar PV</w:t>
            </w: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Solar PV fixed</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2,700</w:t>
            </w:r>
            <w:r w:rsidRPr="00FD48FC">
              <w:rPr>
                <w:rStyle w:val="Notelabel"/>
                <w:rFonts w:eastAsia="Calibri"/>
                <w:b w:val="0"/>
                <w:sz w:val="12"/>
                <w:szCs w:val="12"/>
              </w:rPr>
              <w:t>a</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2,700</w:t>
            </w:r>
            <w:r w:rsidRPr="00FD48FC">
              <w:rPr>
                <w:rStyle w:val="Notelabel"/>
                <w:rFonts w:eastAsia="Calibri"/>
                <w:b w:val="0"/>
                <w:sz w:val="12"/>
                <w:szCs w:val="12"/>
              </w:rPr>
              <w:t>a</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70%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15%</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Solar PV single axis tracking</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3,180</w:t>
            </w:r>
            <w:r w:rsidRPr="00FD48FC">
              <w:rPr>
                <w:rStyle w:val="Notelabel"/>
                <w:rFonts w:eastAsia="Calibri"/>
                <w:b w:val="0"/>
                <w:sz w:val="12"/>
                <w:szCs w:val="12"/>
              </w:rPr>
              <w:t>a</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3,180</w:t>
            </w:r>
            <w:r w:rsidRPr="00FD48FC">
              <w:rPr>
                <w:rStyle w:val="Notelabel"/>
                <w:rFonts w:eastAsia="Calibri"/>
                <w:b w:val="0"/>
                <w:sz w:val="12"/>
                <w:szCs w:val="12"/>
              </w:rPr>
              <w:t xml:space="preserve"> a</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70%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15%</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Solar PV dual axis tracking</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4,730</w:t>
            </w:r>
            <w:r w:rsidRPr="00FD48FC">
              <w:rPr>
                <w:rStyle w:val="Notelabel"/>
                <w:rFonts w:eastAsia="Calibri"/>
                <w:b w:val="0"/>
                <w:sz w:val="12"/>
                <w:szCs w:val="12"/>
              </w:rPr>
              <w:t>a</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4,730</w:t>
            </w:r>
            <w:r w:rsidRPr="00FD48FC">
              <w:rPr>
                <w:rStyle w:val="Notelabel"/>
                <w:rFonts w:eastAsia="Calibri"/>
                <w:b w:val="0"/>
                <w:sz w:val="12"/>
                <w:szCs w:val="12"/>
              </w:rPr>
              <w:t>a</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70%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15%</w:t>
            </w:r>
          </w:p>
        </w:tc>
      </w:tr>
      <w:tr w:rsidR="00FD48FC" w:rsidRPr="00FD48FC" w:rsidTr="00FD48FC">
        <w:trPr>
          <w:cantSplit/>
          <w:trHeight w:val="225"/>
        </w:trPr>
        <w:tc>
          <w:tcPr>
            <w:tcW w:w="1300"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Wind</w:t>
            </w: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On-shore Wind Farm</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2,300</w:t>
            </w:r>
            <w:r w:rsidRPr="00FD48FC">
              <w:rPr>
                <w:rStyle w:val="Notelabel"/>
                <w:rFonts w:eastAsia="Calibri"/>
                <w:b w:val="0"/>
                <w:sz w:val="12"/>
                <w:szCs w:val="12"/>
              </w:rPr>
              <w:t>a</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2,312</w:t>
            </w:r>
            <w:r w:rsidRPr="00FD48FC">
              <w:rPr>
                <w:rStyle w:val="Notelabel"/>
                <w:rFonts w:eastAsia="Calibri"/>
                <w:b w:val="0"/>
                <w:sz w:val="12"/>
                <w:szCs w:val="12"/>
              </w:rPr>
              <w:t>a</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72%</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13%</w:t>
            </w:r>
          </w:p>
        </w:tc>
      </w:tr>
      <w:tr w:rsidR="00FD48FC" w:rsidRPr="00FD48FC" w:rsidTr="00FD48FC">
        <w:trPr>
          <w:cantSplit/>
          <w:trHeight w:val="225"/>
        </w:trPr>
        <w:tc>
          <w:tcPr>
            <w:tcW w:w="1300"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Wave</w:t>
            </w: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Ocean/Wave</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5,900</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5,900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40%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30%</w:t>
            </w:r>
          </w:p>
        </w:tc>
      </w:tr>
      <w:tr w:rsidR="00FD48FC" w:rsidRPr="00FD48FC" w:rsidTr="00FD48FC">
        <w:trPr>
          <w:cantSplit/>
          <w:trHeight w:val="225"/>
        </w:trPr>
        <w:tc>
          <w:tcPr>
            <w:tcW w:w="1300" w:type="dxa"/>
            <w:vMerge w:val="restart"/>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Geothermal</w:t>
            </w: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Geothermal HSA</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6,300</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7,000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34%</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23%</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43%</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Geothermal EGS</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9,646</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10,600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37%</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17%</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46%</w:t>
            </w:r>
          </w:p>
        </w:tc>
      </w:tr>
      <w:tr w:rsidR="00FD48FC" w:rsidRPr="00FD48FC" w:rsidTr="00FD48FC">
        <w:trPr>
          <w:cantSplit/>
          <w:trHeight w:val="225"/>
        </w:trPr>
        <w:tc>
          <w:tcPr>
            <w:tcW w:w="1300" w:type="dxa"/>
            <w:vMerge w:val="restart"/>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CCS</w:t>
            </w: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PC Supercritical with CCS – Brown Coal</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5,902</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7,766</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29%</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36%</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PC Supercritical with CCS – Bituminous Coal</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4,559</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5,434</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29%</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36%</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PC Oxy Combustion Supercritical with CCS</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4,274</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5,776</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33%</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32%</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CCGT with CCS</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2,495</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2,772</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19%</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67%</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14%</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IGCC with CCS – Bituminous Coal</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4,984</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7,330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27%</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52%</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21%</w:t>
            </w:r>
          </w:p>
        </w:tc>
      </w:tr>
      <w:tr w:rsidR="00FD48FC" w:rsidRPr="00FD48FC" w:rsidTr="00FD48FC">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IGCC with CCS – Brown Coal</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5,083</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8,616</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27%</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52%</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21%</w:t>
            </w:r>
          </w:p>
        </w:tc>
      </w:tr>
      <w:tr w:rsidR="00FD48FC" w:rsidRPr="00FD48FC" w:rsidTr="00FD48FC">
        <w:trPr>
          <w:cantSplit/>
          <w:trHeight w:val="225"/>
        </w:trPr>
        <w:tc>
          <w:tcPr>
            <w:tcW w:w="1300" w:type="dxa"/>
            <w:vMerge w:val="restart"/>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CCS retrofit</w:t>
            </w:r>
          </w:p>
        </w:tc>
        <w:tc>
          <w:tcPr>
            <w:tcW w:w="2811" w:type="dxa"/>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PC Subcritical Brown Coal - Retrofit CCS</w:t>
            </w:r>
          </w:p>
        </w:tc>
        <w:tc>
          <w:tcPr>
            <w:tcW w:w="1530"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2,493</w:t>
            </w:r>
          </w:p>
        </w:tc>
        <w:tc>
          <w:tcPr>
            <w:tcW w:w="1163"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3,945</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30%</w:t>
            </w:r>
          </w:p>
        </w:tc>
        <w:tc>
          <w:tcPr>
            <w:tcW w:w="1134" w:type="dxa"/>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40%</w:t>
            </w:r>
          </w:p>
        </w:tc>
      </w:tr>
      <w:tr w:rsidR="00FD48FC" w:rsidRPr="00FD48FC" w:rsidTr="00E63457">
        <w:trPr>
          <w:cantSplit/>
          <w:trHeight w:val="225"/>
        </w:trPr>
        <w:tc>
          <w:tcPr>
            <w:tcW w:w="1300" w:type="dxa"/>
            <w:vMerge/>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tcBorders>
              <w:bottom w:val="single" w:sz="2" w:space="0" w:color="C0C0C0"/>
            </w:tcBorders>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PC Subcritical Black Coal - Retrofit CCS</w:t>
            </w:r>
          </w:p>
        </w:tc>
        <w:tc>
          <w:tcPr>
            <w:tcW w:w="1530" w:type="dxa"/>
            <w:tcBorders>
              <w:bottom w:val="single" w:sz="2" w:space="0" w:color="C0C0C0"/>
            </w:tcBorders>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1,611</w:t>
            </w:r>
          </w:p>
        </w:tc>
        <w:tc>
          <w:tcPr>
            <w:tcW w:w="1163" w:type="dxa"/>
            <w:tcBorders>
              <w:bottom w:val="single" w:sz="2" w:space="0" w:color="C0C0C0"/>
            </w:tcBorders>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2,244</w:t>
            </w:r>
          </w:p>
        </w:tc>
        <w:tc>
          <w:tcPr>
            <w:tcW w:w="1134" w:type="dxa"/>
            <w:tcBorders>
              <w:bottom w:val="single" w:sz="2" w:space="0" w:color="C0C0C0"/>
            </w:tcBorders>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30%</w:t>
            </w:r>
          </w:p>
        </w:tc>
        <w:tc>
          <w:tcPr>
            <w:tcW w:w="1134" w:type="dxa"/>
            <w:tcBorders>
              <w:bottom w:val="single" w:sz="2" w:space="0" w:color="C0C0C0"/>
            </w:tcBorders>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30%</w:t>
            </w:r>
          </w:p>
        </w:tc>
        <w:tc>
          <w:tcPr>
            <w:tcW w:w="1134" w:type="dxa"/>
            <w:tcBorders>
              <w:bottom w:val="single" w:sz="2" w:space="0" w:color="C0C0C0"/>
            </w:tcBorders>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40%</w:t>
            </w:r>
          </w:p>
        </w:tc>
      </w:tr>
      <w:tr w:rsidR="00FD48FC" w:rsidRPr="00FD48FC" w:rsidTr="00E63457">
        <w:trPr>
          <w:cantSplit/>
          <w:trHeight w:val="225"/>
        </w:trPr>
        <w:tc>
          <w:tcPr>
            <w:tcW w:w="1300" w:type="dxa"/>
            <w:vMerge/>
            <w:tcBorders>
              <w:bottom w:val="single" w:sz="2" w:space="0" w:color="999999"/>
            </w:tcBorders>
            <w:shd w:val="clear" w:color="auto" w:fill="auto"/>
            <w:noWrap/>
            <w:vAlign w:val="center"/>
            <w:hideMark/>
          </w:tcPr>
          <w:p w:rsidR="00FD48FC" w:rsidRPr="00FD48FC" w:rsidRDefault="00FD48FC" w:rsidP="00FD48FC">
            <w:pPr>
              <w:pStyle w:val="Tabletext"/>
              <w:keepNext w:val="0"/>
              <w:rPr>
                <w:sz w:val="12"/>
                <w:szCs w:val="12"/>
                <w:lang w:eastAsia="en-AU"/>
              </w:rPr>
            </w:pPr>
          </w:p>
        </w:tc>
        <w:tc>
          <w:tcPr>
            <w:tcW w:w="2811" w:type="dxa"/>
            <w:tcBorders>
              <w:top w:val="single" w:sz="2" w:space="0" w:color="C0C0C0"/>
              <w:bottom w:val="single" w:sz="2" w:space="0" w:color="999999"/>
            </w:tcBorders>
            <w:shd w:val="clear" w:color="auto" w:fill="auto"/>
            <w:noWrap/>
            <w:vAlign w:val="center"/>
            <w:hideMark/>
          </w:tcPr>
          <w:p w:rsidR="00FD48FC" w:rsidRPr="00FD48FC" w:rsidRDefault="00FD48FC" w:rsidP="00FD48FC">
            <w:pPr>
              <w:pStyle w:val="Tabletext"/>
              <w:keepNext w:val="0"/>
              <w:rPr>
                <w:sz w:val="12"/>
                <w:szCs w:val="12"/>
                <w:lang w:eastAsia="en-AU"/>
              </w:rPr>
            </w:pPr>
            <w:r w:rsidRPr="00FD48FC">
              <w:rPr>
                <w:sz w:val="12"/>
                <w:szCs w:val="12"/>
                <w:lang w:eastAsia="en-AU"/>
              </w:rPr>
              <w:t>Existing CCGT with retrofit CCS</w:t>
            </w:r>
          </w:p>
        </w:tc>
        <w:tc>
          <w:tcPr>
            <w:tcW w:w="1530" w:type="dxa"/>
            <w:tcBorders>
              <w:top w:val="single" w:sz="2" w:space="0" w:color="C0C0C0"/>
              <w:bottom w:val="single" w:sz="2" w:space="0" w:color="999999"/>
            </w:tcBorders>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1,392</w:t>
            </w:r>
          </w:p>
        </w:tc>
        <w:tc>
          <w:tcPr>
            <w:tcW w:w="1163" w:type="dxa"/>
            <w:tcBorders>
              <w:top w:val="single" w:sz="2" w:space="0" w:color="C0C0C0"/>
              <w:bottom w:val="single" w:sz="2" w:space="0" w:color="999999"/>
            </w:tcBorders>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1,547</w:t>
            </w:r>
          </w:p>
        </w:tc>
        <w:tc>
          <w:tcPr>
            <w:tcW w:w="1134" w:type="dxa"/>
            <w:tcBorders>
              <w:top w:val="single" w:sz="2" w:space="0" w:color="C0C0C0"/>
              <w:bottom w:val="single" w:sz="2" w:space="0" w:color="999999"/>
            </w:tcBorders>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12%</w:t>
            </w:r>
          </w:p>
        </w:tc>
        <w:tc>
          <w:tcPr>
            <w:tcW w:w="1134" w:type="dxa"/>
            <w:tcBorders>
              <w:top w:val="single" w:sz="2" w:space="0" w:color="C0C0C0"/>
              <w:bottom w:val="single" w:sz="2" w:space="0" w:color="999999"/>
            </w:tcBorders>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78%</w:t>
            </w:r>
          </w:p>
        </w:tc>
        <w:tc>
          <w:tcPr>
            <w:tcW w:w="1134" w:type="dxa"/>
            <w:tcBorders>
              <w:top w:val="single" w:sz="2" w:space="0" w:color="C0C0C0"/>
              <w:bottom w:val="single" w:sz="2" w:space="0" w:color="999999"/>
            </w:tcBorders>
            <w:shd w:val="clear" w:color="auto" w:fill="auto"/>
            <w:noWrap/>
            <w:vAlign w:val="center"/>
            <w:hideMark/>
          </w:tcPr>
          <w:p w:rsidR="00FD48FC" w:rsidRPr="00FD48FC" w:rsidRDefault="00FD48FC" w:rsidP="00FD48FC">
            <w:pPr>
              <w:pStyle w:val="Tabletext"/>
              <w:keepNext w:val="0"/>
              <w:jc w:val="center"/>
              <w:rPr>
                <w:sz w:val="12"/>
                <w:szCs w:val="12"/>
                <w:lang w:eastAsia="en-AU"/>
              </w:rPr>
            </w:pPr>
            <w:r w:rsidRPr="00FD48FC">
              <w:rPr>
                <w:sz w:val="12"/>
                <w:szCs w:val="12"/>
                <w:lang w:eastAsia="en-AU"/>
              </w:rPr>
              <w:t>10%</w:t>
            </w:r>
          </w:p>
        </w:tc>
      </w:tr>
    </w:tbl>
    <w:p w:rsidR="00FD48FC" w:rsidRDefault="00FD48FC" w:rsidP="00FD48FC">
      <w:pPr>
        <w:pStyle w:val="Note"/>
        <w:ind w:left="-2835"/>
      </w:pPr>
      <w:r w:rsidRPr="00FD48FC">
        <w:rPr>
          <w:i/>
        </w:rPr>
        <w:t>Note:</w:t>
      </w:r>
      <w:r w:rsidRPr="00FD48FC">
        <w:t xml:space="preserve"> CCS capital costs are inclusive of capture, but exclude transport and storage costs. These are treated separately, as discussed in se</w:t>
      </w:r>
      <w:r>
        <w:t>ction 3.5. Real 2011-12 dollars</w:t>
      </w:r>
    </w:p>
    <w:p w:rsidR="00FD48FC" w:rsidRPr="00FD48FC" w:rsidRDefault="00FD48FC" w:rsidP="00FD48FC">
      <w:pPr>
        <w:pStyle w:val="Source"/>
        <w:pBdr>
          <w:bottom w:val="single" w:sz="2" w:space="0" w:color="C0C0C0"/>
        </w:pBdr>
        <w:ind w:left="-2835"/>
      </w:pPr>
      <w:r>
        <w:t xml:space="preserve">Source: </w:t>
      </w:r>
      <w:r w:rsidRPr="00FD48FC">
        <w:t xml:space="preserve">BREE (AETA 2012) unless marked; a indicates ACIL </w:t>
      </w:r>
      <w:r>
        <w:t>Allen</w:t>
      </w:r>
      <w:r w:rsidRPr="00FD48FC">
        <w:t xml:space="preserve"> assumption</w:t>
      </w:r>
    </w:p>
    <w:p w:rsidR="00911356" w:rsidRDefault="00911356" w:rsidP="00911356">
      <w:pPr>
        <w:pStyle w:val="Heading3"/>
        <w:numPr>
          <w:ilvl w:val="2"/>
          <w:numId w:val="48"/>
        </w:numPr>
      </w:pPr>
      <w:bookmarkStart w:id="76" w:name="_Toc365474024"/>
      <w:bookmarkStart w:id="77" w:name="_Toc370394636"/>
      <w:r>
        <w:t>Learning rates</w:t>
      </w:r>
      <w:bookmarkEnd w:id="76"/>
      <w:bookmarkEnd w:id="77"/>
    </w:p>
    <w:p w:rsidR="00911356" w:rsidRDefault="00911356" w:rsidP="00911356">
      <w:pPr>
        <w:pStyle w:val="BodyText"/>
      </w:pPr>
      <w:r>
        <w:t>Learning rates are applied to the base capital costs to reflect cost changes over time through technology and manufacturing improvements and learning by doing.</w:t>
      </w:r>
    </w:p>
    <w:p w:rsidR="00911356" w:rsidRDefault="00911356" w:rsidP="00911356">
      <w:pPr>
        <w:pStyle w:val="BodyText"/>
      </w:pPr>
      <w:r>
        <w:t xml:space="preserve">Learning rates for each major technology have been taken from CSIRO’s </w:t>
      </w:r>
      <w:r w:rsidRPr="00BE3059">
        <w:t>Global and Local Learning Model (GALLM)</w:t>
      </w:r>
      <w:r>
        <w:t xml:space="preserve"> as part of the AETA 2012 study. For some technologies differential learning rates were provided for foreign and local content components and these have been applied to the respective foreign equipment and local equipment/local labour components respectively.</w:t>
      </w:r>
    </w:p>
    <w:p w:rsidR="00911356" w:rsidRPr="00493436" w:rsidRDefault="00911356" w:rsidP="00911356">
      <w:pPr>
        <w:pStyle w:val="BodyText"/>
      </w:pPr>
      <w:r>
        <w:t xml:space="preserve">Learning rates in the GALLM model are endogenous and respond to the rate of deployment of each technology both locally and internationally. The learning rates used in deriving capital costs assumptions presented here are consistent with carbon prices and global mitigation outcomes in the Commonwealth Government’s 2011 modelling of the </w:t>
      </w:r>
      <w:r>
        <w:rPr>
          <w:i/>
        </w:rPr>
        <w:t>Clean Energy Future</w:t>
      </w:r>
      <w:r>
        <w:t xml:space="preserve">. As most learning occurs internationally rather than domestically, these rates are appropriate to both the </w:t>
      </w:r>
      <w:r w:rsidR="00D373A7">
        <w:t>No Carbon Price</w:t>
      </w:r>
      <w:r>
        <w:t xml:space="preserve"> (no local carbon price, but with international action targeting emissions stabilisation at 550 ppm), and the Central Policy scenario (with a local carbon price and the same level of international action as the No Carbon Price scenario). Higher learning rates would be expected for low-emissions technologies in the event of more ambitious global action and correspondingly faster deployment of these technologies. GALLM learning rates for a scenario consistent with a 450 ppm stabilisation target are available and will be adopted where appropriate. </w:t>
      </w:r>
    </w:p>
    <w:p w:rsidR="00911356" w:rsidRDefault="00911356" w:rsidP="00911356">
      <w:pPr>
        <w:pStyle w:val="BodyText"/>
      </w:pPr>
      <w:r>
        <w:t xml:space="preserve">A complication in this process is the adjustments made by ACIL </w:t>
      </w:r>
      <w:r w:rsidR="004F6D61">
        <w:t>Allen</w:t>
      </w:r>
      <w:r>
        <w:t xml:space="preserve"> to the base capital costs for solar PV and wind technologies from the AETA figures. As these represent a reduction in the starting base capital cost, it was decided that the learning rates should be reduced in the early years such that the capital cost for 2020 remained unchanged from the AETA work. The reported learning rates for these technologies in the period to 2020 will therefore differ due to the lower starting value.</w:t>
      </w:r>
    </w:p>
    <w:p w:rsidR="00911356" w:rsidRDefault="00450552" w:rsidP="00911356">
      <w:pPr>
        <w:pStyle w:val="BodyText"/>
      </w:pPr>
      <w:r>
        <w:lastRenderedPageBreak/>
        <w:fldChar w:fldCharType="begin"/>
      </w:r>
      <w:r>
        <w:instrText xml:space="preserve"> REF _Ref365543255 \h </w:instrText>
      </w:r>
      <w:r>
        <w:fldChar w:fldCharType="separate"/>
      </w:r>
      <w:r w:rsidR="00660A8E">
        <w:t xml:space="preserve">Table </w:t>
      </w:r>
      <w:r w:rsidR="00660A8E">
        <w:rPr>
          <w:noProof/>
        </w:rPr>
        <w:t>4</w:t>
      </w:r>
      <w:r>
        <w:fldChar w:fldCharType="end"/>
      </w:r>
      <w:r w:rsidR="00911356">
        <w:t xml:space="preserve"> presents a summary of the learning rates used from the AETA work. Where available the differentiated learning rates that apply to foreign and local components have been used within the capital cost projections.</w:t>
      </w:r>
    </w:p>
    <w:p w:rsidR="00911356" w:rsidRDefault="00911356" w:rsidP="00F25432">
      <w:pPr>
        <w:pStyle w:val="BodyText"/>
      </w:pPr>
    </w:p>
    <w:p w:rsidR="00E63457" w:rsidRDefault="00E63457" w:rsidP="00F25432">
      <w:pPr>
        <w:pStyle w:val="BodyText"/>
        <w:sectPr w:rsidR="00E63457" w:rsidSect="009318A4">
          <w:headerReference w:type="default" r:id="rId33"/>
          <w:footerReference w:type="default" r:id="rId34"/>
          <w:pgSz w:w="11907" w:h="16839" w:code="9"/>
          <w:pgMar w:top="1134" w:right="850" w:bottom="907" w:left="3118" w:header="709" w:footer="567" w:gutter="567"/>
          <w:pgNumType w:start="1"/>
          <w:cols w:space="720"/>
          <w:docGrid w:linePitch="326"/>
        </w:sectPr>
      </w:pPr>
    </w:p>
    <w:p w:rsidR="00E63457" w:rsidRDefault="00E63457" w:rsidP="00E63457">
      <w:pPr>
        <w:pStyle w:val="Caption"/>
      </w:pPr>
      <w:bookmarkStart w:id="78" w:name="_Ref365543255"/>
      <w:bookmarkStart w:id="79" w:name="_Toc370394746"/>
      <w:r>
        <w:lastRenderedPageBreak/>
        <w:t xml:space="preserve">Table </w:t>
      </w:r>
      <w:fldSimple w:instr=" SEQ Table \* MERGEFORMAT ">
        <w:r w:rsidR="00660A8E">
          <w:rPr>
            <w:noProof/>
          </w:rPr>
          <w:t>4</w:t>
        </w:r>
      </w:fldSimple>
      <w:bookmarkEnd w:id="78"/>
      <w:r w:rsidRPr="00E63457">
        <w:rPr>
          <w:b/>
          <w:color w:val="000000"/>
        </w:rPr>
        <w:tab/>
      </w:r>
      <w:r w:rsidR="00C85492" w:rsidRPr="00C85492">
        <w:rPr>
          <w:b/>
          <w:color w:val="000000"/>
        </w:rPr>
        <w:t>Learning rates from GALLM for various technologies from AETA 2012 (cost index relative to 2011-12)</w:t>
      </w:r>
      <w:bookmarkEnd w:id="79"/>
    </w:p>
    <w:tbl>
      <w:tblPr>
        <w:tblW w:w="14400" w:type="dxa"/>
        <w:tblInd w:w="28" w:type="dxa"/>
        <w:tblBorders>
          <w:bottom w:val="single" w:sz="2" w:space="0" w:color="C0C0C0"/>
          <w:insideH w:val="single" w:sz="2" w:space="0" w:color="C0C0C0"/>
        </w:tblBorders>
        <w:tblLayout w:type="fixed"/>
        <w:tblCellMar>
          <w:left w:w="142" w:type="dxa"/>
          <w:right w:w="56" w:type="dxa"/>
        </w:tblCellMar>
        <w:tblLook w:val="04A0" w:firstRow="1" w:lastRow="0" w:firstColumn="1" w:lastColumn="0" w:noHBand="0" w:noVBand="1"/>
      </w:tblPr>
      <w:tblGrid>
        <w:gridCol w:w="1180"/>
        <w:gridCol w:w="881"/>
        <w:gridCol w:w="881"/>
        <w:gridCol w:w="882"/>
        <w:gridCol w:w="881"/>
        <w:gridCol w:w="881"/>
        <w:gridCol w:w="882"/>
        <w:gridCol w:w="881"/>
        <w:gridCol w:w="882"/>
        <w:gridCol w:w="881"/>
        <w:gridCol w:w="881"/>
        <w:gridCol w:w="881"/>
        <w:gridCol w:w="881"/>
        <w:gridCol w:w="882"/>
        <w:gridCol w:w="881"/>
        <w:gridCol w:w="882"/>
      </w:tblGrid>
      <w:tr w:rsidR="006752E4" w:rsidRPr="00E63457" w:rsidTr="00631C08">
        <w:trPr>
          <w:cantSplit/>
          <w:trHeight w:val="495"/>
        </w:trPr>
        <w:tc>
          <w:tcPr>
            <w:tcW w:w="1180" w:type="dxa"/>
            <w:tcBorders>
              <w:top w:val="nil"/>
              <w:bottom w:val="single" w:sz="2" w:space="0" w:color="C0C0C0"/>
            </w:tcBorders>
            <w:shd w:val="solid" w:color="9757A6" w:fill="D9D9D9"/>
            <w:vAlign w:val="center"/>
            <w:hideMark/>
          </w:tcPr>
          <w:p w:rsidR="00631C08" w:rsidRPr="00E63457" w:rsidRDefault="00631C08" w:rsidP="00E63457">
            <w:pPr>
              <w:pStyle w:val="Tablecolumnheadings"/>
              <w:rPr>
                <w:sz w:val="12"/>
                <w:szCs w:val="12"/>
                <w:lang w:eastAsia="en-AU"/>
              </w:rPr>
            </w:pPr>
            <w:r w:rsidRPr="00E63457">
              <w:rPr>
                <w:sz w:val="12"/>
                <w:szCs w:val="12"/>
                <w:lang w:eastAsia="en-AU"/>
              </w:rPr>
              <w:t> </w:t>
            </w:r>
          </w:p>
        </w:tc>
        <w:tc>
          <w:tcPr>
            <w:tcW w:w="881" w:type="dxa"/>
            <w:tcBorders>
              <w:top w:val="nil"/>
              <w:bottom w:val="single" w:sz="2" w:space="0" w:color="C0C0C0"/>
            </w:tcBorders>
            <w:shd w:val="solid" w:color="9757A6" w:fill="D9D9D9"/>
            <w:vAlign w:val="center"/>
            <w:hideMark/>
          </w:tcPr>
          <w:p w:rsidR="00631C08" w:rsidRPr="00E63457" w:rsidRDefault="00631C08" w:rsidP="00F826ED">
            <w:pPr>
              <w:pStyle w:val="Tablecolumnheadings"/>
              <w:jc w:val="center"/>
              <w:rPr>
                <w:rFonts w:ascii="Arial" w:hAnsi="Arial"/>
                <w:sz w:val="12"/>
                <w:szCs w:val="12"/>
                <w:lang w:eastAsia="en-AU"/>
              </w:rPr>
            </w:pPr>
            <w:r w:rsidRPr="00E63457">
              <w:rPr>
                <w:rFonts w:ascii="Arial" w:hAnsi="Arial"/>
                <w:sz w:val="12"/>
                <w:szCs w:val="12"/>
                <w:lang w:eastAsia="en-AU"/>
              </w:rPr>
              <w:t>Brown coal pf</w:t>
            </w:r>
          </w:p>
        </w:tc>
        <w:tc>
          <w:tcPr>
            <w:tcW w:w="881" w:type="dxa"/>
            <w:tcBorders>
              <w:top w:val="nil"/>
              <w:bottom w:val="single" w:sz="2" w:space="0" w:color="C0C0C0"/>
            </w:tcBorders>
            <w:shd w:val="solid" w:color="9757A6" w:fill="D9D9D9"/>
            <w:vAlign w:val="center"/>
            <w:hideMark/>
          </w:tcPr>
          <w:p w:rsidR="00631C08" w:rsidRPr="00E63457" w:rsidRDefault="00631C08" w:rsidP="00F826ED">
            <w:pPr>
              <w:pStyle w:val="Tablecolumnheadings"/>
              <w:jc w:val="center"/>
              <w:rPr>
                <w:rFonts w:ascii="Arial" w:hAnsi="Arial"/>
                <w:sz w:val="12"/>
                <w:szCs w:val="12"/>
                <w:lang w:eastAsia="en-AU"/>
              </w:rPr>
            </w:pPr>
            <w:r w:rsidRPr="00E63457">
              <w:rPr>
                <w:rFonts w:ascii="Arial" w:hAnsi="Arial"/>
                <w:sz w:val="12"/>
                <w:szCs w:val="12"/>
                <w:lang w:eastAsia="en-AU"/>
              </w:rPr>
              <w:t>Brown coal IGCC</w:t>
            </w:r>
          </w:p>
        </w:tc>
        <w:tc>
          <w:tcPr>
            <w:tcW w:w="882" w:type="dxa"/>
            <w:tcBorders>
              <w:top w:val="nil"/>
              <w:bottom w:val="single" w:sz="2" w:space="0" w:color="C0C0C0"/>
            </w:tcBorders>
            <w:shd w:val="solid" w:color="9757A6" w:fill="D9D9D9"/>
            <w:vAlign w:val="center"/>
            <w:hideMark/>
          </w:tcPr>
          <w:p w:rsidR="00631C08" w:rsidRPr="00E63457" w:rsidRDefault="00631C08" w:rsidP="00F826ED">
            <w:pPr>
              <w:pStyle w:val="Tablecolumnheadings"/>
              <w:jc w:val="center"/>
              <w:rPr>
                <w:rFonts w:ascii="Arial" w:hAnsi="Arial"/>
                <w:sz w:val="12"/>
                <w:szCs w:val="12"/>
                <w:lang w:eastAsia="en-AU"/>
              </w:rPr>
            </w:pPr>
            <w:r w:rsidRPr="00E63457">
              <w:rPr>
                <w:rFonts w:ascii="Arial" w:hAnsi="Arial"/>
                <w:sz w:val="12"/>
                <w:szCs w:val="12"/>
                <w:lang w:eastAsia="en-AU"/>
              </w:rPr>
              <w:t>Brown coal CCS</w:t>
            </w:r>
          </w:p>
        </w:tc>
        <w:tc>
          <w:tcPr>
            <w:tcW w:w="881" w:type="dxa"/>
            <w:tcBorders>
              <w:top w:val="nil"/>
              <w:bottom w:val="single" w:sz="2" w:space="0" w:color="C0C0C0"/>
            </w:tcBorders>
            <w:shd w:val="solid" w:color="9757A6" w:fill="D9D9D9"/>
            <w:vAlign w:val="center"/>
            <w:hideMark/>
          </w:tcPr>
          <w:p w:rsidR="00631C08" w:rsidRPr="00E63457" w:rsidRDefault="00631C08" w:rsidP="00F826ED">
            <w:pPr>
              <w:pStyle w:val="Tablecolumnheadings"/>
              <w:jc w:val="center"/>
              <w:rPr>
                <w:rFonts w:ascii="Arial" w:hAnsi="Arial"/>
                <w:sz w:val="12"/>
                <w:szCs w:val="12"/>
                <w:lang w:eastAsia="en-AU"/>
              </w:rPr>
            </w:pPr>
            <w:r w:rsidRPr="00E63457">
              <w:rPr>
                <w:rFonts w:ascii="Arial" w:hAnsi="Arial"/>
                <w:sz w:val="12"/>
                <w:szCs w:val="12"/>
                <w:lang w:eastAsia="en-AU"/>
              </w:rPr>
              <w:t>Black coal pf</w:t>
            </w:r>
          </w:p>
        </w:tc>
        <w:tc>
          <w:tcPr>
            <w:tcW w:w="881" w:type="dxa"/>
            <w:tcBorders>
              <w:top w:val="nil"/>
              <w:bottom w:val="single" w:sz="2" w:space="0" w:color="C0C0C0"/>
            </w:tcBorders>
            <w:shd w:val="solid" w:color="9757A6" w:fill="D9D9D9"/>
            <w:vAlign w:val="center"/>
            <w:hideMark/>
          </w:tcPr>
          <w:p w:rsidR="00631C08" w:rsidRPr="00E63457" w:rsidRDefault="00631C08" w:rsidP="00F826ED">
            <w:pPr>
              <w:pStyle w:val="Tablecolumnheadings"/>
              <w:jc w:val="center"/>
              <w:rPr>
                <w:rFonts w:ascii="Arial" w:hAnsi="Arial"/>
                <w:sz w:val="12"/>
                <w:szCs w:val="12"/>
                <w:lang w:eastAsia="en-AU"/>
              </w:rPr>
            </w:pPr>
            <w:r w:rsidRPr="00E63457">
              <w:rPr>
                <w:rFonts w:ascii="Arial" w:hAnsi="Arial"/>
                <w:sz w:val="12"/>
                <w:szCs w:val="12"/>
                <w:lang w:eastAsia="en-AU"/>
              </w:rPr>
              <w:t>Black coal IGCC</w:t>
            </w:r>
          </w:p>
        </w:tc>
        <w:tc>
          <w:tcPr>
            <w:tcW w:w="882" w:type="dxa"/>
            <w:tcBorders>
              <w:top w:val="nil"/>
              <w:bottom w:val="single" w:sz="2" w:space="0" w:color="C0C0C0"/>
            </w:tcBorders>
            <w:shd w:val="solid" w:color="9757A6" w:fill="D9D9D9"/>
            <w:vAlign w:val="center"/>
            <w:hideMark/>
          </w:tcPr>
          <w:p w:rsidR="00631C08" w:rsidRPr="00E63457" w:rsidRDefault="00631C08" w:rsidP="00F826ED">
            <w:pPr>
              <w:pStyle w:val="Tablecolumnheadings"/>
              <w:jc w:val="center"/>
              <w:rPr>
                <w:rFonts w:ascii="Arial" w:hAnsi="Arial"/>
                <w:sz w:val="12"/>
                <w:szCs w:val="12"/>
                <w:lang w:eastAsia="en-AU"/>
              </w:rPr>
            </w:pPr>
            <w:r w:rsidRPr="00E63457">
              <w:rPr>
                <w:rFonts w:ascii="Arial" w:hAnsi="Arial"/>
                <w:sz w:val="12"/>
                <w:szCs w:val="12"/>
                <w:lang w:eastAsia="en-AU"/>
              </w:rPr>
              <w:t>Black coal with CCS</w:t>
            </w:r>
          </w:p>
        </w:tc>
        <w:tc>
          <w:tcPr>
            <w:tcW w:w="881" w:type="dxa"/>
            <w:tcBorders>
              <w:top w:val="nil"/>
              <w:bottom w:val="single" w:sz="2" w:space="0" w:color="C0C0C0"/>
            </w:tcBorders>
            <w:shd w:val="solid" w:color="9757A6" w:fill="D9D9D9"/>
            <w:vAlign w:val="center"/>
            <w:hideMark/>
          </w:tcPr>
          <w:p w:rsidR="00631C08" w:rsidRPr="00E63457" w:rsidRDefault="00631C08" w:rsidP="00F826ED">
            <w:pPr>
              <w:pStyle w:val="Tablecolumnheadings"/>
              <w:jc w:val="center"/>
              <w:rPr>
                <w:rFonts w:ascii="Arial" w:hAnsi="Arial"/>
                <w:sz w:val="12"/>
                <w:szCs w:val="12"/>
                <w:lang w:eastAsia="en-AU"/>
              </w:rPr>
            </w:pPr>
            <w:r w:rsidRPr="00E63457">
              <w:rPr>
                <w:rFonts w:ascii="Arial" w:hAnsi="Arial"/>
                <w:sz w:val="12"/>
                <w:szCs w:val="12"/>
                <w:lang w:eastAsia="en-AU"/>
              </w:rPr>
              <w:t>Gas combined cycle</w:t>
            </w:r>
          </w:p>
        </w:tc>
        <w:tc>
          <w:tcPr>
            <w:tcW w:w="882" w:type="dxa"/>
            <w:tcBorders>
              <w:top w:val="nil"/>
              <w:bottom w:val="single" w:sz="2" w:space="0" w:color="C0C0C0"/>
            </w:tcBorders>
            <w:shd w:val="solid" w:color="9757A6" w:fill="D9D9D9"/>
            <w:vAlign w:val="center"/>
            <w:hideMark/>
          </w:tcPr>
          <w:p w:rsidR="00631C08" w:rsidRPr="00E63457" w:rsidRDefault="00631C08" w:rsidP="00F826ED">
            <w:pPr>
              <w:pStyle w:val="Tablecolumnheadings"/>
              <w:jc w:val="center"/>
              <w:rPr>
                <w:rFonts w:ascii="Arial" w:hAnsi="Arial"/>
                <w:sz w:val="12"/>
                <w:szCs w:val="12"/>
                <w:lang w:eastAsia="en-AU"/>
              </w:rPr>
            </w:pPr>
            <w:r w:rsidRPr="00E63457">
              <w:rPr>
                <w:rFonts w:ascii="Arial" w:hAnsi="Arial"/>
                <w:sz w:val="12"/>
                <w:szCs w:val="12"/>
                <w:lang w:eastAsia="en-AU"/>
              </w:rPr>
              <w:t>Gas with CCS</w:t>
            </w:r>
          </w:p>
        </w:tc>
        <w:tc>
          <w:tcPr>
            <w:tcW w:w="881" w:type="dxa"/>
            <w:tcBorders>
              <w:top w:val="nil"/>
              <w:bottom w:val="single" w:sz="2" w:space="0" w:color="C0C0C0"/>
            </w:tcBorders>
            <w:shd w:val="solid" w:color="9757A6" w:fill="D9D9D9"/>
            <w:vAlign w:val="center"/>
            <w:hideMark/>
          </w:tcPr>
          <w:p w:rsidR="00631C08" w:rsidRPr="00E63457" w:rsidRDefault="00631C08" w:rsidP="00F826ED">
            <w:pPr>
              <w:pStyle w:val="Tablecolumnheadings"/>
              <w:jc w:val="center"/>
              <w:rPr>
                <w:rFonts w:ascii="Arial" w:hAnsi="Arial"/>
                <w:sz w:val="12"/>
                <w:szCs w:val="12"/>
                <w:lang w:eastAsia="en-AU"/>
              </w:rPr>
            </w:pPr>
            <w:r w:rsidRPr="00E63457">
              <w:rPr>
                <w:rFonts w:ascii="Arial" w:hAnsi="Arial"/>
                <w:sz w:val="12"/>
                <w:szCs w:val="12"/>
                <w:lang w:eastAsia="en-AU"/>
              </w:rPr>
              <w:t>Gas open cycle</w:t>
            </w:r>
          </w:p>
        </w:tc>
        <w:tc>
          <w:tcPr>
            <w:tcW w:w="881" w:type="dxa"/>
            <w:tcBorders>
              <w:top w:val="nil"/>
              <w:bottom w:val="single" w:sz="2" w:space="0" w:color="C0C0C0"/>
            </w:tcBorders>
            <w:shd w:val="solid" w:color="9757A6" w:fill="D9D9D9"/>
            <w:vAlign w:val="center"/>
            <w:hideMark/>
          </w:tcPr>
          <w:p w:rsidR="00631C08" w:rsidRPr="00E63457" w:rsidRDefault="00631C08" w:rsidP="00F826ED">
            <w:pPr>
              <w:pStyle w:val="Tablecolumnheadings"/>
              <w:jc w:val="center"/>
              <w:rPr>
                <w:rFonts w:ascii="Arial" w:hAnsi="Arial"/>
                <w:sz w:val="12"/>
                <w:szCs w:val="12"/>
                <w:lang w:eastAsia="en-AU"/>
              </w:rPr>
            </w:pPr>
            <w:r w:rsidRPr="00E63457">
              <w:rPr>
                <w:rFonts w:ascii="Arial" w:hAnsi="Arial"/>
                <w:sz w:val="12"/>
                <w:szCs w:val="12"/>
                <w:lang w:eastAsia="en-AU"/>
              </w:rPr>
              <w:t>Nuclear</w:t>
            </w:r>
          </w:p>
        </w:tc>
        <w:tc>
          <w:tcPr>
            <w:tcW w:w="881" w:type="dxa"/>
            <w:tcBorders>
              <w:top w:val="nil"/>
              <w:bottom w:val="single" w:sz="2" w:space="0" w:color="C0C0C0"/>
            </w:tcBorders>
            <w:shd w:val="solid" w:color="9757A6" w:fill="D9D9D9"/>
            <w:vAlign w:val="center"/>
            <w:hideMark/>
          </w:tcPr>
          <w:p w:rsidR="00631C08" w:rsidRPr="00E63457" w:rsidRDefault="00631C08" w:rsidP="00F826ED">
            <w:pPr>
              <w:pStyle w:val="Tablecolumnheadings"/>
              <w:jc w:val="center"/>
              <w:rPr>
                <w:rFonts w:ascii="Arial" w:hAnsi="Arial"/>
                <w:sz w:val="12"/>
                <w:szCs w:val="12"/>
                <w:lang w:eastAsia="en-AU"/>
              </w:rPr>
            </w:pPr>
            <w:r w:rsidRPr="00E63457">
              <w:rPr>
                <w:rFonts w:ascii="Arial" w:hAnsi="Arial"/>
                <w:sz w:val="12"/>
                <w:szCs w:val="12"/>
                <w:lang w:eastAsia="en-AU"/>
              </w:rPr>
              <w:t>Solar thermal</w:t>
            </w:r>
          </w:p>
        </w:tc>
        <w:tc>
          <w:tcPr>
            <w:tcW w:w="881" w:type="dxa"/>
            <w:tcBorders>
              <w:top w:val="nil"/>
              <w:bottom w:val="single" w:sz="2" w:space="0" w:color="C0C0C0"/>
            </w:tcBorders>
            <w:shd w:val="solid" w:color="9757A6" w:fill="D9D9D9"/>
            <w:vAlign w:val="center"/>
            <w:hideMark/>
          </w:tcPr>
          <w:p w:rsidR="00631C08" w:rsidRPr="00E63457" w:rsidRDefault="00631C08" w:rsidP="00F826ED">
            <w:pPr>
              <w:pStyle w:val="Tablecolumnheadings"/>
              <w:jc w:val="center"/>
              <w:rPr>
                <w:rFonts w:ascii="Arial" w:hAnsi="Arial"/>
                <w:sz w:val="12"/>
                <w:szCs w:val="12"/>
                <w:lang w:eastAsia="en-AU"/>
              </w:rPr>
            </w:pPr>
            <w:r w:rsidRPr="00E63457">
              <w:rPr>
                <w:rFonts w:ascii="Arial" w:hAnsi="Arial"/>
                <w:sz w:val="12"/>
                <w:szCs w:val="12"/>
                <w:lang w:eastAsia="en-AU"/>
              </w:rPr>
              <w:t>Large scale PV</w:t>
            </w:r>
          </w:p>
        </w:tc>
        <w:tc>
          <w:tcPr>
            <w:tcW w:w="882" w:type="dxa"/>
            <w:tcBorders>
              <w:top w:val="nil"/>
              <w:bottom w:val="single" w:sz="2" w:space="0" w:color="C0C0C0"/>
            </w:tcBorders>
            <w:shd w:val="solid" w:color="9757A6" w:fill="D9D9D9"/>
            <w:vAlign w:val="center"/>
            <w:hideMark/>
          </w:tcPr>
          <w:p w:rsidR="00631C08" w:rsidRPr="00E63457" w:rsidRDefault="00631C08" w:rsidP="00F826ED">
            <w:pPr>
              <w:pStyle w:val="Tablecolumnheadings"/>
              <w:jc w:val="center"/>
              <w:rPr>
                <w:rFonts w:ascii="Arial" w:hAnsi="Arial"/>
                <w:sz w:val="12"/>
                <w:szCs w:val="12"/>
                <w:lang w:eastAsia="en-AU"/>
              </w:rPr>
            </w:pPr>
            <w:r w:rsidRPr="00E63457">
              <w:rPr>
                <w:rFonts w:ascii="Arial" w:hAnsi="Arial"/>
                <w:sz w:val="12"/>
                <w:szCs w:val="12"/>
                <w:lang w:eastAsia="en-AU"/>
              </w:rPr>
              <w:t>Wind</w:t>
            </w:r>
          </w:p>
        </w:tc>
        <w:tc>
          <w:tcPr>
            <w:tcW w:w="881" w:type="dxa"/>
            <w:tcBorders>
              <w:top w:val="nil"/>
              <w:bottom w:val="single" w:sz="2" w:space="0" w:color="C0C0C0"/>
            </w:tcBorders>
            <w:shd w:val="solid" w:color="9757A6" w:fill="D9D9D9"/>
            <w:vAlign w:val="center"/>
            <w:hideMark/>
          </w:tcPr>
          <w:p w:rsidR="00631C08" w:rsidRPr="00E63457" w:rsidRDefault="00631C08" w:rsidP="00F826ED">
            <w:pPr>
              <w:pStyle w:val="Tablecolumnheadings"/>
              <w:jc w:val="center"/>
              <w:rPr>
                <w:rFonts w:ascii="Arial" w:hAnsi="Arial"/>
                <w:sz w:val="12"/>
                <w:szCs w:val="12"/>
                <w:lang w:eastAsia="en-AU"/>
              </w:rPr>
            </w:pPr>
            <w:r w:rsidRPr="00E63457">
              <w:rPr>
                <w:rFonts w:ascii="Arial" w:hAnsi="Arial"/>
                <w:sz w:val="12"/>
                <w:szCs w:val="12"/>
                <w:lang w:eastAsia="en-AU"/>
              </w:rPr>
              <w:t>Hot fractured rocks</w:t>
            </w:r>
          </w:p>
        </w:tc>
        <w:tc>
          <w:tcPr>
            <w:tcW w:w="882" w:type="dxa"/>
            <w:tcBorders>
              <w:top w:val="nil"/>
              <w:bottom w:val="single" w:sz="2" w:space="0" w:color="C0C0C0"/>
            </w:tcBorders>
            <w:shd w:val="solid" w:color="9757A6" w:fill="D9D9D9"/>
            <w:vAlign w:val="center"/>
            <w:hideMark/>
          </w:tcPr>
          <w:p w:rsidR="00631C08" w:rsidRPr="00E63457" w:rsidRDefault="00631C08" w:rsidP="00F826ED">
            <w:pPr>
              <w:pStyle w:val="Tablecolumnheadings"/>
              <w:jc w:val="center"/>
              <w:rPr>
                <w:rFonts w:ascii="Arial" w:hAnsi="Arial"/>
                <w:sz w:val="12"/>
                <w:szCs w:val="12"/>
                <w:lang w:eastAsia="en-AU"/>
              </w:rPr>
            </w:pPr>
            <w:r w:rsidRPr="00E63457">
              <w:rPr>
                <w:rFonts w:ascii="Arial" w:hAnsi="Arial"/>
                <w:sz w:val="12"/>
                <w:szCs w:val="12"/>
                <w:lang w:eastAsia="en-AU"/>
              </w:rPr>
              <w:t>Wave</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2011-12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2014-15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0.816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0.877</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2019-20</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0.919</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0.95</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0.993</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0.509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0.672</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2024-25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0.963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0.763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0.849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0.763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0.757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0.966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0.413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0.611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0.675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1.002</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0.497</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2029-30</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0.711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0.839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0.711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0.982</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0.696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0.954</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0.409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0.551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0.673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0.977</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0.469</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2034-35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0.936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0.698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0.828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0.698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0.977</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0.683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0.406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0.447</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0.671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0.976</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0.467</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2039-40</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0.923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0.685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0.818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0.685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0.972</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0.669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0.404</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0.344</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0.668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0.975</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0.466</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2044-45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0.676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0.808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0.675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0.963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0.403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0.333</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0.657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0.975</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0.453</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2049-50</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0.898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0.666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0.799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0.666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0.651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0.907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0.402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0.321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0.646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0.975</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0.439</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2011-12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2014-15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0.816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0.838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0.875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2019-20</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0.919</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0.95</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0.993</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0.509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0.554</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0.669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2024-25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0.963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0.689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0.849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0.689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0.777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0.966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0.413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0.451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0.662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0.497</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2029-30</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0.569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0.839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0.569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0.982</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0.691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0.954</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0.409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0.398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0.955</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0.469</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2034-35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0.936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0.558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0.828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0.558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0.977</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0.678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0.406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0.323</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0.657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0.954</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0.467</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2039-40</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0.923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0.546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0.818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0.546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0.972</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0.665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0.404</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0.249</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0.653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0.952</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0.466</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2044-45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0.539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0.808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0.539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0.656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0.963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0.403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0.234</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0.645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0.952</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0.453</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2049-50</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0.898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0.532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0.799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0.532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0.647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0.907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0.402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0.219</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0.636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0.952</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0.439</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2011-12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2014-15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0.994</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0.816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0.897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2019-20</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0.919</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0.95</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0.993</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0.509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0.795</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0.716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2024-25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0.963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0.808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0.849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0.808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0.716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0.966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0.992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0.413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0.779</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0.717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1.005</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0.497</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2029-30</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0.796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0.839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0.796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0.982</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0.706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0.954</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0.409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0.712</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0.717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1.005</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0.469</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2034-35</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0.936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0.782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0.828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0.782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0.977</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0.692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0.942</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0.981</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0.406</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0.577</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0.717</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1.005</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0.467</w:t>
            </w:r>
          </w:p>
        </w:tc>
      </w:tr>
      <w:tr w:rsidR="00631C08" w:rsidRPr="00E63457" w:rsidTr="001B52A9">
        <w:trPr>
          <w:cantSplit/>
          <w:trHeight w:val="225"/>
        </w:trPr>
        <w:tc>
          <w:tcPr>
            <w:tcW w:w="1180" w:type="dxa"/>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2039-40</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0.923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0.768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0.818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0.768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0.972</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0.679</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0.93</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0.404</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0.443</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0.718</w:t>
            </w:r>
          </w:p>
        </w:tc>
        <w:tc>
          <w:tcPr>
            <w:tcW w:w="881"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1.005</w:t>
            </w:r>
          </w:p>
        </w:tc>
        <w:tc>
          <w:tcPr>
            <w:tcW w:w="882" w:type="dxa"/>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0.466</w:t>
            </w:r>
          </w:p>
        </w:tc>
      </w:tr>
      <w:tr w:rsidR="00631C08" w:rsidRPr="00E63457" w:rsidTr="001B52A9">
        <w:trPr>
          <w:cantSplit/>
          <w:trHeight w:val="225"/>
        </w:trPr>
        <w:tc>
          <w:tcPr>
            <w:tcW w:w="1180" w:type="dxa"/>
            <w:tcBorders>
              <w:bottom w:val="single" w:sz="2" w:space="0" w:color="C0C0C0"/>
            </w:tcBorders>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2044-45</w:t>
            </w:r>
          </w:p>
        </w:tc>
        <w:tc>
          <w:tcPr>
            <w:tcW w:w="881" w:type="dxa"/>
            <w:tcBorders>
              <w:bottom w:val="single" w:sz="2" w:space="0" w:color="C0C0C0"/>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w:t>
            </w:r>
          </w:p>
        </w:tc>
        <w:tc>
          <w:tcPr>
            <w:tcW w:w="881" w:type="dxa"/>
            <w:tcBorders>
              <w:bottom w:val="single" w:sz="2" w:space="0" w:color="C0C0C0"/>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tcBorders>
              <w:bottom w:val="single" w:sz="2" w:space="0" w:color="C0C0C0"/>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0.757</w:t>
            </w:r>
          </w:p>
        </w:tc>
        <w:tc>
          <w:tcPr>
            <w:tcW w:w="881" w:type="dxa"/>
            <w:tcBorders>
              <w:bottom w:val="single" w:sz="2" w:space="0" w:color="C0C0C0"/>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0.808</w:t>
            </w:r>
          </w:p>
        </w:tc>
        <w:tc>
          <w:tcPr>
            <w:tcW w:w="881" w:type="dxa"/>
            <w:tcBorders>
              <w:bottom w:val="single" w:sz="2" w:space="0" w:color="C0C0C0"/>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tcBorders>
              <w:bottom w:val="single" w:sz="2" w:space="0" w:color="C0C0C0"/>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0.757</w:t>
            </w:r>
          </w:p>
        </w:tc>
        <w:tc>
          <w:tcPr>
            <w:tcW w:w="881" w:type="dxa"/>
            <w:tcBorders>
              <w:bottom w:val="single" w:sz="2" w:space="0" w:color="C0C0C0"/>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0.971</w:t>
            </w:r>
          </w:p>
        </w:tc>
        <w:tc>
          <w:tcPr>
            <w:tcW w:w="882" w:type="dxa"/>
            <w:tcBorders>
              <w:bottom w:val="single" w:sz="2" w:space="0" w:color="C0C0C0"/>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0.669</w:t>
            </w:r>
          </w:p>
        </w:tc>
        <w:tc>
          <w:tcPr>
            <w:tcW w:w="881" w:type="dxa"/>
            <w:tcBorders>
              <w:bottom w:val="single" w:sz="2" w:space="0" w:color="C0C0C0"/>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1" w:type="dxa"/>
            <w:tcBorders>
              <w:bottom w:val="single" w:sz="2" w:space="0" w:color="C0C0C0"/>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0.963</w:t>
            </w:r>
          </w:p>
        </w:tc>
        <w:tc>
          <w:tcPr>
            <w:tcW w:w="881" w:type="dxa"/>
            <w:tcBorders>
              <w:bottom w:val="single" w:sz="2" w:space="0" w:color="C0C0C0"/>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0.403</w:t>
            </w:r>
          </w:p>
        </w:tc>
        <w:tc>
          <w:tcPr>
            <w:tcW w:w="881" w:type="dxa"/>
            <w:tcBorders>
              <w:bottom w:val="single" w:sz="2" w:space="0" w:color="C0C0C0"/>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0.436</w:t>
            </w:r>
          </w:p>
        </w:tc>
        <w:tc>
          <w:tcPr>
            <w:tcW w:w="882" w:type="dxa"/>
            <w:tcBorders>
              <w:bottom w:val="single" w:sz="2" w:space="0" w:color="C0C0C0"/>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0.698</w:t>
            </w:r>
          </w:p>
        </w:tc>
        <w:tc>
          <w:tcPr>
            <w:tcW w:w="881" w:type="dxa"/>
            <w:tcBorders>
              <w:bottom w:val="single" w:sz="2" w:space="0" w:color="C0C0C0"/>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1.005</w:t>
            </w:r>
          </w:p>
        </w:tc>
        <w:tc>
          <w:tcPr>
            <w:tcW w:w="882" w:type="dxa"/>
            <w:tcBorders>
              <w:bottom w:val="single" w:sz="2" w:space="0" w:color="C0C0C0"/>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0.453</w:t>
            </w:r>
          </w:p>
        </w:tc>
      </w:tr>
      <w:tr w:rsidR="00631C08" w:rsidRPr="00E63457" w:rsidTr="001B52A9">
        <w:trPr>
          <w:cantSplit/>
          <w:trHeight w:val="225"/>
        </w:trPr>
        <w:tc>
          <w:tcPr>
            <w:tcW w:w="1180" w:type="dxa"/>
            <w:tcBorders>
              <w:top w:val="single" w:sz="2" w:space="0" w:color="C0C0C0"/>
              <w:bottom w:val="single" w:sz="2" w:space="0" w:color="999999"/>
            </w:tcBorders>
            <w:shd w:val="clear" w:color="auto" w:fill="auto"/>
            <w:noWrap/>
            <w:vAlign w:val="center"/>
            <w:hideMark/>
          </w:tcPr>
          <w:p w:rsidR="00631C08" w:rsidRPr="00E63457" w:rsidRDefault="00631C08" w:rsidP="00E63457">
            <w:pPr>
              <w:pStyle w:val="Tabletext"/>
              <w:rPr>
                <w:sz w:val="12"/>
                <w:szCs w:val="12"/>
                <w:lang w:eastAsia="en-AU"/>
              </w:rPr>
            </w:pPr>
            <w:r w:rsidRPr="00E63457">
              <w:rPr>
                <w:sz w:val="12"/>
                <w:szCs w:val="12"/>
                <w:lang w:eastAsia="en-AU"/>
              </w:rPr>
              <w:t>2049-50</w:t>
            </w:r>
          </w:p>
        </w:tc>
        <w:tc>
          <w:tcPr>
            <w:tcW w:w="881" w:type="dxa"/>
            <w:tcBorders>
              <w:top w:val="single" w:sz="2" w:space="0" w:color="C0C0C0"/>
              <w:bottom w:val="single" w:sz="2" w:space="0" w:color="999999"/>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0.898</w:t>
            </w:r>
          </w:p>
        </w:tc>
        <w:tc>
          <w:tcPr>
            <w:tcW w:w="881" w:type="dxa"/>
            <w:tcBorders>
              <w:top w:val="single" w:sz="2" w:space="0" w:color="C0C0C0"/>
              <w:bottom w:val="single" w:sz="2" w:space="0" w:color="999999"/>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0.918</w:t>
            </w:r>
          </w:p>
        </w:tc>
        <w:tc>
          <w:tcPr>
            <w:tcW w:w="882" w:type="dxa"/>
            <w:tcBorders>
              <w:top w:val="single" w:sz="2" w:space="0" w:color="C0C0C0"/>
              <w:bottom w:val="single" w:sz="2" w:space="0" w:color="999999"/>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0.746</w:t>
            </w:r>
          </w:p>
        </w:tc>
        <w:tc>
          <w:tcPr>
            <w:tcW w:w="881" w:type="dxa"/>
            <w:tcBorders>
              <w:top w:val="single" w:sz="2" w:space="0" w:color="C0C0C0"/>
              <w:bottom w:val="single" w:sz="2" w:space="0" w:color="999999"/>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0.799</w:t>
            </w:r>
          </w:p>
        </w:tc>
        <w:tc>
          <w:tcPr>
            <w:tcW w:w="881" w:type="dxa"/>
            <w:tcBorders>
              <w:top w:val="single" w:sz="2" w:space="0" w:color="C0C0C0"/>
              <w:bottom w:val="single" w:sz="2" w:space="0" w:color="999999"/>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0.948</w:t>
            </w:r>
          </w:p>
        </w:tc>
        <w:tc>
          <w:tcPr>
            <w:tcW w:w="882" w:type="dxa"/>
            <w:tcBorders>
              <w:top w:val="single" w:sz="2" w:space="0" w:color="C0C0C0"/>
              <w:bottom w:val="single" w:sz="2" w:space="0" w:color="999999"/>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0.746</w:t>
            </w:r>
          </w:p>
        </w:tc>
        <w:tc>
          <w:tcPr>
            <w:tcW w:w="881" w:type="dxa"/>
            <w:tcBorders>
              <w:top w:val="single" w:sz="2" w:space="0" w:color="C0C0C0"/>
              <w:bottom w:val="single" w:sz="2" w:space="0" w:color="999999"/>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0.97</w:t>
            </w:r>
          </w:p>
        </w:tc>
        <w:tc>
          <w:tcPr>
            <w:tcW w:w="882" w:type="dxa"/>
            <w:tcBorders>
              <w:top w:val="single" w:sz="2" w:space="0" w:color="C0C0C0"/>
              <w:bottom w:val="single" w:sz="2" w:space="0" w:color="999999"/>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0.66</w:t>
            </w:r>
          </w:p>
        </w:tc>
        <w:tc>
          <w:tcPr>
            <w:tcW w:w="881" w:type="dxa"/>
            <w:tcBorders>
              <w:top w:val="single" w:sz="2" w:space="0" w:color="C0C0C0"/>
              <w:bottom w:val="single" w:sz="2" w:space="0" w:color="999999"/>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0.907</w:t>
            </w:r>
          </w:p>
        </w:tc>
        <w:tc>
          <w:tcPr>
            <w:tcW w:w="881" w:type="dxa"/>
            <w:tcBorders>
              <w:top w:val="single" w:sz="2" w:space="0" w:color="C0C0C0"/>
              <w:bottom w:val="single" w:sz="2" w:space="0" w:color="999999"/>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0.946</w:t>
            </w:r>
          </w:p>
        </w:tc>
        <w:tc>
          <w:tcPr>
            <w:tcW w:w="881" w:type="dxa"/>
            <w:tcBorders>
              <w:top w:val="single" w:sz="2" w:space="0" w:color="C0C0C0"/>
              <w:bottom w:val="single" w:sz="2" w:space="0" w:color="999999"/>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0.402</w:t>
            </w:r>
          </w:p>
        </w:tc>
        <w:tc>
          <w:tcPr>
            <w:tcW w:w="881" w:type="dxa"/>
            <w:tcBorders>
              <w:top w:val="single" w:sz="2" w:space="0" w:color="C0C0C0"/>
              <w:bottom w:val="single" w:sz="2" w:space="0" w:color="999999"/>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0.429</w:t>
            </w:r>
          </w:p>
        </w:tc>
        <w:tc>
          <w:tcPr>
            <w:tcW w:w="882" w:type="dxa"/>
            <w:tcBorders>
              <w:top w:val="single" w:sz="2" w:space="0" w:color="C0C0C0"/>
              <w:bottom w:val="single" w:sz="2" w:space="0" w:color="999999"/>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0.679</w:t>
            </w:r>
          </w:p>
        </w:tc>
        <w:tc>
          <w:tcPr>
            <w:tcW w:w="881" w:type="dxa"/>
            <w:tcBorders>
              <w:top w:val="single" w:sz="2" w:space="0" w:color="C0C0C0"/>
              <w:bottom w:val="single" w:sz="2" w:space="0" w:color="999999"/>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1.005</w:t>
            </w:r>
          </w:p>
        </w:tc>
        <w:tc>
          <w:tcPr>
            <w:tcW w:w="882" w:type="dxa"/>
            <w:tcBorders>
              <w:top w:val="single" w:sz="2" w:space="0" w:color="C0C0C0"/>
              <w:bottom w:val="single" w:sz="2" w:space="0" w:color="999999"/>
            </w:tcBorders>
            <w:shd w:val="clear" w:color="auto" w:fill="auto"/>
            <w:noWrap/>
            <w:vAlign w:val="center"/>
            <w:hideMark/>
          </w:tcPr>
          <w:p w:rsidR="00631C08" w:rsidRPr="00E63457" w:rsidRDefault="00631C08" w:rsidP="00F826ED">
            <w:pPr>
              <w:pStyle w:val="Tabletext"/>
              <w:jc w:val="center"/>
              <w:rPr>
                <w:sz w:val="12"/>
                <w:szCs w:val="12"/>
                <w:lang w:eastAsia="en-AU"/>
              </w:rPr>
            </w:pPr>
            <w:r w:rsidRPr="00E63457">
              <w:rPr>
                <w:sz w:val="12"/>
                <w:szCs w:val="12"/>
                <w:lang w:eastAsia="en-AU"/>
              </w:rPr>
              <w:t>0.439</w:t>
            </w:r>
          </w:p>
        </w:tc>
      </w:tr>
    </w:tbl>
    <w:p w:rsidR="00E63457" w:rsidRDefault="00E63457" w:rsidP="00E63457">
      <w:pPr>
        <w:pStyle w:val="Note"/>
      </w:pPr>
      <w:r w:rsidRPr="00E63457">
        <w:rPr>
          <w:i/>
        </w:rPr>
        <w:t>Note:</w:t>
      </w:r>
      <w:r w:rsidRPr="00E63457">
        <w:t xml:space="preserve"> </w:t>
      </w:r>
      <w:r w:rsidR="00C85492" w:rsidRPr="00C85492">
        <w:t>Where individual learning rates for foreign/local components were not available the same overall learning rate was applied to both. Note learning rates in the period to 2020 for solar PV and wind have been adjusted based on a lower starting base capital cost.</w:t>
      </w:r>
    </w:p>
    <w:p w:rsidR="007B5634" w:rsidRPr="00F85731" w:rsidRDefault="00E63457" w:rsidP="00870E54">
      <w:pPr>
        <w:pStyle w:val="Source"/>
      </w:pPr>
      <w:r>
        <w:t xml:space="preserve">Source: </w:t>
      </w:r>
      <w:r w:rsidR="00C85492" w:rsidRPr="00C85492">
        <w:t xml:space="preserve">ACIL </w:t>
      </w:r>
      <w:r w:rsidR="00C85492">
        <w:t>Allen</w:t>
      </w:r>
      <w:r w:rsidR="00C85492" w:rsidRPr="00C85492">
        <w:t xml:space="preserve"> based on GALLM learning rates</w:t>
      </w:r>
    </w:p>
    <w:p w:rsidR="00E63457" w:rsidRDefault="00E63457">
      <w:pPr>
        <w:pStyle w:val="BodyText"/>
        <w:sectPr w:rsidR="00E63457" w:rsidSect="00E63457">
          <w:headerReference w:type="default" r:id="rId35"/>
          <w:footerReference w:type="default" r:id="rId36"/>
          <w:pgSz w:w="16840" w:h="11907" w:orient="landscape" w:code="9"/>
          <w:pgMar w:top="851" w:right="907" w:bottom="851" w:left="851" w:header="709" w:footer="567" w:gutter="567"/>
          <w:cols w:space="720"/>
        </w:sectPr>
      </w:pPr>
    </w:p>
    <w:p w:rsidR="00C85492" w:rsidRDefault="00245E9E" w:rsidP="00C85492">
      <w:pPr>
        <w:pStyle w:val="Heading3"/>
      </w:pPr>
      <w:bookmarkStart w:id="80" w:name="_Toc370394637"/>
      <w:r>
        <w:lastRenderedPageBreak/>
        <w:t>Other cost indices</w:t>
      </w:r>
      <w:bookmarkEnd w:id="80"/>
    </w:p>
    <w:p w:rsidR="00245E9E" w:rsidRDefault="00245E9E" w:rsidP="00C85492">
      <w:pPr>
        <w:pStyle w:val="BodyText"/>
      </w:pPr>
      <w:r>
        <w:t xml:space="preserve">Various cost indices derived from the Treasury’s CGE modelling was used to adjust final capital costs for various technologies: </w:t>
      </w:r>
    </w:p>
    <w:p w:rsidR="00245E9E" w:rsidRDefault="00C85492" w:rsidP="00C85492">
      <w:pPr>
        <w:pStyle w:val="ListBullet"/>
      </w:pPr>
      <w:r>
        <w:t>the capital cost component relating to local labour</w:t>
      </w:r>
      <w:r w:rsidR="00245E9E">
        <w:t xml:space="preserve"> was adjusted in line with the modelled </w:t>
      </w:r>
      <w:r>
        <w:t xml:space="preserve">real labour cost index </w:t>
      </w:r>
    </w:p>
    <w:p w:rsidR="00245E9E" w:rsidRDefault="00245E9E" w:rsidP="00C85492">
      <w:pPr>
        <w:pStyle w:val="ListBullet"/>
      </w:pPr>
      <w:r>
        <w:t xml:space="preserve">an index of steel prices was </w:t>
      </w:r>
      <w:r w:rsidR="00C85492">
        <w:t xml:space="preserve">used to adjust 25% and 40% of the local and foreign </w:t>
      </w:r>
      <w:r w:rsidR="00C85492" w:rsidRPr="007A4C20">
        <w:t xml:space="preserve">equipment </w:t>
      </w:r>
      <w:r>
        <w:t>cost component respectively</w:t>
      </w:r>
    </w:p>
    <w:p w:rsidR="00245E9E" w:rsidRDefault="00245E9E" w:rsidP="00C85492">
      <w:pPr>
        <w:pStyle w:val="ListBullet"/>
      </w:pPr>
      <w:r>
        <w:t>a modelled real exchange rate index</w:t>
      </w:r>
      <w:r w:rsidR="00C85492">
        <w:t xml:space="preserve"> </w:t>
      </w:r>
      <w:r>
        <w:t xml:space="preserve">was </w:t>
      </w:r>
      <w:r w:rsidR="00C85492">
        <w:t xml:space="preserve">used to convert the foreign </w:t>
      </w:r>
      <w:r w:rsidR="00C85492" w:rsidRPr="007A4C20">
        <w:t>equipment and commodities</w:t>
      </w:r>
      <w:r w:rsidR="00C85492">
        <w:t xml:space="preserve"> cost component (which are projected in US dollars) back into Australian dollars. </w:t>
      </w:r>
    </w:p>
    <w:p w:rsidR="00C85492" w:rsidRDefault="00245E9E" w:rsidP="00245E9E">
      <w:pPr>
        <w:pStyle w:val="BodyText"/>
      </w:pPr>
      <w:r>
        <w:t xml:space="preserve">These various cost indices </w:t>
      </w:r>
      <w:r w:rsidR="00C85492">
        <w:t>var</w:t>
      </w:r>
      <w:r>
        <w:t>ied slightly from</w:t>
      </w:r>
      <w:r w:rsidR="00C85492">
        <w:t xml:space="preserve"> scenario to scenario</w:t>
      </w:r>
      <w:r>
        <w:t xml:space="preserve"> in line with broader economic changes modelled through the CGE framework</w:t>
      </w:r>
      <w:r w:rsidR="00C85492">
        <w:t>.</w:t>
      </w:r>
    </w:p>
    <w:p w:rsidR="00C85492" w:rsidRDefault="00C85492" w:rsidP="00C85492">
      <w:pPr>
        <w:pStyle w:val="Heading3"/>
      </w:pPr>
      <w:bookmarkStart w:id="81" w:name="_Toc365474028"/>
      <w:bookmarkStart w:id="82" w:name="_Toc370394638"/>
      <w:r>
        <w:t>Final capital costs</w:t>
      </w:r>
      <w:bookmarkEnd w:id="81"/>
      <w:bookmarkEnd w:id="82"/>
    </w:p>
    <w:p w:rsidR="00C85492" w:rsidRDefault="00450552" w:rsidP="00C85492">
      <w:pPr>
        <w:pStyle w:val="BodyText"/>
      </w:pPr>
      <w:r>
        <w:fldChar w:fldCharType="begin"/>
      </w:r>
      <w:r>
        <w:instrText xml:space="preserve"> REF _Ref365543267 \h </w:instrText>
      </w:r>
      <w:r>
        <w:fldChar w:fldCharType="separate"/>
      </w:r>
      <w:r w:rsidR="00660A8E">
        <w:t xml:space="preserve">Table </w:t>
      </w:r>
      <w:r w:rsidR="00660A8E">
        <w:rPr>
          <w:noProof/>
        </w:rPr>
        <w:t>5</w:t>
      </w:r>
      <w:r>
        <w:fldChar w:fldCharType="end"/>
      </w:r>
      <w:r w:rsidR="00C85492">
        <w:t xml:space="preserve"> presents the final capital costs for each of the technologies after all adjustments for learning, labour, metals and exchange rates are made. Capital costs for the core Central Policy scenario are also shown graphically in </w:t>
      </w:r>
      <w:r>
        <w:fldChar w:fldCharType="begin"/>
      </w:r>
      <w:r>
        <w:instrText xml:space="preserve"> REF _Ref365543284 \h </w:instrText>
      </w:r>
      <w:r>
        <w:fldChar w:fldCharType="separate"/>
      </w:r>
      <w:r w:rsidR="00660A8E">
        <w:t xml:space="preserve">Figure </w:t>
      </w:r>
      <w:r w:rsidR="00660A8E">
        <w:rPr>
          <w:noProof/>
        </w:rPr>
        <w:t>4</w:t>
      </w:r>
      <w:r>
        <w:fldChar w:fldCharType="end"/>
      </w:r>
      <w:r w:rsidR="00C85492">
        <w:t>. Due to variations in other assumptions such as metals prices and exchange rates, these assumptions vary slightly from scenario to scenario, but very similar to the Central Policy scenario results presented here</w:t>
      </w:r>
      <w:r w:rsidR="00D00DCB">
        <w:t>.</w:t>
      </w:r>
    </w:p>
    <w:p w:rsidR="00E63457" w:rsidRDefault="00450552" w:rsidP="00F25432">
      <w:pPr>
        <w:pStyle w:val="BodyText"/>
      </w:pPr>
      <w:r>
        <w:fldChar w:fldCharType="begin"/>
      </w:r>
      <w:r>
        <w:instrText xml:space="preserve"> REF _Ref365543273 \h </w:instrText>
      </w:r>
      <w:r>
        <w:fldChar w:fldCharType="separate"/>
      </w:r>
      <w:r w:rsidR="00660A8E">
        <w:t xml:space="preserve">Table </w:t>
      </w:r>
      <w:r w:rsidR="00660A8E">
        <w:rPr>
          <w:noProof/>
        </w:rPr>
        <w:t>6</w:t>
      </w:r>
      <w:r>
        <w:fldChar w:fldCharType="end"/>
      </w:r>
      <w:r w:rsidR="00C85492">
        <w:t xml:space="preserve"> shows the average year-on-year percentage change in capital costs for each decade of the projection in the Central Policy scenario.</w:t>
      </w:r>
    </w:p>
    <w:p w:rsidR="00C85492" w:rsidRDefault="00C85492" w:rsidP="00C85492">
      <w:pPr>
        <w:pStyle w:val="Caption"/>
        <w:ind w:left="-1843"/>
      </w:pPr>
      <w:bookmarkStart w:id="83" w:name="_Ref365543267"/>
      <w:bookmarkStart w:id="84" w:name="_Toc370394747"/>
      <w:r>
        <w:t xml:space="preserve">Table </w:t>
      </w:r>
      <w:fldSimple w:instr=" SEQ Table \* MERGEFORMAT ">
        <w:r w:rsidR="00660A8E">
          <w:rPr>
            <w:noProof/>
          </w:rPr>
          <w:t>5</w:t>
        </w:r>
      </w:fldSimple>
      <w:bookmarkEnd w:id="83"/>
      <w:r w:rsidRPr="00C85492">
        <w:rPr>
          <w:b/>
          <w:color w:val="000000"/>
        </w:rPr>
        <w:tab/>
        <w:t xml:space="preserve">Final capital costs for new entrant technologies for selected years – Central Policy scenario (Real </w:t>
      </w:r>
      <w:r w:rsidR="000E3AA8" w:rsidRPr="00C85492">
        <w:rPr>
          <w:b/>
          <w:color w:val="000000"/>
        </w:rPr>
        <w:t>20</w:t>
      </w:r>
      <w:r w:rsidR="000E3AA8">
        <w:rPr>
          <w:b/>
          <w:color w:val="000000"/>
        </w:rPr>
        <w:t>11</w:t>
      </w:r>
      <w:r w:rsidRPr="00C85492">
        <w:rPr>
          <w:b/>
          <w:color w:val="000000"/>
        </w:rPr>
        <w:t>-</w:t>
      </w:r>
      <w:r w:rsidR="000E3AA8" w:rsidRPr="00C85492">
        <w:rPr>
          <w:b/>
          <w:color w:val="000000"/>
        </w:rPr>
        <w:t>1</w:t>
      </w:r>
      <w:r w:rsidR="000E3AA8">
        <w:rPr>
          <w:b/>
          <w:color w:val="000000"/>
        </w:rPr>
        <w:t>2</w:t>
      </w:r>
      <w:r w:rsidR="000E3AA8" w:rsidRPr="00C85492">
        <w:rPr>
          <w:b/>
          <w:color w:val="000000"/>
        </w:rPr>
        <w:t xml:space="preserve"> </w:t>
      </w:r>
      <w:r w:rsidRPr="00C85492">
        <w:rPr>
          <w:b/>
          <w:color w:val="000000"/>
        </w:rPr>
        <w:t>$/kW installed)</w:t>
      </w:r>
      <w:bookmarkEnd w:id="84"/>
    </w:p>
    <w:tbl>
      <w:tblPr>
        <w:tblW w:w="10207" w:type="dxa"/>
        <w:tblInd w:w="-2693" w:type="dxa"/>
        <w:tblBorders>
          <w:bottom w:val="single" w:sz="2" w:space="0" w:color="C0C0C0"/>
          <w:insideH w:val="single" w:sz="2" w:space="0" w:color="C0C0C0"/>
        </w:tblBorders>
        <w:tblLayout w:type="fixed"/>
        <w:tblCellMar>
          <w:left w:w="142" w:type="dxa"/>
          <w:right w:w="56" w:type="dxa"/>
        </w:tblCellMar>
        <w:tblLook w:val="04A0" w:firstRow="1" w:lastRow="0" w:firstColumn="1" w:lastColumn="0" w:noHBand="0" w:noVBand="1"/>
      </w:tblPr>
      <w:tblGrid>
        <w:gridCol w:w="1559"/>
        <w:gridCol w:w="3687"/>
        <w:gridCol w:w="992"/>
        <w:gridCol w:w="992"/>
        <w:gridCol w:w="992"/>
        <w:gridCol w:w="992"/>
        <w:gridCol w:w="993"/>
      </w:tblGrid>
      <w:tr w:rsidR="00C85492" w:rsidRPr="00C85492" w:rsidTr="00D00DCB">
        <w:trPr>
          <w:cantSplit/>
          <w:trHeight w:val="446"/>
          <w:tblHeader/>
        </w:trPr>
        <w:tc>
          <w:tcPr>
            <w:tcW w:w="1559" w:type="dxa"/>
            <w:tcBorders>
              <w:top w:val="nil"/>
            </w:tcBorders>
            <w:shd w:val="solid" w:color="9757A6" w:fill="D9D9D9"/>
            <w:vAlign w:val="center"/>
            <w:hideMark/>
          </w:tcPr>
          <w:p w:rsidR="00C85492" w:rsidRPr="00C85492" w:rsidRDefault="00C85492" w:rsidP="00C85492">
            <w:pPr>
              <w:pStyle w:val="Tablecolumnheadings"/>
              <w:keepNext w:val="0"/>
              <w:rPr>
                <w:sz w:val="12"/>
                <w:szCs w:val="12"/>
                <w:lang w:eastAsia="en-AU"/>
              </w:rPr>
            </w:pPr>
          </w:p>
        </w:tc>
        <w:tc>
          <w:tcPr>
            <w:tcW w:w="3687" w:type="dxa"/>
            <w:tcBorders>
              <w:top w:val="nil"/>
            </w:tcBorders>
            <w:shd w:val="solid" w:color="9757A6" w:fill="D9D9D9"/>
            <w:vAlign w:val="center"/>
            <w:hideMark/>
          </w:tcPr>
          <w:p w:rsidR="00C85492" w:rsidRPr="00C85492" w:rsidRDefault="00C85492" w:rsidP="00C85492">
            <w:pPr>
              <w:pStyle w:val="Tablecolumnheadings"/>
              <w:keepNext w:val="0"/>
              <w:rPr>
                <w:sz w:val="12"/>
                <w:szCs w:val="12"/>
                <w:lang w:eastAsia="en-AU"/>
              </w:rPr>
            </w:pPr>
            <w:r w:rsidRPr="00C85492">
              <w:rPr>
                <w:sz w:val="12"/>
                <w:szCs w:val="12"/>
                <w:lang w:eastAsia="en-AU"/>
              </w:rPr>
              <w:t>Technology</w:t>
            </w:r>
          </w:p>
        </w:tc>
        <w:tc>
          <w:tcPr>
            <w:tcW w:w="992" w:type="dxa"/>
            <w:tcBorders>
              <w:top w:val="nil"/>
            </w:tcBorders>
            <w:shd w:val="solid" w:color="9757A6" w:fill="D9D9D9"/>
            <w:vAlign w:val="center"/>
            <w:hideMark/>
          </w:tcPr>
          <w:p w:rsidR="00C85492" w:rsidRPr="00C85492" w:rsidRDefault="00C85492" w:rsidP="00C85492">
            <w:pPr>
              <w:pStyle w:val="Tablecolumnheadings"/>
              <w:keepNext w:val="0"/>
              <w:jc w:val="center"/>
              <w:rPr>
                <w:sz w:val="12"/>
                <w:szCs w:val="12"/>
                <w:lang w:eastAsia="en-AU"/>
              </w:rPr>
            </w:pPr>
            <w:r w:rsidRPr="00C85492">
              <w:rPr>
                <w:sz w:val="12"/>
                <w:szCs w:val="12"/>
                <w:lang w:eastAsia="en-AU"/>
              </w:rPr>
              <w:t>2011-12</w:t>
            </w:r>
          </w:p>
        </w:tc>
        <w:tc>
          <w:tcPr>
            <w:tcW w:w="992" w:type="dxa"/>
            <w:tcBorders>
              <w:top w:val="nil"/>
            </w:tcBorders>
            <w:shd w:val="solid" w:color="9757A6" w:fill="D9D9D9"/>
            <w:vAlign w:val="center"/>
            <w:hideMark/>
          </w:tcPr>
          <w:p w:rsidR="00C85492" w:rsidRPr="00C85492" w:rsidRDefault="00C85492" w:rsidP="00C85492">
            <w:pPr>
              <w:pStyle w:val="Tablecolumnheadings"/>
              <w:keepNext w:val="0"/>
              <w:jc w:val="center"/>
              <w:rPr>
                <w:sz w:val="12"/>
                <w:szCs w:val="12"/>
                <w:lang w:eastAsia="en-AU"/>
              </w:rPr>
            </w:pPr>
            <w:r w:rsidRPr="00C85492">
              <w:rPr>
                <w:sz w:val="12"/>
                <w:szCs w:val="12"/>
                <w:lang w:eastAsia="en-AU"/>
              </w:rPr>
              <w:t>2019-20</w:t>
            </w:r>
          </w:p>
        </w:tc>
        <w:tc>
          <w:tcPr>
            <w:tcW w:w="992" w:type="dxa"/>
            <w:tcBorders>
              <w:top w:val="nil"/>
            </w:tcBorders>
            <w:shd w:val="solid" w:color="9757A6" w:fill="D9D9D9"/>
            <w:vAlign w:val="center"/>
            <w:hideMark/>
          </w:tcPr>
          <w:p w:rsidR="00C85492" w:rsidRPr="00C85492" w:rsidRDefault="00C85492" w:rsidP="00C85492">
            <w:pPr>
              <w:pStyle w:val="Tablecolumnheadings"/>
              <w:keepNext w:val="0"/>
              <w:jc w:val="center"/>
              <w:rPr>
                <w:sz w:val="12"/>
                <w:szCs w:val="12"/>
                <w:lang w:eastAsia="en-AU"/>
              </w:rPr>
            </w:pPr>
            <w:r w:rsidRPr="00C85492">
              <w:rPr>
                <w:sz w:val="12"/>
                <w:szCs w:val="12"/>
                <w:lang w:eastAsia="en-AU"/>
              </w:rPr>
              <w:t>2029-30</w:t>
            </w:r>
          </w:p>
        </w:tc>
        <w:tc>
          <w:tcPr>
            <w:tcW w:w="992" w:type="dxa"/>
            <w:tcBorders>
              <w:top w:val="nil"/>
            </w:tcBorders>
            <w:shd w:val="solid" w:color="9757A6" w:fill="D9D9D9"/>
            <w:vAlign w:val="center"/>
            <w:hideMark/>
          </w:tcPr>
          <w:p w:rsidR="00C85492" w:rsidRPr="00C85492" w:rsidRDefault="00C85492" w:rsidP="00C85492">
            <w:pPr>
              <w:pStyle w:val="Tablecolumnheadings"/>
              <w:keepNext w:val="0"/>
              <w:jc w:val="center"/>
              <w:rPr>
                <w:sz w:val="12"/>
                <w:szCs w:val="12"/>
                <w:lang w:eastAsia="en-AU"/>
              </w:rPr>
            </w:pPr>
            <w:r w:rsidRPr="00C85492">
              <w:rPr>
                <w:sz w:val="12"/>
                <w:szCs w:val="12"/>
                <w:lang w:eastAsia="en-AU"/>
              </w:rPr>
              <w:t>2039-40</w:t>
            </w:r>
          </w:p>
        </w:tc>
        <w:tc>
          <w:tcPr>
            <w:tcW w:w="993" w:type="dxa"/>
            <w:tcBorders>
              <w:top w:val="nil"/>
            </w:tcBorders>
            <w:shd w:val="solid" w:color="9757A6" w:fill="D9D9D9"/>
            <w:vAlign w:val="center"/>
            <w:hideMark/>
          </w:tcPr>
          <w:p w:rsidR="00C85492" w:rsidRPr="00C85492" w:rsidRDefault="00C85492" w:rsidP="00C85492">
            <w:pPr>
              <w:pStyle w:val="Tablecolumnheadings"/>
              <w:keepNext w:val="0"/>
              <w:jc w:val="center"/>
              <w:rPr>
                <w:sz w:val="12"/>
                <w:szCs w:val="12"/>
                <w:lang w:eastAsia="en-AU"/>
              </w:rPr>
            </w:pPr>
            <w:r w:rsidRPr="00C85492">
              <w:rPr>
                <w:sz w:val="12"/>
                <w:szCs w:val="12"/>
                <w:lang w:eastAsia="en-AU"/>
              </w:rPr>
              <w:t>2049-50</w:t>
            </w:r>
          </w:p>
        </w:tc>
      </w:tr>
      <w:tr w:rsidR="000E3AA8" w:rsidRPr="00C85492" w:rsidTr="001B52A9">
        <w:trPr>
          <w:cantSplit/>
          <w:trHeight w:val="225"/>
        </w:trPr>
        <w:tc>
          <w:tcPr>
            <w:tcW w:w="1559" w:type="dxa"/>
            <w:vMerge w:val="restart"/>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Coal</w:t>
            </w: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PC Supercritical – Brown Coal</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3,450</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3,507</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3,708</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3,705</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3,752</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PC Supercritical Black Coal</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2,974</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2,667</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2,833</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2,843</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2,892</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PC Supercritical Black Coal (SWIS Scale)</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3,191</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2,866</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3,051</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3,064</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3,120</w:t>
            </w:r>
          </w:p>
        </w:tc>
      </w:tr>
      <w:tr w:rsidR="000E3AA8" w:rsidRPr="00C85492" w:rsidTr="001B52A9">
        <w:trPr>
          <w:cantSplit/>
          <w:trHeight w:val="225"/>
        </w:trPr>
        <w:tc>
          <w:tcPr>
            <w:tcW w:w="1559" w:type="dxa"/>
            <w:vMerge w:val="restart"/>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Natural gas</w:t>
            </w: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CCGT</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1,100</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1,140</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1,258</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1,275</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1,318</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CCGT SWIS Scale</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1,077</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1,116</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1,233</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1,249</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1,292</w:t>
            </w:r>
          </w:p>
        </w:tc>
      </w:tr>
      <w:tr w:rsidR="000E3AA8" w:rsidRPr="00C85492" w:rsidTr="001B52A9">
        <w:trPr>
          <w:cantSplit/>
          <w:trHeight w:val="225"/>
        </w:trPr>
        <w:tc>
          <w:tcPr>
            <w:tcW w:w="1559" w:type="dxa"/>
            <w:vMerge/>
            <w:shd w:val="clear" w:color="auto" w:fill="auto"/>
            <w:noWrap/>
            <w:vAlign w:val="center"/>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tcPr>
          <w:p w:rsidR="000E3AA8" w:rsidRPr="00C85492" w:rsidRDefault="000E3AA8" w:rsidP="00C85492">
            <w:pPr>
              <w:pStyle w:val="Tabletext"/>
              <w:keepNext w:val="0"/>
              <w:rPr>
                <w:sz w:val="12"/>
                <w:szCs w:val="12"/>
                <w:lang w:eastAsia="en-AU"/>
              </w:rPr>
            </w:pPr>
            <w:r w:rsidRPr="00C85492">
              <w:rPr>
                <w:sz w:val="12"/>
                <w:szCs w:val="12"/>
                <w:lang w:eastAsia="en-AU"/>
              </w:rPr>
              <w:t>CCGT small scale (NWIS, DKIS, Mt Isa)</w:t>
            </w:r>
          </w:p>
        </w:tc>
        <w:tc>
          <w:tcPr>
            <w:tcW w:w="992" w:type="dxa"/>
            <w:shd w:val="clear" w:color="auto" w:fill="auto"/>
            <w:noWrap/>
            <w:vAlign w:val="bottom"/>
          </w:tcPr>
          <w:p w:rsidR="000E3AA8" w:rsidRPr="000E3AA8" w:rsidRDefault="000E3AA8" w:rsidP="00245E9E">
            <w:pPr>
              <w:pStyle w:val="Tabletext"/>
              <w:keepNext w:val="0"/>
              <w:ind w:left="284"/>
              <w:rPr>
                <w:sz w:val="12"/>
                <w:szCs w:val="12"/>
                <w:lang w:eastAsia="en-AU"/>
              </w:rPr>
            </w:pPr>
            <w:r w:rsidRPr="001B52A9">
              <w:rPr>
                <w:rFonts w:cs="Arial"/>
                <w:sz w:val="12"/>
                <w:szCs w:val="12"/>
              </w:rPr>
              <w:t>800</w:t>
            </w:r>
          </w:p>
        </w:tc>
        <w:tc>
          <w:tcPr>
            <w:tcW w:w="992" w:type="dxa"/>
            <w:shd w:val="clear" w:color="auto" w:fill="auto"/>
            <w:noWrap/>
            <w:vAlign w:val="bottom"/>
          </w:tcPr>
          <w:p w:rsidR="000E3AA8" w:rsidRPr="000E3AA8" w:rsidRDefault="000E3AA8" w:rsidP="00245E9E">
            <w:pPr>
              <w:pStyle w:val="Tabletext"/>
              <w:keepNext w:val="0"/>
              <w:ind w:left="284"/>
              <w:rPr>
                <w:sz w:val="12"/>
                <w:szCs w:val="12"/>
                <w:lang w:eastAsia="en-AU"/>
              </w:rPr>
            </w:pPr>
            <w:r w:rsidRPr="001B52A9">
              <w:rPr>
                <w:rFonts w:cs="Arial"/>
                <w:sz w:val="12"/>
                <w:szCs w:val="12"/>
              </w:rPr>
              <w:t>807</w:t>
            </w:r>
          </w:p>
        </w:tc>
        <w:tc>
          <w:tcPr>
            <w:tcW w:w="992" w:type="dxa"/>
            <w:shd w:val="clear" w:color="auto" w:fill="auto"/>
            <w:noWrap/>
            <w:vAlign w:val="bottom"/>
          </w:tcPr>
          <w:p w:rsidR="000E3AA8" w:rsidRPr="000E3AA8" w:rsidRDefault="000E3AA8" w:rsidP="00245E9E">
            <w:pPr>
              <w:pStyle w:val="Tabletext"/>
              <w:keepNext w:val="0"/>
              <w:ind w:left="284"/>
              <w:rPr>
                <w:sz w:val="12"/>
                <w:szCs w:val="12"/>
                <w:lang w:eastAsia="en-AU"/>
              </w:rPr>
            </w:pPr>
            <w:r w:rsidRPr="001B52A9">
              <w:rPr>
                <w:rFonts w:cs="Arial"/>
                <w:sz w:val="12"/>
                <w:szCs w:val="12"/>
              </w:rPr>
              <w:t>906</w:t>
            </w:r>
          </w:p>
        </w:tc>
        <w:tc>
          <w:tcPr>
            <w:tcW w:w="992" w:type="dxa"/>
            <w:shd w:val="clear" w:color="auto" w:fill="auto"/>
            <w:noWrap/>
            <w:vAlign w:val="bottom"/>
          </w:tcPr>
          <w:p w:rsidR="000E3AA8" w:rsidRPr="000E3AA8" w:rsidRDefault="000E3AA8" w:rsidP="00245E9E">
            <w:pPr>
              <w:pStyle w:val="Tabletext"/>
              <w:keepNext w:val="0"/>
              <w:ind w:left="284"/>
              <w:rPr>
                <w:sz w:val="12"/>
                <w:szCs w:val="12"/>
                <w:lang w:eastAsia="en-AU"/>
              </w:rPr>
            </w:pPr>
            <w:r w:rsidRPr="001B52A9">
              <w:rPr>
                <w:rFonts w:cs="Arial"/>
                <w:sz w:val="12"/>
                <w:szCs w:val="12"/>
              </w:rPr>
              <w:t>892</w:t>
            </w:r>
          </w:p>
        </w:tc>
        <w:tc>
          <w:tcPr>
            <w:tcW w:w="993" w:type="dxa"/>
            <w:shd w:val="clear" w:color="auto" w:fill="auto"/>
            <w:noWrap/>
            <w:vAlign w:val="bottom"/>
          </w:tcPr>
          <w:p w:rsidR="000E3AA8" w:rsidRPr="000E3AA8" w:rsidRDefault="000E3AA8" w:rsidP="00245E9E">
            <w:pPr>
              <w:pStyle w:val="Tabletext"/>
              <w:keepNext w:val="0"/>
              <w:ind w:left="284"/>
              <w:rPr>
                <w:sz w:val="12"/>
                <w:szCs w:val="12"/>
                <w:lang w:eastAsia="en-AU"/>
              </w:rPr>
            </w:pPr>
            <w:r w:rsidRPr="001B52A9">
              <w:rPr>
                <w:rFonts w:cs="Arial"/>
                <w:sz w:val="12"/>
                <w:szCs w:val="12"/>
              </w:rPr>
              <w:t>883</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OCGT</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4,802</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2,531</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2,261</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2,279</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2,332</w:t>
            </w:r>
          </w:p>
        </w:tc>
      </w:tr>
      <w:tr w:rsidR="000E3AA8" w:rsidRPr="00C85492" w:rsidTr="001B52A9">
        <w:trPr>
          <w:cantSplit/>
          <w:trHeight w:val="225"/>
        </w:trPr>
        <w:tc>
          <w:tcPr>
            <w:tcW w:w="1559" w:type="dxa"/>
            <w:vMerge w:val="restart"/>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Solar</w:t>
            </w: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CLFR</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8,549</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4,534</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4,055</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4,105</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4,227</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CLFR with storage</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4,526</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2,385</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2,131</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2,148</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2,198</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Parabolic trough</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8,054</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4,272</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3,820</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3,867</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3,983</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Parabolic trough with storage</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5,569</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2,973</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2,661</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2,705</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2,803</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Central Receiver</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7,476</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3,965</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3,546</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3,589</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3,697</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Central Receiver with storage</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2,700</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1,751</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1,539</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980</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927</w:t>
            </w:r>
          </w:p>
        </w:tc>
      </w:tr>
      <w:tr w:rsidR="000E3AA8" w:rsidRPr="00C85492" w:rsidTr="001B52A9">
        <w:trPr>
          <w:cantSplit/>
          <w:trHeight w:val="225"/>
        </w:trPr>
        <w:tc>
          <w:tcPr>
            <w:tcW w:w="1559" w:type="dxa"/>
            <w:vMerge w:val="restart"/>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Solar PV</w:t>
            </w: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Solar PV fixed</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3,179</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2,062</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1,813</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1,154</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1,092</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Solar PV single axis tracking</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4,729</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3,067</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2,697</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1,716</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1,624</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Solar PV dual axis tracking</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2,300</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1,700</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1,917</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1,931</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1,906</w:t>
            </w:r>
          </w:p>
        </w:tc>
      </w:tr>
      <w:tr w:rsidR="000E3AA8" w:rsidRPr="00C85492" w:rsidTr="001B52A9">
        <w:trPr>
          <w:cantSplit/>
          <w:trHeight w:val="225"/>
        </w:trPr>
        <w:tc>
          <w:tcPr>
            <w:tcW w:w="1559" w:type="dxa"/>
            <w:vMerge w:val="restart"/>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Wind</w:t>
            </w: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On-shore Wind Farm</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5,899</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6,151</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3,148</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3,219</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3,162</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Ocean/Wave</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6,299</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6,564</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6,937</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7,164</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7,517</w:t>
            </w:r>
          </w:p>
        </w:tc>
      </w:tr>
      <w:tr w:rsidR="000E3AA8" w:rsidRPr="00C85492" w:rsidTr="001B52A9">
        <w:trPr>
          <w:cantSplit/>
          <w:trHeight w:val="225"/>
        </w:trPr>
        <w:tc>
          <w:tcPr>
            <w:tcW w:w="1559" w:type="dxa"/>
            <w:vMerge w:val="restart"/>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Geothermal</w:t>
            </w: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Geothermal HSA</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5,901</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6,043</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4,722</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4,691</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4,772</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Geothermal EGS</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4,558</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4,668</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3,648</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3,623</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3,686</w:t>
            </w:r>
          </w:p>
        </w:tc>
      </w:tr>
      <w:tr w:rsidR="000E3AA8" w:rsidRPr="00C85492" w:rsidTr="001B52A9">
        <w:trPr>
          <w:cantSplit/>
          <w:trHeight w:val="225"/>
        </w:trPr>
        <w:tc>
          <w:tcPr>
            <w:tcW w:w="1559" w:type="dxa"/>
            <w:vMerge w:val="restart"/>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CCS</w:t>
            </w: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PC Supercritical with CCS – Brown Coal</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4,274</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4,398</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3,442</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3,433</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3,512</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PC Supercritical with CCS – Bituminous Coal</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2,494</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2,552</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2,039</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1,998</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1,995</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PC Oxy Combustion Supercritical with CCS</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4,984</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5,131</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3,881</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3,846</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3,908</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CCGT with CCS</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5,083</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5,233</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3,959</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3,923</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3,986</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IGCC with CCS – Bituminous Coal</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2,493</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2,550</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2,012</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2,000</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2,037</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IGCC with CCS – Brown Coal</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1,611</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1,648</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1,300</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1,293</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1,317</w:t>
            </w:r>
          </w:p>
        </w:tc>
      </w:tr>
      <w:tr w:rsidR="000E3AA8" w:rsidRPr="00C85492" w:rsidTr="001B52A9">
        <w:trPr>
          <w:cantSplit/>
          <w:trHeight w:val="225"/>
        </w:trPr>
        <w:tc>
          <w:tcPr>
            <w:tcW w:w="1559" w:type="dxa"/>
            <w:vMerge w:val="restart"/>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lastRenderedPageBreak/>
              <w:t>CCS retrofit</w:t>
            </w:r>
          </w:p>
        </w:tc>
        <w:tc>
          <w:tcPr>
            <w:tcW w:w="3687" w:type="dxa"/>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PC Subcritical Brown Coal - Retrofit CCS</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1,392</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1,418</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1,146</w:t>
            </w:r>
          </w:p>
        </w:tc>
        <w:tc>
          <w:tcPr>
            <w:tcW w:w="992"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1,116</w:t>
            </w:r>
          </w:p>
        </w:tc>
        <w:tc>
          <w:tcPr>
            <w:tcW w:w="993" w:type="dxa"/>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1,103</w:t>
            </w:r>
          </w:p>
        </w:tc>
      </w:tr>
      <w:tr w:rsidR="000E3AA8" w:rsidRPr="00C85492" w:rsidTr="001B52A9">
        <w:trPr>
          <w:cantSplit/>
          <w:trHeight w:val="225"/>
        </w:trPr>
        <w:tc>
          <w:tcPr>
            <w:tcW w:w="1559" w:type="dxa"/>
            <w:vMerge/>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tcBorders>
              <w:bottom w:val="single" w:sz="2" w:space="0" w:color="C0C0C0"/>
            </w:tcBorders>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PC Subcritical Black Coal - Retrofit CCS</w:t>
            </w:r>
          </w:p>
        </w:tc>
        <w:tc>
          <w:tcPr>
            <w:tcW w:w="992" w:type="dxa"/>
            <w:tcBorders>
              <w:bottom w:val="single" w:sz="2" w:space="0" w:color="C0C0C0"/>
            </w:tcBorders>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1,886</w:t>
            </w:r>
          </w:p>
        </w:tc>
        <w:tc>
          <w:tcPr>
            <w:tcW w:w="992" w:type="dxa"/>
            <w:tcBorders>
              <w:bottom w:val="single" w:sz="2" w:space="0" w:color="C0C0C0"/>
            </w:tcBorders>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1,954</w:t>
            </w:r>
          </w:p>
        </w:tc>
        <w:tc>
          <w:tcPr>
            <w:tcW w:w="992" w:type="dxa"/>
            <w:tcBorders>
              <w:bottom w:val="single" w:sz="2" w:space="0" w:color="C0C0C0"/>
            </w:tcBorders>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2,157</w:t>
            </w:r>
          </w:p>
        </w:tc>
        <w:tc>
          <w:tcPr>
            <w:tcW w:w="992" w:type="dxa"/>
            <w:tcBorders>
              <w:bottom w:val="single" w:sz="2" w:space="0" w:color="C0C0C0"/>
            </w:tcBorders>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2,186</w:t>
            </w:r>
          </w:p>
        </w:tc>
        <w:tc>
          <w:tcPr>
            <w:tcW w:w="993" w:type="dxa"/>
            <w:tcBorders>
              <w:bottom w:val="single" w:sz="2" w:space="0" w:color="C0C0C0"/>
            </w:tcBorders>
            <w:shd w:val="clear" w:color="auto" w:fill="auto"/>
            <w:noWrap/>
            <w:vAlign w:val="bottom"/>
            <w:hideMark/>
          </w:tcPr>
          <w:p w:rsidR="000E3AA8" w:rsidRPr="000E3AA8" w:rsidRDefault="000E3AA8" w:rsidP="00245E9E">
            <w:pPr>
              <w:pStyle w:val="Tabletext"/>
              <w:keepNext w:val="0"/>
              <w:ind w:left="284"/>
              <w:rPr>
                <w:sz w:val="12"/>
                <w:szCs w:val="12"/>
                <w:lang w:eastAsia="en-AU"/>
              </w:rPr>
            </w:pPr>
            <w:r w:rsidRPr="001B52A9">
              <w:rPr>
                <w:rFonts w:cs="Arial"/>
                <w:sz w:val="12"/>
                <w:szCs w:val="12"/>
              </w:rPr>
              <w:t>2,260</w:t>
            </w:r>
          </w:p>
        </w:tc>
      </w:tr>
      <w:tr w:rsidR="000E3AA8" w:rsidRPr="00C85492" w:rsidTr="001B52A9">
        <w:trPr>
          <w:cantSplit/>
          <w:trHeight w:val="86"/>
        </w:trPr>
        <w:tc>
          <w:tcPr>
            <w:tcW w:w="1559" w:type="dxa"/>
            <w:vMerge/>
            <w:tcBorders>
              <w:bottom w:val="single" w:sz="2" w:space="0" w:color="999999"/>
            </w:tcBorders>
            <w:shd w:val="clear" w:color="auto" w:fill="auto"/>
            <w:noWrap/>
            <w:vAlign w:val="center"/>
            <w:hideMark/>
          </w:tcPr>
          <w:p w:rsidR="000E3AA8" w:rsidRPr="00C85492" w:rsidRDefault="000E3AA8" w:rsidP="00C85492">
            <w:pPr>
              <w:pStyle w:val="Tabletext"/>
              <w:keepNext w:val="0"/>
              <w:rPr>
                <w:sz w:val="12"/>
                <w:szCs w:val="12"/>
                <w:lang w:eastAsia="en-AU"/>
              </w:rPr>
            </w:pPr>
          </w:p>
        </w:tc>
        <w:tc>
          <w:tcPr>
            <w:tcW w:w="3687" w:type="dxa"/>
            <w:tcBorders>
              <w:top w:val="single" w:sz="2" w:space="0" w:color="C0C0C0"/>
              <w:bottom w:val="single" w:sz="2" w:space="0" w:color="999999"/>
            </w:tcBorders>
            <w:shd w:val="clear" w:color="auto" w:fill="auto"/>
            <w:noWrap/>
            <w:vAlign w:val="center"/>
            <w:hideMark/>
          </w:tcPr>
          <w:p w:rsidR="000E3AA8" w:rsidRPr="00C85492" w:rsidRDefault="000E3AA8" w:rsidP="00C85492">
            <w:pPr>
              <w:pStyle w:val="Tabletext"/>
              <w:keepNext w:val="0"/>
              <w:rPr>
                <w:sz w:val="12"/>
                <w:szCs w:val="12"/>
                <w:lang w:eastAsia="en-AU"/>
              </w:rPr>
            </w:pPr>
            <w:r w:rsidRPr="00C85492">
              <w:rPr>
                <w:sz w:val="12"/>
                <w:szCs w:val="12"/>
                <w:lang w:eastAsia="en-AU"/>
              </w:rPr>
              <w:t>Existing CCGT with retrofit CCS</w:t>
            </w:r>
          </w:p>
        </w:tc>
        <w:tc>
          <w:tcPr>
            <w:tcW w:w="992" w:type="dxa"/>
            <w:tcBorders>
              <w:top w:val="single" w:sz="2" w:space="0" w:color="C0C0C0"/>
              <w:bottom w:val="single" w:sz="2" w:space="0" w:color="999999"/>
            </w:tcBorders>
            <w:shd w:val="clear" w:color="auto" w:fill="auto"/>
            <w:noWrap/>
            <w:vAlign w:val="bottom"/>
          </w:tcPr>
          <w:p w:rsidR="000E3AA8" w:rsidRPr="000E3AA8" w:rsidRDefault="000E3AA8" w:rsidP="00245E9E">
            <w:pPr>
              <w:pStyle w:val="Tabletext"/>
              <w:keepNext w:val="0"/>
              <w:ind w:left="284"/>
              <w:rPr>
                <w:sz w:val="12"/>
                <w:szCs w:val="12"/>
                <w:lang w:eastAsia="en-AU"/>
              </w:rPr>
            </w:pPr>
            <w:r w:rsidRPr="001B52A9">
              <w:rPr>
                <w:rFonts w:cs="Arial"/>
                <w:sz w:val="12"/>
                <w:szCs w:val="12"/>
              </w:rPr>
              <w:t>3,450</w:t>
            </w:r>
          </w:p>
        </w:tc>
        <w:tc>
          <w:tcPr>
            <w:tcW w:w="992" w:type="dxa"/>
            <w:tcBorders>
              <w:top w:val="single" w:sz="2" w:space="0" w:color="C0C0C0"/>
              <w:bottom w:val="single" w:sz="2" w:space="0" w:color="999999"/>
            </w:tcBorders>
            <w:shd w:val="clear" w:color="auto" w:fill="auto"/>
            <w:noWrap/>
            <w:vAlign w:val="bottom"/>
          </w:tcPr>
          <w:p w:rsidR="000E3AA8" w:rsidRPr="000E3AA8" w:rsidRDefault="000E3AA8" w:rsidP="00245E9E">
            <w:pPr>
              <w:pStyle w:val="Tabletext"/>
              <w:keepNext w:val="0"/>
              <w:ind w:left="284"/>
              <w:rPr>
                <w:sz w:val="12"/>
                <w:szCs w:val="12"/>
                <w:lang w:eastAsia="en-AU"/>
              </w:rPr>
            </w:pPr>
            <w:r w:rsidRPr="001B52A9">
              <w:rPr>
                <w:rFonts w:cs="Arial"/>
                <w:sz w:val="12"/>
                <w:szCs w:val="12"/>
              </w:rPr>
              <w:t>3,507</w:t>
            </w:r>
          </w:p>
        </w:tc>
        <w:tc>
          <w:tcPr>
            <w:tcW w:w="992" w:type="dxa"/>
            <w:tcBorders>
              <w:top w:val="single" w:sz="2" w:space="0" w:color="C0C0C0"/>
              <w:bottom w:val="single" w:sz="2" w:space="0" w:color="999999"/>
            </w:tcBorders>
            <w:shd w:val="clear" w:color="auto" w:fill="auto"/>
            <w:noWrap/>
            <w:vAlign w:val="bottom"/>
          </w:tcPr>
          <w:p w:rsidR="000E3AA8" w:rsidRPr="000E3AA8" w:rsidRDefault="000E3AA8" w:rsidP="00245E9E">
            <w:pPr>
              <w:pStyle w:val="Tabletext"/>
              <w:keepNext w:val="0"/>
              <w:ind w:left="284"/>
              <w:rPr>
                <w:sz w:val="12"/>
                <w:szCs w:val="12"/>
                <w:lang w:eastAsia="en-AU"/>
              </w:rPr>
            </w:pPr>
            <w:r w:rsidRPr="001B52A9">
              <w:rPr>
                <w:rFonts w:cs="Arial"/>
                <w:sz w:val="12"/>
                <w:szCs w:val="12"/>
              </w:rPr>
              <w:t>3,708</w:t>
            </w:r>
          </w:p>
        </w:tc>
        <w:tc>
          <w:tcPr>
            <w:tcW w:w="992" w:type="dxa"/>
            <w:tcBorders>
              <w:top w:val="single" w:sz="2" w:space="0" w:color="C0C0C0"/>
              <w:bottom w:val="single" w:sz="2" w:space="0" w:color="999999"/>
            </w:tcBorders>
            <w:shd w:val="clear" w:color="auto" w:fill="auto"/>
            <w:noWrap/>
            <w:vAlign w:val="bottom"/>
          </w:tcPr>
          <w:p w:rsidR="000E3AA8" w:rsidRPr="000E3AA8" w:rsidRDefault="000E3AA8" w:rsidP="00245E9E">
            <w:pPr>
              <w:pStyle w:val="Tabletext"/>
              <w:keepNext w:val="0"/>
              <w:ind w:left="284"/>
              <w:rPr>
                <w:sz w:val="12"/>
                <w:szCs w:val="12"/>
                <w:lang w:eastAsia="en-AU"/>
              </w:rPr>
            </w:pPr>
            <w:r w:rsidRPr="001B52A9">
              <w:rPr>
                <w:rFonts w:cs="Arial"/>
                <w:sz w:val="12"/>
                <w:szCs w:val="12"/>
              </w:rPr>
              <w:t>3,705</w:t>
            </w:r>
          </w:p>
        </w:tc>
        <w:tc>
          <w:tcPr>
            <w:tcW w:w="993" w:type="dxa"/>
            <w:tcBorders>
              <w:top w:val="single" w:sz="2" w:space="0" w:color="C0C0C0"/>
              <w:bottom w:val="single" w:sz="2" w:space="0" w:color="999999"/>
            </w:tcBorders>
            <w:shd w:val="clear" w:color="auto" w:fill="auto"/>
            <w:noWrap/>
            <w:vAlign w:val="bottom"/>
          </w:tcPr>
          <w:p w:rsidR="000E3AA8" w:rsidRPr="000E3AA8" w:rsidRDefault="000E3AA8" w:rsidP="00245E9E">
            <w:pPr>
              <w:pStyle w:val="Tabletext"/>
              <w:keepNext w:val="0"/>
              <w:ind w:left="284"/>
              <w:rPr>
                <w:sz w:val="12"/>
                <w:szCs w:val="12"/>
                <w:lang w:eastAsia="en-AU"/>
              </w:rPr>
            </w:pPr>
            <w:r w:rsidRPr="001B52A9">
              <w:rPr>
                <w:rFonts w:cs="Arial"/>
                <w:sz w:val="12"/>
                <w:szCs w:val="12"/>
              </w:rPr>
              <w:t>3,752</w:t>
            </w:r>
          </w:p>
        </w:tc>
      </w:tr>
    </w:tbl>
    <w:p w:rsidR="00C85492" w:rsidRDefault="00C85492" w:rsidP="00C85492">
      <w:pPr>
        <w:pStyle w:val="Note"/>
        <w:ind w:left="-2835"/>
      </w:pPr>
      <w:r w:rsidRPr="00C85492">
        <w:rPr>
          <w:i/>
        </w:rPr>
        <w:t>Note:</w:t>
      </w:r>
      <w:r w:rsidRPr="00C85492">
        <w:t xml:space="preserve"> CCS capital costs are inclusive of capture, but exclude CO</w:t>
      </w:r>
      <w:r w:rsidRPr="0095744E">
        <w:rPr>
          <w:vertAlign w:val="subscript"/>
        </w:rPr>
        <w:t>2</w:t>
      </w:r>
      <w:r w:rsidRPr="00C85492">
        <w:t xml:space="preserve"> transport and storage costs. These are treated separately, as discussed in section 3.5.3.</w:t>
      </w:r>
    </w:p>
    <w:p w:rsidR="00C85492" w:rsidRPr="00C85492" w:rsidRDefault="00C85492" w:rsidP="00C85492">
      <w:pPr>
        <w:pStyle w:val="Source"/>
        <w:ind w:left="-2835"/>
      </w:pPr>
      <w:r>
        <w:t xml:space="preserve">Source: </w:t>
      </w:r>
      <w:r w:rsidRPr="00C85492">
        <w:t xml:space="preserve">ACIL </w:t>
      </w:r>
      <w:r>
        <w:t>Allen</w:t>
      </w:r>
      <w:r w:rsidRPr="00C85492">
        <w:t xml:space="preserve"> based on ACIL </w:t>
      </w:r>
      <w:r>
        <w:t>Allen</w:t>
      </w:r>
      <w:r w:rsidRPr="00C85492">
        <w:t>, BREE and Treasury inputs.</w:t>
      </w:r>
    </w:p>
    <w:p w:rsidR="00C85492" w:rsidRDefault="00C85492" w:rsidP="00F25432">
      <w:pPr>
        <w:pStyle w:val="BodyText"/>
      </w:pPr>
    </w:p>
    <w:p w:rsidR="00D00DCB" w:rsidRDefault="00D00DCB" w:rsidP="00D00DCB">
      <w:pPr>
        <w:pStyle w:val="Caption"/>
        <w:ind w:left="-1843"/>
      </w:pPr>
      <w:bookmarkStart w:id="85" w:name="_Ref365543284"/>
      <w:bookmarkStart w:id="86" w:name="_Toc370394674"/>
      <w:r>
        <w:lastRenderedPageBreak/>
        <w:t xml:space="preserve">Figure </w:t>
      </w:r>
      <w:fldSimple w:instr=" SEQ Figure \* ARABIC ">
        <w:r w:rsidR="00660A8E">
          <w:rPr>
            <w:noProof/>
          </w:rPr>
          <w:t>4</w:t>
        </w:r>
      </w:fldSimple>
      <w:bookmarkEnd w:id="85"/>
      <w:r w:rsidRPr="004E0C91">
        <w:rPr>
          <w:b/>
          <w:color w:val="000080"/>
        </w:rPr>
        <w:tab/>
      </w:r>
      <w:r w:rsidRPr="00D00DCB">
        <w:rPr>
          <w:rStyle w:val="CaptionLabel"/>
        </w:rPr>
        <w:t>Final capital costs for new entrant technologies for selected years – Central Policy scenario</w:t>
      </w:r>
      <w:bookmarkEnd w:id="86"/>
    </w:p>
    <w:tbl>
      <w:tblPr>
        <w:tblW w:w="6922" w:type="pct"/>
        <w:tblInd w:w="-283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0206"/>
      </w:tblGrid>
      <w:tr w:rsidR="00D00DCB" w:rsidTr="00D00DCB">
        <w:trPr>
          <w:cantSplit/>
        </w:trPr>
        <w:tc>
          <w:tcPr>
            <w:tcW w:w="5000" w:type="pct"/>
          </w:tcPr>
          <w:p w:rsidR="00D00DCB" w:rsidRDefault="00D00DCB" w:rsidP="004F4406">
            <w:pPr>
              <w:pStyle w:val="SmallDeltasRightAligned"/>
              <w:keepNext/>
            </w:pPr>
            <w:r>
              <w:rPr>
                <w:noProof/>
                <w:lang w:eastAsia="en-AU"/>
              </w:rPr>
              <w:drawing>
                <wp:inline distT="0" distB="0" distL="0" distR="0" wp14:anchorId="12E8ED07" wp14:editId="0CD9D979">
                  <wp:extent cx="481585" cy="2346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D00DCB" w:rsidTr="00F85731">
        <w:tblPrEx>
          <w:tblCellMar>
            <w:left w:w="108" w:type="dxa"/>
            <w:right w:w="108" w:type="dxa"/>
          </w:tblCellMar>
        </w:tblPrEx>
        <w:trPr>
          <w:cantSplit/>
        </w:trPr>
        <w:tc>
          <w:tcPr>
            <w:tcW w:w="5000" w:type="pct"/>
          </w:tcPr>
          <w:p w:rsidR="00D00DCB" w:rsidRDefault="00F85731" w:rsidP="004F4406">
            <w:pPr>
              <w:pStyle w:val="Figure"/>
            </w:pPr>
            <w:r>
              <w:rPr>
                <w:noProof/>
                <w:lang w:eastAsia="en-AU"/>
              </w:rPr>
              <w:drawing>
                <wp:inline distT="0" distB="0" distL="0" distR="0" wp14:anchorId="1C78A5B7" wp14:editId="5B7A1E24">
                  <wp:extent cx="5943600" cy="7751445"/>
                  <wp:effectExtent l="0" t="0" r="0" b="190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D00DCB" w:rsidRPr="00B50A1B" w:rsidRDefault="00D00DCB" w:rsidP="00D00DCB">
      <w:pPr>
        <w:pStyle w:val="Source"/>
        <w:ind w:left="-2835"/>
        <w:rPr>
          <w:i/>
        </w:rPr>
      </w:pPr>
      <w:r>
        <w:t>S</w:t>
      </w:r>
      <w:r w:rsidRPr="00B50A1B">
        <w:t>ource:</w:t>
      </w:r>
      <w:r w:rsidRPr="00954EED">
        <w:t xml:space="preserve"> </w:t>
      </w:r>
      <w:r w:rsidRPr="00D00DCB">
        <w:t xml:space="preserve">ACIL </w:t>
      </w:r>
      <w:r>
        <w:t>Allen</w:t>
      </w:r>
      <w:r w:rsidRPr="00D00DCB">
        <w:t xml:space="preserve"> based on ACIL </w:t>
      </w:r>
      <w:r>
        <w:t>Allen</w:t>
      </w:r>
      <w:r w:rsidRPr="00D00DCB">
        <w:t>, BREE and Treasury inputs.</w:t>
      </w:r>
    </w:p>
    <w:p w:rsidR="00D00DCB" w:rsidRDefault="00D00DCB" w:rsidP="00F25432">
      <w:pPr>
        <w:pStyle w:val="BodyText"/>
      </w:pPr>
    </w:p>
    <w:p w:rsidR="002045A1" w:rsidRDefault="002045A1" w:rsidP="002045A1">
      <w:pPr>
        <w:pStyle w:val="Caption"/>
        <w:ind w:left="-1843"/>
      </w:pPr>
      <w:bookmarkStart w:id="87" w:name="_Ref365543273"/>
      <w:bookmarkStart w:id="88" w:name="_Toc370394748"/>
      <w:r>
        <w:lastRenderedPageBreak/>
        <w:t xml:space="preserve">Table </w:t>
      </w:r>
      <w:fldSimple w:instr=" SEQ Table \* MERGEFORMAT ">
        <w:r w:rsidR="00660A8E">
          <w:rPr>
            <w:noProof/>
          </w:rPr>
          <w:t>6</w:t>
        </w:r>
      </w:fldSimple>
      <w:bookmarkEnd w:id="87"/>
      <w:r w:rsidRPr="002045A1">
        <w:rPr>
          <w:b/>
          <w:color w:val="000000"/>
        </w:rPr>
        <w:tab/>
        <w:t>Average real year-on-year capital cost change for each decade – Central Policy scenario</w:t>
      </w:r>
      <w:bookmarkEnd w:id="88"/>
    </w:p>
    <w:tbl>
      <w:tblPr>
        <w:tblW w:w="10206" w:type="dxa"/>
        <w:tblInd w:w="-2693" w:type="dxa"/>
        <w:tblBorders>
          <w:bottom w:val="single" w:sz="2" w:space="0" w:color="C0C0C0"/>
          <w:insideH w:val="single" w:sz="2" w:space="0" w:color="C0C0C0"/>
        </w:tblBorders>
        <w:tblLayout w:type="fixed"/>
        <w:tblCellMar>
          <w:left w:w="142" w:type="dxa"/>
          <w:right w:w="56" w:type="dxa"/>
        </w:tblCellMar>
        <w:tblLook w:val="04A0" w:firstRow="1" w:lastRow="0" w:firstColumn="1" w:lastColumn="0" w:noHBand="0" w:noVBand="1"/>
      </w:tblPr>
      <w:tblGrid>
        <w:gridCol w:w="1417"/>
        <w:gridCol w:w="3686"/>
        <w:gridCol w:w="1275"/>
        <w:gridCol w:w="1276"/>
        <w:gridCol w:w="1276"/>
        <w:gridCol w:w="1276"/>
      </w:tblGrid>
      <w:tr w:rsidR="002045A1" w:rsidRPr="009D6F29" w:rsidTr="002045A1">
        <w:trPr>
          <w:cantSplit/>
          <w:trHeight w:val="675"/>
        </w:trPr>
        <w:tc>
          <w:tcPr>
            <w:tcW w:w="1417" w:type="dxa"/>
            <w:tcBorders>
              <w:top w:val="nil"/>
            </w:tcBorders>
            <w:shd w:val="solid" w:color="9757A6" w:fill="D9D9D9"/>
            <w:vAlign w:val="center"/>
            <w:hideMark/>
          </w:tcPr>
          <w:p w:rsidR="002045A1" w:rsidRPr="009D6F29" w:rsidRDefault="002045A1" w:rsidP="002045A1">
            <w:pPr>
              <w:pStyle w:val="Tablecolumnheadings"/>
              <w:rPr>
                <w:sz w:val="14"/>
                <w:szCs w:val="14"/>
                <w:lang w:eastAsia="en-AU"/>
              </w:rPr>
            </w:pPr>
          </w:p>
        </w:tc>
        <w:tc>
          <w:tcPr>
            <w:tcW w:w="3686" w:type="dxa"/>
            <w:tcBorders>
              <w:top w:val="nil"/>
            </w:tcBorders>
            <w:shd w:val="solid" w:color="9757A6" w:fill="D9D9D9"/>
            <w:vAlign w:val="center"/>
            <w:hideMark/>
          </w:tcPr>
          <w:p w:rsidR="002045A1" w:rsidRPr="009D6F29" w:rsidRDefault="002045A1" w:rsidP="002045A1">
            <w:pPr>
              <w:pStyle w:val="Tablecolumnheadings"/>
              <w:rPr>
                <w:sz w:val="14"/>
                <w:szCs w:val="14"/>
                <w:lang w:eastAsia="en-AU"/>
              </w:rPr>
            </w:pPr>
            <w:r w:rsidRPr="009D6F29">
              <w:rPr>
                <w:sz w:val="14"/>
                <w:szCs w:val="14"/>
                <w:lang w:eastAsia="en-AU"/>
              </w:rPr>
              <w:t>Technology</w:t>
            </w:r>
          </w:p>
        </w:tc>
        <w:tc>
          <w:tcPr>
            <w:tcW w:w="1275" w:type="dxa"/>
            <w:tcBorders>
              <w:top w:val="nil"/>
            </w:tcBorders>
            <w:shd w:val="solid" w:color="9757A6" w:fill="D9D9D9"/>
            <w:vAlign w:val="center"/>
            <w:hideMark/>
          </w:tcPr>
          <w:p w:rsidR="002045A1" w:rsidRPr="009D6F29" w:rsidRDefault="002045A1" w:rsidP="002045A1">
            <w:pPr>
              <w:pStyle w:val="Tablecolumnheadings"/>
              <w:jc w:val="center"/>
              <w:rPr>
                <w:sz w:val="14"/>
                <w:szCs w:val="14"/>
                <w:lang w:eastAsia="en-AU"/>
              </w:rPr>
            </w:pPr>
            <w:r w:rsidRPr="009D6F29">
              <w:rPr>
                <w:sz w:val="14"/>
                <w:szCs w:val="14"/>
                <w:lang w:eastAsia="en-AU"/>
              </w:rPr>
              <w:t>2011-12 to 2019-20</w:t>
            </w:r>
          </w:p>
        </w:tc>
        <w:tc>
          <w:tcPr>
            <w:tcW w:w="1276" w:type="dxa"/>
            <w:tcBorders>
              <w:top w:val="nil"/>
            </w:tcBorders>
            <w:shd w:val="solid" w:color="9757A6" w:fill="D9D9D9"/>
            <w:vAlign w:val="center"/>
            <w:hideMark/>
          </w:tcPr>
          <w:p w:rsidR="002045A1" w:rsidRPr="009D6F29" w:rsidRDefault="002045A1" w:rsidP="002045A1">
            <w:pPr>
              <w:pStyle w:val="Tablecolumnheadings"/>
              <w:jc w:val="center"/>
              <w:rPr>
                <w:sz w:val="14"/>
                <w:szCs w:val="14"/>
                <w:lang w:eastAsia="en-AU"/>
              </w:rPr>
            </w:pPr>
            <w:r w:rsidRPr="009D6F29">
              <w:rPr>
                <w:sz w:val="14"/>
                <w:szCs w:val="14"/>
                <w:lang w:eastAsia="en-AU"/>
              </w:rPr>
              <w:t>2019-20 to 2029-30</w:t>
            </w:r>
          </w:p>
        </w:tc>
        <w:tc>
          <w:tcPr>
            <w:tcW w:w="1276" w:type="dxa"/>
            <w:tcBorders>
              <w:top w:val="nil"/>
            </w:tcBorders>
            <w:shd w:val="solid" w:color="9757A6" w:fill="D9D9D9"/>
            <w:vAlign w:val="center"/>
            <w:hideMark/>
          </w:tcPr>
          <w:p w:rsidR="002045A1" w:rsidRPr="009D6F29" w:rsidRDefault="002045A1" w:rsidP="002045A1">
            <w:pPr>
              <w:pStyle w:val="Tablecolumnheadings"/>
              <w:jc w:val="center"/>
              <w:rPr>
                <w:sz w:val="14"/>
                <w:szCs w:val="14"/>
                <w:lang w:eastAsia="en-AU"/>
              </w:rPr>
            </w:pPr>
            <w:r w:rsidRPr="009D6F29">
              <w:rPr>
                <w:sz w:val="14"/>
                <w:szCs w:val="14"/>
                <w:lang w:eastAsia="en-AU"/>
              </w:rPr>
              <w:t>2029-30 to 2039-40</w:t>
            </w:r>
          </w:p>
        </w:tc>
        <w:tc>
          <w:tcPr>
            <w:tcW w:w="1276" w:type="dxa"/>
            <w:tcBorders>
              <w:top w:val="nil"/>
            </w:tcBorders>
            <w:shd w:val="solid" w:color="9757A6" w:fill="D9D9D9"/>
            <w:vAlign w:val="center"/>
            <w:hideMark/>
          </w:tcPr>
          <w:p w:rsidR="002045A1" w:rsidRPr="009D6F29" w:rsidRDefault="002045A1" w:rsidP="002045A1">
            <w:pPr>
              <w:pStyle w:val="Tablecolumnheadings"/>
              <w:jc w:val="center"/>
              <w:rPr>
                <w:sz w:val="14"/>
                <w:szCs w:val="14"/>
                <w:lang w:eastAsia="en-AU"/>
              </w:rPr>
            </w:pPr>
            <w:r w:rsidRPr="009D6F29">
              <w:rPr>
                <w:sz w:val="14"/>
                <w:szCs w:val="14"/>
                <w:lang w:eastAsia="en-AU"/>
              </w:rPr>
              <w:t>2039-40 to 2049-50</w:t>
            </w:r>
          </w:p>
        </w:tc>
      </w:tr>
      <w:tr w:rsidR="002045A1" w:rsidRPr="009D6F29" w:rsidTr="002045A1">
        <w:trPr>
          <w:cantSplit/>
          <w:trHeight w:val="225"/>
        </w:trPr>
        <w:tc>
          <w:tcPr>
            <w:tcW w:w="1417" w:type="dxa"/>
            <w:vMerge w:val="restart"/>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Coal</w:t>
            </w: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PC Supercritical – Brown Coal</w:t>
            </w:r>
          </w:p>
        </w:tc>
        <w:tc>
          <w:tcPr>
            <w:tcW w:w="1275" w:type="dxa"/>
            <w:shd w:val="clear" w:color="000000" w:fill="F5E883"/>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c>
          <w:tcPr>
            <w:tcW w:w="1276" w:type="dxa"/>
            <w:shd w:val="clear" w:color="000000" w:fill="FDB67A"/>
            <w:noWrap/>
            <w:vAlign w:val="center"/>
            <w:hideMark/>
          </w:tcPr>
          <w:p w:rsidR="002045A1" w:rsidRPr="009D6F29" w:rsidRDefault="002045A1" w:rsidP="002045A1">
            <w:pPr>
              <w:pStyle w:val="Tabletext"/>
              <w:jc w:val="center"/>
              <w:rPr>
                <w:sz w:val="14"/>
                <w:szCs w:val="14"/>
                <w:lang w:eastAsia="en-AU"/>
              </w:rPr>
            </w:pPr>
            <w:r w:rsidRPr="009D6F29">
              <w:rPr>
                <w:sz w:val="14"/>
                <w:szCs w:val="14"/>
              </w:rPr>
              <w:t>0.6%</w:t>
            </w:r>
          </w:p>
        </w:tc>
        <w:tc>
          <w:tcPr>
            <w:tcW w:w="1276" w:type="dxa"/>
            <w:shd w:val="clear" w:color="000000" w:fill="FECF7F"/>
            <w:noWrap/>
            <w:vAlign w:val="center"/>
            <w:hideMark/>
          </w:tcPr>
          <w:p w:rsidR="002045A1" w:rsidRPr="009D6F29" w:rsidRDefault="002045A1" w:rsidP="002045A1">
            <w:pPr>
              <w:pStyle w:val="Tabletext"/>
              <w:jc w:val="center"/>
              <w:rPr>
                <w:sz w:val="14"/>
                <w:szCs w:val="14"/>
                <w:lang w:eastAsia="en-AU"/>
              </w:rPr>
            </w:pPr>
            <w:r w:rsidRPr="009D6F29">
              <w:rPr>
                <w:sz w:val="14"/>
                <w:szCs w:val="14"/>
              </w:rPr>
              <w:t>0.0%</w:t>
            </w:r>
          </w:p>
        </w:tc>
        <w:tc>
          <w:tcPr>
            <w:tcW w:w="1276" w:type="dxa"/>
            <w:shd w:val="clear" w:color="000000" w:fill="FED480"/>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PC Supercritical Black Coal</w:t>
            </w:r>
          </w:p>
        </w:tc>
        <w:tc>
          <w:tcPr>
            <w:tcW w:w="1275" w:type="dxa"/>
            <w:shd w:val="clear" w:color="000000" w:fill="D9E081"/>
            <w:noWrap/>
            <w:vAlign w:val="center"/>
            <w:hideMark/>
          </w:tcPr>
          <w:p w:rsidR="002045A1" w:rsidRPr="009D6F29" w:rsidRDefault="002045A1" w:rsidP="002045A1">
            <w:pPr>
              <w:pStyle w:val="Tabletext"/>
              <w:jc w:val="center"/>
              <w:rPr>
                <w:sz w:val="14"/>
                <w:szCs w:val="14"/>
                <w:lang w:eastAsia="en-AU"/>
              </w:rPr>
            </w:pPr>
            <w:r w:rsidRPr="009D6F29">
              <w:rPr>
                <w:sz w:val="14"/>
                <w:szCs w:val="14"/>
              </w:rPr>
              <w:t>-1.4%</w:t>
            </w:r>
          </w:p>
        </w:tc>
        <w:tc>
          <w:tcPr>
            <w:tcW w:w="1276" w:type="dxa"/>
            <w:shd w:val="clear" w:color="000000" w:fill="FCAE79"/>
            <w:noWrap/>
            <w:vAlign w:val="center"/>
            <w:hideMark/>
          </w:tcPr>
          <w:p w:rsidR="002045A1" w:rsidRPr="009D6F29" w:rsidRDefault="002045A1" w:rsidP="002045A1">
            <w:pPr>
              <w:pStyle w:val="Tabletext"/>
              <w:jc w:val="center"/>
              <w:rPr>
                <w:sz w:val="14"/>
                <w:szCs w:val="14"/>
                <w:lang w:eastAsia="en-AU"/>
              </w:rPr>
            </w:pPr>
            <w:r w:rsidRPr="009D6F29">
              <w:rPr>
                <w:sz w:val="14"/>
                <w:szCs w:val="14"/>
              </w:rPr>
              <w:t>0.6%</w:t>
            </w:r>
          </w:p>
        </w:tc>
        <w:tc>
          <w:tcPr>
            <w:tcW w:w="1276" w:type="dxa"/>
            <w:shd w:val="clear" w:color="000000" w:fill="FEC87E"/>
            <w:noWrap/>
            <w:vAlign w:val="center"/>
            <w:hideMark/>
          </w:tcPr>
          <w:p w:rsidR="002045A1" w:rsidRPr="009D6F29" w:rsidRDefault="002045A1" w:rsidP="002045A1">
            <w:pPr>
              <w:pStyle w:val="Tabletext"/>
              <w:jc w:val="center"/>
              <w:rPr>
                <w:sz w:val="14"/>
                <w:szCs w:val="14"/>
                <w:lang w:eastAsia="en-AU"/>
              </w:rPr>
            </w:pPr>
            <w:r w:rsidRPr="009D6F29">
              <w:rPr>
                <w:sz w:val="14"/>
                <w:szCs w:val="14"/>
              </w:rPr>
              <w:t>0.0%</w:t>
            </w:r>
          </w:p>
        </w:tc>
        <w:tc>
          <w:tcPr>
            <w:tcW w:w="1276" w:type="dxa"/>
            <w:shd w:val="clear" w:color="000000" w:fill="FECE7F"/>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PC Supercritical Black Coal (SWIS Scale)</w:t>
            </w:r>
          </w:p>
        </w:tc>
        <w:tc>
          <w:tcPr>
            <w:tcW w:w="1275" w:type="dxa"/>
            <w:shd w:val="clear" w:color="000000" w:fill="D9E081"/>
            <w:noWrap/>
            <w:vAlign w:val="center"/>
            <w:hideMark/>
          </w:tcPr>
          <w:p w:rsidR="002045A1" w:rsidRPr="009D6F29" w:rsidRDefault="002045A1" w:rsidP="002045A1">
            <w:pPr>
              <w:pStyle w:val="Tabletext"/>
              <w:jc w:val="center"/>
              <w:rPr>
                <w:sz w:val="14"/>
                <w:szCs w:val="14"/>
                <w:lang w:eastAsia="en-AU"/>
              </w:rPr>
            </w:pPr>
            <w:r w:rsidRPr="009D6F29">
              <w:rPr>
                <w:sz w:val="14"/>
                <w:szCs w:val="14"/>
              </w:rPr>
              <w:t>-1.3%</w:t>
            </w:r>
          </w:p>
        </w:tc>
        <w:tc>
          <w:tcPr>
            <w:tcW w:w="1276" w:type="dxa"/>
            <w:shd w:val="clear" w:color="000000" w:fill="FCAC78"/>
            <w:noWrap/>
            <w:vAlign w:val="center"/>
            <w:hideMark/>
          </w:tcPr>
          <w:p w:rsidR="002045A1" w:rsidRPr="009D6F29" w:rsidRDefault="002045A1" w:rsidP="002045A1">
            <w:pPr>
              <w:pStyle w:val="Tabletext"/>
              <w:jc w:val="center"/>
              <w:rPr>
                <w:sz w:val="14"/>
                <w:szCs w:val="14"/>
                <w:lang w:eastAsia="en-AU"/>
              </w:rPr>
            </w:pPr>
            <w:r w:rsidRPr="009D6F29">
              <w:rPr>
                <w:sz w:val="14"/>
                <w:szCs w:val="14"/>
              </w:rPr>
              <w:t>0.6%</w:t>
            </w:r>
          </w:p>
        </w:tc>
        <w:tc>
          <w:tcPr>
            <w:tcW w:w="1276" w:type="dxa"/>
            <w:shd w:val="clear" w:color="000000" w:fill="FDC67D"/>
            <w:noWrap/>
            <w:vAlign w:val="center"/>
            <w:hideMark/>
          </w:tcPr>
          <w:p w:rsidR="002045A1" w:rsidRPr="009D6F29" w:rsidRDefault="002045A1" w:rsidP="002045A1">
            <w:pPr>
              <w:pStyle w:val="Tabletext"/>
              <w:jc w:val="center"/>
              <w:rPr>
                <w:sz w:val="14"/>
                <w:szCs w:val="14"/>
                <w:lang w:eastAsia="en-AU"/>
              </w:rPr>
            </w:pPr>
            <w:r w:rsidRPr="009D6F29">
              <w:rPr>
                <w:sz w:val="14"/>
                <w:szCs w:val="14"/>
              </w:rPr>
              <w:t>0.0%</w:t>
            </w:r>
          </w:p>
        </w:tc>
        <w:tc>
          <w:tcPr>
            <w:tcW w:w="1276" w:type="dxa"/>
            <w:shd w:val="clear" w:color="000000" w:fill="FECC7E"/>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r>
      <w:tr w:rsidR="002045A1" w:rsidRPr="009D6F29" w:rsidTr="002045A1">
        <w:trPr>
          <w:cantSplit/>
          <w:trHeight w:val="225"/>
        </w:trPr>
        <w:tc>
          <w:tcPr>
            <w:tcW w:w="1417" w:type="dxa"/>
            <w:vMerge w:val="restart"/>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Natural gas</w:t>
            </w: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CCGT</w:t>
            </w:r>
          </w:p>
        </w:tc>
        <w:tc>
          <w:tcPr>
            <w:tcW w:w="1275" w:type="dxa"/>
            <w:shd w:val="clear" w:color="000000" w:fill="F7E883"/>
            <w:noWrap/>
            <w:vAlign w:val="center"/>
            <w:hideMark/>
          </w:tcPr>
          <w:p w:rsidR="002045A1" w:rsidRPr="009D6F29" w:rsidRDefault="002045A1" w:rsidP="002045A1">
            <w:pPr>
              <w:pStyle w:val="Tabletext"/>
              <w:jc w:val="center"/>
              <w:rPr>
                <w:sz w:val="14"/>
                <w:szCs w:val="14"/>
                <w:lang w:eastAsia="en-AU"/>
              </w:rPr>
            </w:pPr>
            <w:r w:rsidRPr="009D6F29">
              <w:rPr>
                <w:sz w:val="14"/>
                <w:szCs w:val="14"/>
              </w:rPr>
              <w:t>0.4%</w:t>
            </w:r>
          </w:p>
        </w:tc>
        <w:tc>
          <w:tcPr>
            <w:tcW w:w="1276" w:type="dxa"/>
            <w:shd w:val="clear" w:color="000000" w:fill="FA7F70"/>
            <w:noWrap/>
            <w:vAlign w:val="center"/>
            <w:hideMark/>
          </w:tcPr>
          <w:p w:rsidR="002045A1" w:rsidRPr="009D6F29" w:rsidRDefault="002045A1" w:rsidP="002045A1">
            <w:pPr>
              <w:pStyle w:val="Tabletext"/>
              <w:jc w:val="center"/>
              <w:rPr>
                <w:sz w:val="14"/>
                <w:szCs w:val="14"/>
                <w:lang w:eastAsia="en-AU"/>
              </w:rPr>
            </w:pPr>
            <w:r w:rsidRPr="009D6F29">
              <w:rPr>
                <w:sz w:val="14"/>
                <w:szCs w:val="14"/>
              </w:rPr>
              <w:t>1.0%</w:t>
            </w:r>
          </w:p>
        </w:tc>
        <w:tc>
          <w:tcPr>
            <w:tcW w:w="1276" w:type="dxa"/>
            <w:shd w:val="clear" w:color="000000" w:fill="FB9D75"/>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c>
          <w:tcPr>
            <w:tcW w:w="1276" w:type="dxa"/>
            <w:shd w:val="clear" w:color="000000" w:fill="FCB279"/>
            <w:noWrap/>
            <w:vAlign w:val="center"/>
            <w:hideMark/>
          </w:tcPr>
          <w:p w:rsidR="002045A1" w:rsidRPr="009D6F29" w:rsidRDefault="002045A1" w:rsidP="002045A1">
            <w:pPr>
              <w:pStyle w:val="Tabletext"/>
              <w:jc w:val="center"/>
              <w:rPr>
                <w:sz w:val="14"/>
                <w:szCs w:val="14"/>
                <w:lang w:eastAsia="en-AU"/>
              </w:rPr>
            </w:pPr>
            <w:r w:rsidRPr="009D6F29">
              <w:rPr>
                <w:sz w:val="14"/>
                <w:szCs w:val="14"/>
              </w:rPr>
              <w:t>0.3%</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CCGT SWIS Scale</w:t>
            </w:r>
          </w:p>
        </w:tc>
        <w:tc>
          <w:tcPr>
            <w:tcW w:w="1275" w:type="dxa"/>
            <w:shd w:val="clear" w:color="000000" w:fill="F7E883"/>
            <w:noWrap/>
            <w:vAlign w:val="center"/>
            <w:hideMark/>
          </w:tcPr>
          <w:p w:rsidR="002045A1" w:rsidRPr="009D6F29" w:rsidRDefault="002045A1" w:rsidP="002045A1">
            <w:pPr>
              <w:pStyle w:val="Tabletext"/>
              <w:jc w:val="center"/>
              <w:rPr>
                <w:sz w:val="14"/>
                <w:szCs w:val="14"/>
                <w:lang w:eastAsia="en-AU"/>
              </w:rPr>
            </w:pPr>
            <w:r w:rsidRPr="009D6F29">
              <w:rPr>
                <w:sz w:val="14"/>
                <w:szCs w:val="14"/>
              </w:rPr>
              <w:t>0.4%</w:t>
            </w:r>
          </w:p>
        </w:tc>
        <w:tc>
          <w:tcPr>
            <w:tcW w:w="1276" w:type="dxa"/>
            <w:shd w:val="clear" w:color="000000" w:fill="FA7F70"/>
            <w:noWrap/>
            <w:vAlign w:val="center"/>
            <w:hideMark/>
          </w:tcPr>
          <w:p w:rsidR="002045A1" w:rsidRPr="009D6F29" w:rsidRDefault="002045A1" w:rsidP="002045A1">
            <w:pPr>
              <w:pStyle w:val="Tabletext"/>
              <w:jc w:val="center"/>
              <w:rPr>
                <w:sz w:val="14"/>
                <w:szCs w:val="14"/>
                <w:lang w:eastAsia="en-AU"/>
              </w:rPr>
            </w:pPr>
            <w:r w:rsidRPr="009D6F29">
              <w:rPr>
                <w:sz w:val="14"/>
                <w:szCs w:val="14"/>
              </w:rPr>
              <w:t>1.0%</w:t>
            </w:r>
          </w:p>
        </w:tc>
        <w:tc>
          <w:tcPr>
            <w:tcW w:w="1276" w:type="dxa"/>
            <w:shd w:val="clear" w:color="000000" w:fill="FB9D75"/>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c>
          <w:tcPr>
            <w:tcW w:w="1276" w:type="dxa"/>
            <w:shd w:val="clear" w:color="000000" w:fill="FCB279"/>
            <w:noWrap/>
            <w:vAlign w:val="center"/>
            <w:hideMark/>
          </w:tcPr>
          <w:p w:rsidR="002045A1" w:rsidRPr="009D6F29" w:rsidRDefault="002045A1" w:rsidP="002045A1">
            <w:pPr>
              <w:pStyle w:val="Tabletext"/>
              <w:jc w:val="center"/>
              <w:rPr>
                <w:sz w:val="14"/>
                <w:szCs w:val="14"/>
                <w:lang w:eastAsia="en-AU"/>
              </w:rPr>
            </w:pPr>
            <w:r w:rsidRPr="009D6F29">
              <w:rPr>
                <w:sz w:val="14"/>
                <w:szCs w:val="14"/>
              </w:rPr>
              <w:t>0.3%</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OCGT</w:t>
            </w:r>
          </w:p>
        </w:tc>
        <w:tc>
          <w:tcPr>
            <w:tcW w:w="1275" w:type="dxa"/>
            <w:shd w:val="clear" w:color="000000" w:fill="ECE582"/>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c>
          <w:tcPr>
            <w:tcW w:w="1276" w:type="dxa"/>
            <w:shd w:val="clear" w:color="000000" w:fill="F9766E"/>
            <w:noWrap/>
            <w:vAlign w:val="center"/>
            <w:hideMark/>
          </w:tcPr>
          <w:p w:rsidR="002045A1" w:rsidRPr="009D6F29" w:rsidRDefault="002045A1" w:rsidP="002045A1">
            <w:pPr>
              <w:pStyle w:val="Tabletext"/>
              <w:jc w:val="center"/>
              <w:rPr>
                <w:sz w:val="14"/>
                <w:szCs w:val="14"/>
                <w:lang w:eastAsia="en-AU"/>
              </w:rPr>
            </w:pPr>
            <w:r w:rsidRPr="009D6F29">
              <w:rPr>
                <w:sz w:val="14"/>
                <w:szCs w:val="14"/>
              </w:rPr>
              <w:t>1.2%</w:t>
            </w:r>
          </w:p>
        </w:tc>
        <w:tc>
          <w:tcPr>
            <w:tcW w:w="1276" w:type="dxa"/>
            <w:shd w:val="clear" w:color="000000" w:fill="FB9774"/>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c>
          <w:tcPr>
            <w:tcW w:w="1276" w:type="dxa"/>
            <w:shd w:val="clear" w:color="000000" w:fill="FFE583"/>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r>
      <w:tr w:rsidR="002045A1" w:rsidRPr="009D6F29" w:rsidTr="002045A1">
        <w:trPr>
          <w:cantSplit/>
          <w:trHeight w:val="225"/>
        </w:trPr>
        <w:tc>
          <w:tcPr>
            <w:tcW w:w="1417" w:type="dxa"/>
            <w:vMerge w:val="restart"/>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Solar</w:t>
            </w: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CLFR</w:t>
            </w:r>
          </w:p>
        </w:tc>
        <w:tc>
          <w:tcPr>
            <w:tcW w:w="1275" w:type="dxa"/>
            <w:shd w:val="clear" w:color="000000" w:fill="63BE7B"/>
            <w:noWrap/>
            <w:vAlign w:val="center"/>
            <w:hideMark/>
          </w:tcPr>
          <w:p w:rsidR="002045A1" w:rsidRPr="009D6F29" w:rsidRDefault="002045A1" w:rsidP="002045A1">
            <w:pPr>
              <w:pStyle w:val="Tabletext"/>
              <w:jc w:val="center"/>
              <w:rPr>
                <w:sz w:val="14"/>
                <w:szCs w:val="14"/>
                <w:lang w:eastAsia="en-AU"/>
              </w:rPr>
            </w:pPr>
            <w:r w:rsidRPr="009D6F29">
              <w:rPr>
                <w:sz w:val="14"/>
                <w:szCs w:val="14"/>
              </w:rPr>
              <w:t>-7.7%</w:t>
            </w:r>
          </w:p>
        </w:tc>
        <w:tc>
          <w:tcPr>
            <w:tcW w:w="1276" w:type="dxa"/>
            <w:shd w:val="clear" w:color="000000" w:fill="E6E382"/>
            <w:noWrap/>
            <w:vAlign w:val="center"/>
            <w:hideMark/>
          </w:tcPr>
          <w:p w:rsidR="002045A1" w:rsidRPr="009D6F29" w:rsidRDefault="002045A1" w:rsidP="002045A1">
            <w:pPr>
              <w:pStyle w:val="Tabletext"/>
              <w:jc w:val="center"/>
              <w:rPr>
                <w:sz w:val="14"/>
                <w:szCs w:val="14"/>
                <w:lang w:eastAsia="en-AU"/>
              </w:rPr>
            </w:pPr>
            <w:r w:rsidRPr="009D6F29">
              <w:rPr>
                <w:sz w:val="14"/>
                <w:szCs w:val="14"/>
              </w:rPr>
              <w:t>-1.1%</w:t>
            </w:r>
          </w:p>
        </w:tc>
        <w:tc>
          <w:tcPr>
            <w:tcW w:w="1276" w:type="dxa"/>
            <w:shd w:val="clear" w:color="000000" w:fill="FCA276"/>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c>
          <w:tcPr>
            <w:tcW w:w="1276" w:type="dxa"/>
            <w:shd w:val="clear" w:color="000000" w:fill="FDBF7C"/>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CLFR with storage</w:t>
            </w:r>
          </w:p>
        </w:tc>
        <w:tc>
          <w:tcPr>
            <w:tcW w:w="1275" w:type="dxa"/>
            <w:shd w:val="clear" w:color="000000" w:fill="64BE7B"/>
            <w:noWrap/>
            <w:vAlign w:val="center"/>
            <w:hideMark/>
          </w:tcPr>
          <w:p w:rsidR="002045A1" w:rsidRPr="009D6F29" w:rsidRDefault="002045A1" w:rsidP="002045A1">
            <w:pPr>
              <w:pStyle w:val="Tabletext"/>
              <w:jc w:val="center"/>
              <w:rPr>
                <w:sz w:val="14"/>
                <w:szCs w:val="14"/>
                <w:lang w:eastAsia="en-AU"/>
              </w:rPr>
            </w:pPr>
            <w:r w:rsidRPr="009D6F29">
              <w:rPr>
                <w:sz w:val="14"/>
                <w:szCs w:val="14"/>
              </w:rPr>
              <w:t>-7.6%</w:t>
            </w:r>
          </w:p>
        </w:tc>
        <w:tc>
          <w:tcPr>
            <w:tcW w:w="1276" w:type="dxa"/>
            <w:shd w:val="clear" w:color="000000" w:fill="E6E382"/>
            <w:noWrap/>
            <w:vAlign w:val="center"/>
            <w:hideMark/>
          </w:tcPr>
          <w:p w:rsidR="002045A1" w:rsidRPr="009D6F29" w:rsidRDefault="002045A1" w:rsidP="002045A1">
            <w:pPr>
              <w:pStyle w:val="Tabletext"/>
              <w:jc w:val="center"/>
              <w:rPr>
                <w:sz w:val="14"/>
                <w:szCs w:val="14"/>
                <w:lang w:eastAsia="en-AU"/>
              </w:rPr>
            </w:pPr>
            <w:r w:rsidRPr="009D6F29">
              <w:rPr>
                <w:sz w:val="14"/>
                <w:szCs w:val="14"/>
              </w:rPr>
              <w:t>-1.1%</w:t>
            </w:r>
          </w:p>
        </w:tc>
        <w:tc>
          <w:tcPr>
            <w:tcW w:w="1276" w:type="dxa"/>
            <w:shd w:val="clear" w:color="000000" w:fill="FB9F76"/>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c>
          <w:tcPr>
            <w:tcW w:w="1276" w:type="dxa"/>
            <w:shd w:val="clear" w:color="000000" w:fill="FDB77A"/>
            <w:noWrap/>
            <w:vAlign w:val="center"/>
            <w:hideMark/>
          </w:tcPr>
          <w:p w:rsidR="002045A1" w:rsidRPr="009D6F29" w:rsidRDefault="002045A1" w:rsidP="002045A1">
            <w:pPr>
              <w:pStyle w:val="Tabletext"/>
              <w:jc w:val="center"/>
              <w:rPr>
                <w:sz w:val="14"/>
                <w:szCs w:val="14"/>
                <w:lang w:eastAsia="en-AU"/>
              </w:rPr>
            </w:pPr>
            <w:r w:rsidRPr="009D6F29">
              <w:rPr>
                <w:sz w:val="14"/>
                <w:szCs w:val="14"/>
              </w:rPr>
              <w:t>0.3%</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Parabolic trough</w:t>
            </w:r>
          </w:p>
        </w:tc>
        <w:tc>
          <w:tcPr>
            <w:tcW w:w="1275" w:type="dxa"/>
            <w:shd w:val="clear" w:color="000000" w:fill="63BE7B"/>
            <w:noWrap/>
            <w:vAlign w:val="center"/>
            <w:hideMark/>
          </w:tcPr>
          <w:p w:rsidR="002045A1" w:rsidRPr="009D6F29" w:rsidRDefault="002045A1" w:rsidP="002045A1">
            <w:pPr>
              <w:pStyle w:val="Tabletext"/>
              <w:jc w:val="center"/>
              <w:rPr>
                <w:sz w:val="14"/>
                <w:szCs w:val="14"/>
                <w:lang w:eastAsia="en-AU"/>
              </w:rPr>
            </w:pPr>
            <w:r w:rsidRPr="009D6F29">
              <w:rPr>
                <w:sz w:val="14"/>
                <w:szCs w:val="14"/>
              </w:rPr>
              <w:t>-7.7%</w:t>
            </w:r>
          </w:p>
        </w:tc>
        <w:tc>
          <w:tcPr>
            <w:tcW w:w="1276" w:type="dxa"/>
            <w:shd w:val="clear" w:color="000000" w:fill="E6E382"/>
            <w:noWrap/>
            <w:vAlign w:val="center"/>
            <w:hideMark/>
          </w:tcPr>
          <w:p w:rsidR="002045A1" w:rsidRPr="009D6F29" w:rsidRDefault="002045A1" w:rsidP="002045A1">
            <w:pPr>
              <w:pStyle w:val="Tabletext"/>
              <w:jc w:val="center"/>
              <w:rPr>
                <w:sz w:val="14"/>
                <w:szCs w:val="14"/>
                <w:lang w:eastAsia="en-AU"/>
              </w:rPr>
            </w:pPr>
            <w:r w:rsidRPr="009D6F29">
              <w:rPr>
                <w:sz w:val="14"/>
                <w:szCs w:val="14"/>
              </w:rPr>
              <w:t>-1.1%</w:t>
            </w:r>
          </w:p>
        </w:tc>
        <w:tc>
          <w:tcPr>
            <w:tcW w:w="1276" w:type="dxa"/>
            <w:shd w:val="clear" w:color="000000" w:fill="FCA276"/>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c>
          <w:tcPr>
            <w:tcW w:w="1276" w:type="dxa"/>
            <w:shd w:val="clear" w:color="000000" w:fill="FDBF7C"/>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Parabolic trough with storage</w:t>
            </w:r>
          </w:p>
        </w:tc>
        <w:tc>
          <w:tcPr>
            <w:tcW w:w="1275" w:type="dxa"/>
            <w:shd w:val="clear" w:color="000000" w:fill="64BE7B"/>
            <w:noWrap/>
            <w:vAlign w:val="center"/>
            <w:hideMark/>
          </w:tcPr>
          <w:p w:rsidR="002045A1" w:rsidRPr="009D6F29" w:rsidRDefault="002045A1" w:rsidP="002045A1">
            <w:pPr>
              <w:pStyle w:val="Tabletext"/>
              <w:jc w:val="center"/>
              <w:rPr>
                <w:sz w:val="14"/>
                <w:szCs w:val="14"/>
                <w:lang w:eastAsia="en-AU"/>
              </w:rPr>
            </w:pPr>
            <w:r w:rsidRPr="009D6F29">
              <w:rPr>
                <w:sz w:val="14"/>
                <w:szCs w:val="14"/>
              </w:rPr>
              <w:t>-7.6%</w:t>
            </w:r>
          </w:p>
        </w:tc>
        <w:tc>
          <w:tcPr>
            <w:tcW w:w="1276" w:type="dxa"/>
            <w:shd w:val="clear" w:color="000000" w:fill="E6E382"/>
            <w:noWrap/>
            <w:vAlign w:val="center"/>
            <w:hideMark/>
          </w:tcPr>
          <w:p w:rsidR="002045A1" w:rsidRPr="009D6F29" w:rsidRDefault="002045A1" w:rsidP="002045A1">
            <w:pPr>
              <w:pStyle w:val="Tabletext"/>
              <w:jc w:val="center"/>
              <w:rPr>
                <w:sz w:val="14"/>
                <w:szCs w:val="14"/>
                <w:lang w:eastAsia="en-AU"/>
              </w:rPr>
            </w:pPr>
            <w:r w:rsidRPr="009D6F29">
              <w:rPr>
                <w:sz w:val="14"/>
                <w:szCs w:val="14"/>
              </w:rPr>
              <w:t>-1.1%</w:t>
            </w:r>
          </w:p>
        </w:tc>
        <w:tc>
          <w:tcPr>
            <w:tcW w:w="1276" w:type="dxa"/>
            <w:shd w:val="clear" w:color="000000" w:fill="FB9F76"/>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c>
          <w:tcPr>
            <w:tcW w:w="1276" w:type="dxa"/>
            <w:shd w:val="clear" w:color="000000" w:fill="FDB77A"/>
            <w:noWrap/>
            <w:vAlign w:val="center"/>
            <w:hideMark/>
          </w:tcPr>
          <w:p w:rsidR="002045A1" w:rsidRPr="009D6F29" w:rsidRDefault="002045A1" w:rsidP="002045A1">
            <w:pPr>
              <w:pStyle w:val="Tabletext"/>
              <w:jc w:val="center"/>
              <w:rPr>
                <w:sz w:val="14"/>
                <w:szCs w:val="14"/>
                <w:lang w:eastAsia="en-AU"/>
              </w:rPr>
            </w:pPr>
            <w:r w:rsidRPr="009D6F29">
              <w:rPr>
                <w:sz w:val="14"/>
                <w:szCs w:val="14"/>
              </w:rPr>
              <w:t>0.3%</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Central Receiver</w:t>
            </w:r>
          </w:p>
        </w:tc>
        <w:tc>
          <w:tcPr>
            <w:tcW w:w="1275" w:type="dxa"/>
            <w:shd w:val="clear" w:color="000000" w:fill="66BF7B"/>
            <w:noWrap/>
            <w:vAlign w:val="center"/>
            <w:hideMark/>
          </w:tcPr>
          <w:p w:rsidR="002045A1" w:rsidRPr="009D6F29" w:rsidRDefault="002045A1" w:rsidP="002045A1">
            <w:pPr>
              <w:pStyle w:val="Tabletext"/>
              <w:jc w:val="center"/>
              <w:rPr>
                <w:sz w:val="14"/>
                <w:szCs w:val="14"/>
                <w:lang w:eastAsia="en-AU"/>
              </w:rPr>
            </w:pPr>
            <w:r w:rsidRPr="009D6F29">
              <w:rPr>
                <w:sz w:val="14"/>
                <w:szCs w:val="14"/>
              </w:rPr>
              <w:t>-7.5%</w:t>
            </w:r>
          </w:p>
        </w:tc>
        <w:tc>
          <w:tcPr>
            <w:tcW w:w="1276" w:type="dxa"/>
            <w:shd w:val="clear" w:color="000000" w:fill="E7E482"/>
            <w:noWrap/>
            <w:vAlign w:val="center"/>
            <w:hideMark/>
          </w:tcPr>
          <w:p w:rsidR="002045A1" w:rsidRPr="009D6F29" w:rsidRDefault="002045A1" w:rsidP="002045A1">
            <w:pPr>
              <w:pStyle w:val="Tabletext"/>
              <w:jc w:val="center"/>
              <w:rPr>
                <w:sz w:val="14"/>
                <w:szCs w:val="14"/>
                <w:lang w:eastAsia="en-AU"/>
              </w:rPr>
            </w:pPr>
            <w:r w:rsidRPr="009D6F29">
              <w:rPr>
                <w:sz w:val="14"/>
                <w:szCs w:val="14"/>
              </w:rPr>
              <w:t>-1.1%</w:t>
            </w:r>
          </w:p>
        </w:tc>
        <w:tc>
          <w:tcPr>
            <w:tcW w:w="1276" w:type="dxa"/>
            <w:shd w:val="clear" w:color="000000" w:fill="FB9C75"/>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c>
          <w:tcPr>
            <w:tcW w:w="1276" w:type="dxa"/>
            <w:shd w:val="clear" w:color="000000" w:fill="FCB079"/>
            <w:noWrap/>
            <w:vAlign w:val="center"/>
            <w:hideMark/>
          </w:tcPr>
          <w:p w:rsidR="002045A1" w:rsidRPr="009D6F29" w:rsidRDefault="002045A1" w:rsidP="002045A1">
            <w:pPr>
              <w:pStyle w:val="Tabletext"/>
              <w:jc w:val="center"/>
              <w:rPr>
                <w:sz w:val="14"/>
                <w:szCs w:val="14"/>
                <w:lang w:eastAsia="en-AU"/>
              </w:rPr>
            </w:pPr>
            <w:r w:rsidRPr="009D6F29">
              <w:rPr>
                <w:sz w:val="14"/>
                <w:szCs w:val="14"/>
              </w:rPr>
              <w:t>0.4%</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Central Receiver with storage</w:t>
            </w:r>
          </w:p>
        </w:tc>
        <w:tc>
          <w:tcPr>
            <w:tcW w:w="1275" w:type="dxa"/>
            <w:shd w:val="clear" w:color="000000" w:fill="64BE7B"/>
            <w:noWrap/>
            <w:vAlign w:val="center"/>
            <w:hideMark/>
          </w:tcPr>
          <w:p w:rsidR="002045A1" w:rsidRPr="009D6F29" w:rsidRDefault="002045A1" w:rsidP="002045A1">
            <w:pPr>
              <w:pStyle w:val="Tabletext"/>
              <w:jc w:val="center"/>
              <w:rPr>
                <w:sz w:val="14"/>
                <w:szCs w:val="14"/>
                <w:lang w:eastAsia="en-AU"/>
              </w:rPr>
            </w:pPr>
            <w:r w:rsidRPr="009D6F29">
              <w:rPr>
                <w:sz w:val="14"/>
                <w:szCs w:val="14"/>
              </w:rPr>
              <w:t>-7.6%</w:t>
            </w:r>
          </w:p>
        </w:tc>
        <w:tc>
          <w:tcPr>
            <w:tcW w:w="1276" w:type="dxa"/>
            <w:shd w:val="clear" w:color="000000" w:fill="E6E382"/>
            <w:noWrap/>
            <w:vAlign w:val="center"/>
            <w:hideMark/>
          </w:tcPr>
          <w:p w:rsidR="002045A1" w:rsidRPr="009D6F29" w:rsidRDefault="002045A1" w:rsidP="002045A1">
            <w:pPr>
              <w:pStyle w:val="Tabletext"/>
              <w:jc w:val="center"/>
              <w:rPr>
                <w:sz w:val="14"/>
                <w:szCs w:val="14"/>
                <w:lang w:eastAsia="en-AU"/>
              </w:rPr>
            </w:pPr>
            <w:r w:rsidRPr="009D6F29">
              <w:rPr>
                <w:sz w:val="14"/>
                <w:szCs w:val="14"/>
              </w:rPr>
              <w:t>-1.1%</w:t>
            </w:r>
          </w:p>
        </w:tc>
        <w:tc>
          <w:tcPr>
            <w:tcW w:w="1276" w:type="dxa"/>
            <w:shd w:val="clear" w:color="000000" w:fill="FB9F76"/>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c>
          <w:tcPr>
            <w:tcW w:w="1276" w:type="dxa"/>
            <w:shd w:val="clear" w:color="000000" w:fill="FDB77A"/>
            <w:noWrap/>
            <w:vAlign w:val="center"/>
            <w:hideMark/>
          </w:tcPr>
          <w:p w:rsidR="002045A1" w:rsidRPr="009D6F29" w:rsidRDefault="002045A1" w:rsidP="002045A1">
            <w:pPr>
              <w:pStyle w:val="Tabletext"/>
              <w:jc w:val="center"/>
              <w:rPr>
                <w:sz w:val="14"/>
                <w:szCs w:val="14"/>
                <w:lang w:eastAsia="en-AU"/>
              </w:rPr>
            </w:pPr>
            <w:r w:rsidRPr="009D6F29">
              <w:rPr>
                <w:sz w:val="14"/>
                <w:szCs w:val="14"/>
              </w:rPr>
              <w:t>0.3%</w:t>
            </w:r>
          </w:p>
        </w:tc>
      </w:tr>
      <w:tr w:rsidR="002045A1" w:rsidRPr="009D6F29" w:rsidTr="002045A1">
        <w:trPr>
          <w:cantSplit/>
          <w:trHeight w:val="225"/>
        </w:trPr>
        <w:tc>
          <w:tcPr>
            <w:tcW w:w="1417" w:type="dxa"/>
            <w:vMerge w:val="restart"/>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Solar PV</w:t>
            </w: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Solar PV fixed</w:t>
            </w:r>
          </w:p>
        </w:tc>
        <w:tc>
          <w:tcPr>
            <w:tcW w:w="1275" w:type="dxa"/>
            <w:shd w:val="clear" w:color="000000" w:fill="8ECA7D"/>
            <w:noWrap/>
            <w:vAlign w:val="center"/>
            <w:hideMark/>
          </w:tcPr>
          <w:p w:rsidR="002045A1" w:rsidRPr="009D6F29" w:rsidRDefault="002045A1" w:rsidP="002045A1">
            <w:pPr>
              <w:pStyle w:val="Tabletext"/>
              <w:jc w:val="center"/>
              <w:rPr>
                <w:sz w:val="14"/>
                <w:szCs w:val="14"/>
                <w:lang w:eastAsia="en-AU"/>
              </w:rPr>
            </w:pPr>
            <w:r w:rsidRPr="009D6F29">
              <w:rPr>
                <w:sz w:val="14"/>
                <w:szCs w:val="14"/>
              </w:rPr>
              <w:t>-5.3%</w:t>
            </w:r>
          </w:p>
        </w:tc>
        <w:tc>
          <w:tcPr>
            <w:tcW w:w="1276" w:type="dxa"/>
            <w:shd w:val="clear" w:color="000000" w:fill="E4E382"/>
            <w:noWrap/>
            <w:vAlign w:val="center"/>
            <w:hideMark/>
          </w:tcPr>
          <w:p w:rsidR="002045A1" w:rsidRPr="009D6F29" w:rsidRDefault="002045A1" w:rsidP="002045A1">
            <w:pPr>
              <w:pStyle w:val="Tabletext"/>
              <w:jc w:val="center"/>
              <w:rPr>
                <w:sz w:val="14"/>
                <w:szCs w:val="14"/>
                <w:lang w:eastAsia="en-AU"/>
              </w:rPr>
            </w:pPr>
            <w:r w:rsidRPr="009D6F29">
              <w:rPr>
                <w:sz w:val="14"/>
                <w:szCs w:val="14"/>
              </w:rPr>
              <w:t>-1.3%</w:t>
            </w:r>
          </w:p>
        </w:tc>
        <w:tc>
          <w:tcPr>
            <w:tcW w:w="1276" w:type="dxa"/>
            <w:shd w:val="clear" w:color="000000" w:fill="B6D57F"/>
            <w:noWrap/>
            <w:vAlign w:val="center"/>
            <w:hideMark/>
          </w:tcPr>
          <w:p w:rsidR="002045A1" w:rsidRPr="009D6F29" w:rsidRDefault="002045A1" w:rsidP="002045A1">
            <w:pPr>
              <w:pStyle w:val="Tabletext"/>
              <w:jc w:val="center"/>
              <w:rPr>
                <w:sz w:val="14"/>
                <w:szCs w:val="14"/>
                <w:lang w:eastAsia="en-AU"/>
              </w:rPr>
            </w:pPr>
            <w:r w:rsidRPr="009D6F29">
              <w:rPr>
                <w:sz w:val="14"/>
                <w:szCs w:val="14"/>
              </w:rPr>
              <w:t>-4.4%</w:t>
            </w:r>
          </w:p>
        </w:tc>
        <w:tc>
          <w:tcPr>
            <w:tcW w:w="1276" w:type="dxa"/>
            <w:shd w:val="clear" w:color="000000" w:fill="F6E883"/>
            <w:noWrap/>
            <w:vAlign w:val="center"/>
            <w:hideMark/>
          </w:tcPr>
          <w:p w:rsidR="002045A1" w:rsidRPr="009D6F29" w:rsidRDefault="002045A1" w:rsidP="002045A1">
            <w:pPr>
              <w:pStyle w:val="Tabletext"/>
              <w:jc w:val="center"/>
              <w:rPr>
                <w:sz w:val="14"/>
                <w:szCs w:val="14"/>
                <w:lang w:eastAsia="en-AU"/>
              </w:rPr>
            </w:pPr>
            <w:r w:rsidRPr="009D6F29">
              <w:rPr>
                <w:sz w:val="14"/>
                <w:szCs w:val="14"/>
              </w:rPr>
              <w:t>-0.6%</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Solar PV single axis tracking</w:t>
            </w:r>
          </w:p>
        </w:tc>
        <w:tc>
          <w:tcPr>
            <w:tcW w:w="1275" w:type="dxa"/>
            <w:shd w:val="clear" w:color="000000" w:fill="8ECA7D"/>
            <w:noWrap/>
            <w:vAlign w:val="center"/>
            <w:hideMark/>
          </w:tcPr>
          <w:p w:rsidR="002045A1" w:rsidRPr="009D6F29" w:rsidRDefault="002045A1" w:rsidP="002045A1">
            <w:pPr>
              <w:pStyle w:val="Tabletext"/>
              <w:jc w:val="center"/>
              <w:rPr>
                <w:sz w:val="14"/>
                <w:szCs w:val="14"/>
                <w:lang w:eastAsia="en-AU"/>
              </w:rPr>
            </w:pPr>
            <w:r w:rsidRPr="009D6F29">
              <w:rPr>
                <w:sz w:val="14"/>
                <w:szCs w:val="14"/>
              </w:rPr>
              <w:t>-5.3%</w:t>
            </w:r>
          </w:p>
        </w:tc>
        <w:tc>
          <w:tcPr>
            <w:tcW w:w="1276" w:type="dxa"/>
            <w:shd w:val="clear" w:color="000000" w:fill="E4E382"/>
            <w:noWrap/>
            <w:vAlign w:val="center"/>
            <w:hideMark/>
          </w:tcPr>
          <w:p w:rsidR="002045A1" w:rsidRPr="009D6F29" w:rsidRDefault="002045A1" w:rsidP="002045A1">
            <w:pPr>
              <w:pStyle w:val="Tabletext"/>
              <w:jc w:val="center"/>
              <w:rPr>
                <w:sz w:val="14"/>
                <w:szCs w:val="14"/>
                <w:lang w:eastAsia="en-AU"/>
              </w:rPr>
            </w:pPr>
            <w:r w:rsidRPr="009D6F29">
              <w:rPr>
                <w:sz w:val="14"/>
                <w:szCs w:val="14"/>
              </w:rPr>
              <w:t>-1.3%</w:t>
            </w:r>
          </w:p>
        </w:tc>
        <w:tc>
          <w:tcPr>
            <w:tcW w:w="1276" w:type="dxa"/>
            <w:shd w:val="clear" w:color="000000" w:fill="B6D57F"/>
            <w:noWrap/>
            <w:vAlign w:val="center"/>
            <w:hideMark/>
          </w:tcPr>
          <w:p w:rsidR="002045A1" w:rsidRPr="009D6F29" w:rsidRDefault="002045A1" w:rsidP="002045A1">
            <w:pPr>
              <w:pStyle w:val="Tabletext"/>
              <w:jc w:val="center"/>
              <w:rPr>
                <w:sz w:val="14"/>
                <w:szCs w:val="14"/>
                <w:lang w:eastAsia="en-AU"/>
              </w:rPr>
            </w:pPr>
            <w:r w:rsidRPr="009D6F29">
              <w:rPr>
                <w:sz w:val="14"/>
                <w:szCs w:val="14"/>
              </w:rPr>
              <w:t>-4.4%</w:t>
            </w:r>
          </w:p>
        </w:tc>
        <w:tc>
          <w:tcPr>
            <w:tcW w:w="1276" w:type="dxa"/>
            <w:shd w:val="clear" w:color="000000" w:fill="F6E883"/>
            <w:noWrap/>
            <w:vAlign w:val="center"/>
            <w:hideMark/>
          </w:tcPr>
          <w:p w:rsidR="002045A1" w:rsidRPr="009D6F29" w:rsidRDefault="002045A1" w:rsidP="002045A1">
            <w:pPr>
              <w:pStyle w:val="Tabletext"/>
              <w:jc w:val="center"/>
              <w:rPr>
                <w:sz w:val="14"/>
                <w:szCs w:val="14"/>
                <w:lang w:eastAsia="en-AU"/>
              </w:rPr>
            </w:pPr>
            <w:r w:rsidRPr="009D6F29">
              <w:rPr>
                <w:sz w:val="14"/>
                <w:szCs w:val="14"/>
              </w:rPr>
              <w:t>-0.6%</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Solar PV dual axis tracking</w:t>
            </w:r>
          </w:p>
        </w:tc>
        <w:tc>
          <w:tcPr>
            <w:tcW w:w="1275" w:type="dxa"/>
            <w:shd w:val="clear" w:color="000000" w:fill="8ECA7D"/>
            <w:noWrap/>
            <w:vAlign w:val="center"/>
            <w:hideMark/>
          </w:tcPr>
          <w:p w:rsidR="002045A1" w:rsidRPr="009D6F29" w:rsidRDefault="002045A1" w:rsidP="002045A1">
            <w:pPr>
              <w:pStyle w:val="Tabletext"/>
              <w:jc w:val="center"/>
              <w:rPr>
                <w:sz w:val="14"/>
                <w:szCs w:val="14"/>
                <w:lang w:eastAsia="en-AU"/>
              </w:rPr>
            </w:pPr>
            <w:r w:rsidRPr="009D6F29">
              <w:rPr>
                <w:sz w:val="14"/>
                <w:szCs w:val="14"/>
              </w:rPr>
              <w:t>-5.3%</w:t>
            </w:r>
          </w:p>
        </w:tc>
        <w:tc>
          <w:tcPr>
            <w:tcW w:w="1276" w:type="dxa"/>
            <w:shd w:val="clear" w:color="000000" w:fill="E4E382"/>
            <w:noWrap/>
            <w:vAlign w:val="center"/>
            <w:hideMark/>
          </w:tcPr>
          <w:p w:rsidR="002045A1" w:rsidRPr="009D6F29" w:rsidRDefault="002045A1" w:rsidP="002045A1">
            <w:pPr>
              <w:pStyle w:val="Tabletext"/>
              <w:jc w:val="center"/>
              <w:rPr>
                <w:sz w:val="14"/>
                <w:szCs w:val="14"/>
                <w:lang w:eastAsia="en-AU"/>
              </w:rPr>
            </w:pPr>
            <w:r w:rsidRPr="009D6F29">
              <w:rPr>
                <w:sz w:val="14"/>
                <w:szCs w:val="14"/>
              </w:rPr>
              <w:t>-1.3%</w:t>
            </w:r>
          </w:p>
        </w:tc>
        <w:tc>
          <w:tcPr>
            <w:tcW w:w="1276" w:type="dxa"/>
            <w:shd w:val="clear" w:color="000000" w:fill="B6D57F"/>
            <w:noWrap/>
            <w:vAlign w:val="center"/>
            <w:hideMark/>
          </w:tcPr>
          <w:p w:rsidR="002045A1" w:rsidRPr="009D6F29" w:rsidRDefault="002045A1" w:rsidP="002045A1">
            <w:pPr>
              <w:pStyle w:val="Tabletext"/>
              <w:jc w:val="center"/>
              <w:rPr>
                <w:sz w:val="14"/>
                <w:szCs w:val="14"/>
                <w:lang w:eastAsia="en-AU"/>
              </w:rPr>
            </w:pPr>
            <w:r w:rsidRPr="009D6F29">
              <w:rPr>
                <w:sz w:val="14"/>
                <w:szCs w:val="14"/>
              </w:rPr>
              <w:t>-4.4%</w:t>
            </w:r>
          </w:p>
        </w:tc>
        <w:tc>
          <w:tcPr>
            <w:tcW w:w="1276" w:type="dxa"/>
            <w:shd w:val="clear" w:color="000000" w:fill="F6E883"/>
            <w:noWrap/>
            <w:vAlign w:val="center"/>
            <w:hideMark/>
          </w:tcPr>
          <w:p w:rsidR="002045A1" w:rsidRPr="009D6F29" w:rsidRDefault="002045A1" w:rsidP="002045A1">
            <w:pPr>
              <w:pStyle w:val="Tabletext"/>
              <w:jc w:val="center"/>
              <w:rPr>
                <w:sz w:val="14"/>
                <w:szCs w:val="14"/>
                <w:lang w:eastAsia="en-AU"/>
              </w:rPr>
            </w:pPr>
            <w:r w:rsidRPr="009D6F29">
              <w:rPr>
                <w:sz w:val="14"/>
                <w:szCs w:val="14"/>
              </w:rPr>
              <w:t>-0.6%</w:t>
            </w:r>
          </w:p>
        </w:tc>
      </w:tr>
      <w:tr w:rsidR="002045A1" w:rsidRPr="009D6F29" w:rsidTr="002045A1">
        <w:trPr>
          <w:cantSplit/>
          <w:trHeight w:val="225"/>
        </w:trPr>
        <w:tc>
          <w:tcPr>
            <w:tcW w:w="1417" w:type="dxa"/>
            <w:vMerge w:val="restart"/>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Wind</w:t>
            </w: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On-shore Wind Farm</w:t>
            </w:r>
          </w:p>
        </w:tc>
        <w:tc>
          <w:tcPr>
            <w:tcW w:w="1275" w:type="dxa"/>
            <w:shd w:val="clear" w:color="000000" w:fill="9ECF7E"/>
            <w:noWrap/>
            <w:vAlign w:val="center"/>
            <w:hideMark/>
          </w:tcPr>
          <w:p w:rsidR="002045A1" w:rsidRPr="009D6F29" w:rsidRDefault="002045A1" w:rsidP="002045A1">
            <w:pPr>
              <w:pStyle w:val="Tabletext"/>
              <w:jc w:val="center"/>
              <w:rPr>
                <w:sz w:val="14"/>
                <w:szCs w:val="14"/>
                <w:lang w:eastAsia="en-AU"/>
              </w:rPr>
            </w:pPr>
            <w:r w:rsidRPr="009D6F29">
              <w:rPr>
                <w:sz w:val="14"/>
                <w:szCs w:val="14"/>
              </w:rPr>
              <w:t>-3.7%</w:t>
            </w:r>
          </w:p>
        </w:tc>
        <w:tc>
          <w:tcPr>
            <w:tcW w:w="1276" w:type="dxa"/>
            <w:shd w:val="clear" w:color="000000" w:fill="F8696B"/>
            <w:noWrap/>
            <w:vAlign w:val="center"/>
            <w:hideMark/>
          </w:tcPr>
          <w:p w:rsidR="002045A1" w:rsidRPr="009D6F29" w:rsidRDefault="002045A1" w:rsidP="002045A1">
            <w:pPr>
              <w:pStyle w:val="Tabletext"/>
              <w:jc w:val="center"/>
              <w:rPr>
                <w:sz w:val="14"/>
                <w:szCs w:val="14"/>
                <w:lang w:eastAsia="en-AU"/>
              </w:rPr>
            </w:pPr>
            <w:r w:rsidRPr="009D6F29">
              <w:rPr>
                <w:sz w:val="14"/>
                <w:szCs w:val="14"/>
              </w:rPr>
              <w:t>1.2%</w:t>
            </w:r>
          </w:p>
        </w:tc>
        <w:tc>
          <w:tcPr>
            <w:tcW w:w="1276" w:type="dxa"/>
            <w:shd w:val="clear" w:color="000000" w:fill="FA8871"/>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c>
          <w:tcPr>
            <w:tcW w:w="1276" w:type="dxa"/>
            <w:shd w:val="clear" w:color="000000" w:fill="FEEA83"/>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Ocean/Wave</w:t>
            </w:r>
          </w:p>
        </w:tc>
        <w:tc>
          <w:tcPr>
            <w:tcW w:w="1275" w:type="dxa"/>
            <w:shd w:val="clear" w:color="000000" w:fill="FBE983"/>
            <w:noWrap/>
            <w:vAlign w:val="center"/>
            <w:hideMark/>
          </w:tcPr>
          <w:p w:rsidR="002045A1" w:rsidRPr="009D6F29" w:rsidRDefault="002045A1" w:rsidP="002045A1">
            <w:pPr>
              <w:pStyle w:val="Tabletext"/>
              <w:jc w:val="center"/>
              <w:rPr>
                <w:sz w:val="14"/>
                <w:szCs w:val="14"/>
                <w:lang w:eastAsia="en-AU"/>
              </w:rPr>
            </w:pPr>
            <w:r w:rsidRPr="009D6F29">
              <w:rPr>
                <w:sz w:val="14"/>
                <w:szCs w:val="14"/>
              </w:rPr>
              <w:t>0.5%</w:t>
            </w:r>
          </w:p>
        </w:tc>
        <w:tc>
          <w:tcPr>
            <w:tcW w:w="1276" w:type="dxa"/>
            <w:shd w:val="clear" w:color="000000" w:fill="85C77C"/>
            <w:noWrap/>
            <w:vAlign w:val="center"/>
            <w:hideMark/>
          </w:tcPr>
          <w:p w:rsidR="002045A1" w:rsidRPr="009D6F29" w:rsidRDefault="002045A1" w:rsidP="002045A1">
            <w:pPr>
              <w:pStyle w:val="Tabletext"/>
              <w:jc w:val="center"/>
              <w:rPr>
                <w:sz w:val="14"/>
                <w:szCs w:val="14"/>
                <w:lang w:eastAsia="en-AU"/>
              </w:rPr>
            </w:pPr>
            <w:r w:rsidRPr="009D6F29">
              <w:rPr>
                <w:sz w:val="14"/>
                <w:szCs w:val="14"/>
              </w:rPr>
              <w:t>-6.5%</w:t>
            </w:r>
          </w:p>
        </w:tc>
        <w:tc>
          <w:tcPr>
            <w:tcW w:w="1276" w:type="dxa"/>
            <w:shd w:val="clear" w:color="000000" w:fill="FCAC78"/>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c>
          <w:tcPr>
            <w:tcW w:w="1276" w:type="dxa"/>
            <w:shd w:val="clear" w:color="000000" w:fill="FCEA83"/>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r>
      <w:tr w:rsidR="002045A1" w:rsidRPr="009D6F29" w:rsidTr="002045A1">
        <w:trPr>
          <w:cantSplit/>
          <w:trHeight w:val="225"/>
        </w:trPr>
        <w:tc>
          <w:tcPr>
            <w:tcW w:w="1417" w:type="dxa"/>
            <w:vMerge w:val="restart"/>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Geothermal</w:t>
            </w: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Geothermal HSA</w:t>
            </w:r>
          </w:p>
        </w:tc>
        <w:tc>
          <w:tcPr>
            <w:tcW w:w="1275" w:type="dxa"/>
            <w:shd w:val="clear" w:color="000000" w:fill="FDEA83"/>
            <w:noWrap/>
            <w:vAlign w:val="center"/>
            <w:hideMark/>
          </w:tcPr>
          <w:p w:rsidR="002045A1" w:rsidRPr="009D6F29" w:rsidRDefault="002045A1" w:rsidP="002045A1">
            <w:pPr>
              <w:pStyle w:val="Tabletext"/>
              <w:jc w:val="center"/>
              <w:rPr>
                <w:sz w:val="14"/>
                <w:szCs w:val="14"/>
                <w:lang w:eastAsia="en-AU"/>
              </w:rPr>
            </w:pPr>
            <w:r w:rsidRPr="009D6F29">
              <w:rPr>
                <w:sz w:val="14"/>
                <w:szCs w:val="14"/>
              </w:rPr>
              <w:t>0.5%</w:t>
            </w:r>
          </w:p>
        </w:tc>
        <w:tc>
          <w:tcPr>
            <w:tcW w:w="1276" w:type="dxa"/>
            <w:shd w:val="clear" w:color="000000" w:fill="FCAD79"/>
            <w:noWrap/>
            <w:vAlign w:val="center"/>
            <w:hideMark/>
          </w:tcPr>
          <w:p w:rsidR="002045A1" w:rsidRPr="009D6F29" w:rsidRDefault="002045A1" w:rsidP="002045A1">
            <w:pPr>
              <w:pStyle w:val="Tabletext"/>
              <w:jc w:val="center"/>
              <w:rPr>
                <w:sz w:val="14"/>
                <w:szCs w:val="14"/>
                <w:lang w:eastAsia="en-AU"/>
              </w:rPr>
            </w:pPr>
            <w:r w:rsidRPr="009D6F29">
              <w:rPr>
                <w:sz w:val="14"/>
                <w:szCs w:val="14"/>
              </w:rPr>
              <w:t>0.6%</w:t>
            </w:r>
          </w:p>
        </w:tc>
        <w:tc>
          <w:tcPr>
            <w:tcW w:w="1276" w:type="dxa"/>
            <w:shd w:val="clear" w:color="000000" w:fill="FDBE7C"/>
            <w:noWrap/>
            <w:vAlign w:val="center"/>
            <w:hideMark/>
          </w:tcPr>
          <w:p w:rsidR="002045A1" w:rsidRPr="009D6F29" w:rsidRDefault="002045A1" w:rsidP="002045A1">
            <w:pPr>
              <w:pStyle w:val="Tabletext"/>
              <w:jc w:val="center"/>
              <w:rPr>
                <w:sz w:val="14"/>
                <w:szCs w:val="14"/>
                <w:lang w:eastAsia="en-AU"/>
              </w:rPr>
            </w:pPr>
            <w:r w:rsidRPr="009D6F29">
              <w:rPr>
                <w:sz w:val="14"/>
                <w:szCs w:val="14"/>
              </w:rPr>
              <w:t>0.3%</w:t>
            </w:r>
          </w:p>
        </w:tc>
        <w:tc>
          <w:tcPr>
            <w:tcW w:w="1276" w:type="dxa"/>
            <w:shd w:val="clear" w:color="000000" w:fill="FCA777"/>
            <w:noWrap/>
            <w:vAlign w:val="center"/>
            <w:hideMark/>
          </w:tcPr>
          <w:p w:rsidR="002045A1" w:rsidRPr="009D6F29" w:rsidRDefault="002045A1" w:rsidP="002045A1">
            <w:pPr>
              <w:pStyle w:val="Tabletext"/>
              <w:jc w:val="center"/>
              <w:rPr>
                <w:sz w:val="14"/>
                <w:szCs w:val="14"/>
                <w:lang w:eastAsia="en-AU"/>
              </w:rPr>
            </w:pPr>
            <w:r w:rsidRPr="009D6F29">
              <w:rPr>
                <w:sz w:val="14"/>
                <w:szCs w:val="14"/>
              </w:rPr>
              <w:t>0.5%</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Geothermal EGS</w:t>
            </w:r>
          </w:p>
        </w:tc>
        <w:tc>
          <w:tcPr>
            <w:tcW w:w="1275" w:type="dxa"/>
            <w:shd w:val="clear" w:color="000000" w:fill="FFEA84"/>
            <w:noWrap/>
            <w:vAlign w:val="center"/>
            <w:hideMark/>
          </w:tcPr>
          <w:p w:rsidR="002045A1" w:rsidRPr="009D6F29" w:rsidRDefault="002045A1" w:rsidP="002045A1">
            <w:pPr>
              <w:pStyle w:val="Tabletext"/>
              <w:jc w:val="center"/>
              <w:rPr>
                <w:sz w:val="14"/>
                <w:szCs w:val="14"/>
                <w:lang w:eastAsia="en-AU"/>
              </w:rPr>
            </w:pPr>
            <w:r w:rsidRPr="009D6F29">
              <w:rPr>
                <w:sz w:val="14"/>
                <w:szCs w:val="14"/>
              </w:rPr>
              <w:t>0.5%</w:t>
            </w:r>
          </w:p>
        </w:tc>
        <w:tc>
          <w:tcPr>
            <w:tcW w:w="1276" w:type="dxa"/>
            <w:shd w:val="clear" w:color="000000" w:fill="FCB179"/>
            <w:noWrap/>
            <w:vAlign w:val="center"/>
            <w:hideMark/>
          </w:tcPr>
          <w:p w:rsidR="002045A1" w:rsidRPr="009D6F29" w:rsidRDefault="002045A1" w:rsidP="002045A1">
            <w:pPr>
              <w:pStyle w:val="Tabletext"/>
              <w:jc w:val="center"/>
              <w:rPr>
                <w:sz w:val="14"/>
                <w:szCs w:val="14"/>
                <w:lang w:eastAsia="en-AU"/>
              </w:rPr>
            </w:pPr>
            <w:r w:rsidRPr="009D6F29">
              <w:rPr>
                <w:sz w:val="14"/>
                <w:szCs w:val="14"/>
              </w:rPr>
              <w:t>0.5%</w:t>
            </w:r>
          </w:p>
        </w:tc>
        <w:tc>
          <w:tcPr>
            <w:tcW w:w="1276" w:type="dxa"/>
            <w:shd w:val="clear" w:color="000000" w:fill="FDC57D"/>
            <w:noWrap/>
            <w:vAlign w:val="center"/>
            <w:hideMark/>
          </w:tcPr>
          <w:p w:rsidR="002045A1" w:rsidRPr="009D6F29" w:rsidRDefault="002045A1" w:rsidP="002045A1">
            <w:pPr>
              <w:pStyle w:val="Tabletext"/>
              <w:jc w:val="center"/>
              <w:rPr>
                <w:sz w:val="14"/>
                <w:szCs w:val="14"/>
                <w:lang w:eastAsia="en-AU"/>
              </w:rPr>
            </w:pPr>
            <w:r w:rsidRPr="009D6F29">
              <w:rPr>
                <w:sz w:val="14"/>
                <w:szCs w:val="14"/>
              </w:rPr>
              <w:t>0.4%</w:t>
            </w:r>
          </w:p>
        </w:tc>
        <w:tc>
          <w:tcPr>
            <w:tcW w:w="1276" w:type="dxa"/>
            <w:shd w:val="clear" w:color="000000" w:fill="FCA477"/>
            <w:noWrap/>
            <w:vAlign w:val="center"/>
            <w:hideMark/>
          </w:tcPr>
          <w:p w:rsidR="002045A1" w:rsidRPr="009D6F29" w:rsidRDefault="002045A1" w:rsidP="002045A1">
            <w:pPr>
              <w:pStyle w:val="Tabletext"/>
              <w:jc w:val="center"/>
              <w:rPr>
                <w:sz w:val="14"/>
                <w:szCs w:val="14"/>
                <w:lang w:eastAsia="en-AU"/>
              </w:rPr>
            </w:pPr>
            <w:r w:rsidRPr="009D6F29">
              <w:rPr>
                <w:sz w:val="14"/>
                <w:szCs w:val="14"/>
              </w:rPr>
              <w:t>0.5%</w:t>
            </w:r>
          </w:p>
        </w:tc>
      </w:tr>
      <w:tr w:rsidR="002045A1" w:rsidRPr="009D6F29" w:rsidTr="002045A1">
        <w:trPr>
          <w:cantSplit/>
          <w:trHeight w:val="225"/>
        </w:trPr>
        <w:tc>
          <w:tcPr>
            <w:tcW w:w="1417" w:type="dxa"/>
            <w:vMerge w:val="restart"/>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CCS</w:t>
            </w: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PC Supercritical with CCS – Brown Coal</w:t>
            </w:r>
          </w:p>
        </w:tc>
        <w:tc>
          <w:tcPr>
            <w:tcW w:w="1275" w:type="dxa"/>
            <w:shd w:val="clear" w:color="000000" w:fill="F7E883"/>
            <w:noWrap/>
            <w:vAlign w:val="center"/>
            <w:hideMark/>
          </w:tcPr>
          <w:p w:rsidR="002045A1" w:rsidRPr="009D6F29" w:rsidRDefault="002045A1" w:rsidP="002045A1">
            <w:pPr>
              <w:pStyle w:val="Tabletext"/>
              <w:jc w:val="center"/>
              <w:rPr>
                <w:sz w:val="14"/>
                <w:szCs w:val="14"/>
                <w:lang w:eastAsia="en-AU"/>
              </w:rPr>
            </w:pPr>
            <w:r w:rsidRPr="009D6F29">
              <w:rPr>
                <w:sz w:val="14"/>
                <w:szCs w:val="14"/>
              </w:rPr>
              <w:t>0.3%</w:t>
            </w:r>
          </w:p>
        </w:tc>
        <w:tc>
          <w:tcPr>
            <w:tcW w:w="1276" w:type="dxa"/>
            <w:shd w:val="clear" w:color="000000" w:fill="D0DD81"/>
            <w:noWrap/>
            <w:vAlign w:val="center"/>
            <w:hideMark/>
          </w:tcPr>
          <w:p w:rsidR="002045A1" w:rsidRPr="009D6F29" w:rsidRDefault="002045A1" w:rsidP="002045A1">
            <w:pPr>
              <w:pStyle w:val="Tabletext"/>
              <w:jc w:val="center"/>
              <w:rPr>
                <w:sz w:val="14"/>
                <w:szCs w:val="14"/>
                <w:lang w:eastAsia="en-AU"/>
              </w:rPr>
            </w:pPr>
            <w:r w:rsidRPr="009D6F29">
              <w:rPr>
                <w:sz w:val="14"/>
                <w:szCs w:val="14"/>
              </w:rPr>
              <w:t>-2.4%</w:t>
            </w:r>
          </w:p>
        </w:tc>
        <w:tc>
          <w:tcPr>
            <w:tcW w:w="1276" w:type="dxa"/>
            <w:shd w:val="clear" w:color="000000" w:fill="FFEA84"/>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c>
          <w:tcPr>
            <w:tcW w:w="1276" w:type="dxa"/>
            <w:shd w:val="clear" w:color="000000" w:fill="FED17F"/>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PC Supercritical with CCS – Bituminous Coal</w:t>
            </w:r>
          </w:p>
        </w:tc>
        <w:tc>
          <w:tcPr>
            <w:tcW w:w="1275" w:type="dxa"/>
            <w:shd w:val="clear" w:color="000000" w:fill="F7E883"/>
            <w:noWrap/>
            <w:vAlign w:val="center"/>
            <w:hideMark/>
          </w:tcPr>
          <w:p w:rsidR="002045A1" w:rsidRPr="009D6F29" w:rsidRDefault="002045A1" w:rsidP="002045A1">
            <w:pPr>
              <w:pStyle w:val="Tabletext"/>
              <w:jc w:val="center"/>
              <w:rPr>
                <w:sz w:val="14"/>
                <w:szCs w:val="14"/>
                <w:lang w:eastAsia="en-AU"/>
              </w:rPr>
            </w:pPr>
            <w:r w:rsidRPr="009D6F29">
              <w:rPr>
                <w:sz w:val="14"/>
                <w:szCs w:val="14"/>
              </w:rPr>
              <w:t>0.3%</w:t>
            </w:r>
          </w:p>
        </w:tc>
        <w:tc>
          <w:tcPr>
            <w:tcW w:w="1276" w:type="dxa"/>
            <w:shd w:val="clear" w:color="000000" w:fill="D0DD81"/>
            <w:noWrap/>
            <w:vAlign w:val="center"/>
            <w:hideMark/>
          </w:tcPr>
          <w:p w:rsidR="002045A1" w:rsidRPr="009D6F29" w:rsidRDefault="002045A1" w:rsidP="002045A1">
            <w:pPr>
              <w:pStyle w:val="Tabletext"/>
              <w:jc w:val="center"/>
              <w:rPr>
                <w:sz w:val="14"/>
                <w:szCs w:val="14"/>
                <w:lang w:eastAsia="en-AU"/>
              </w:rPr>
            </w:pPr>
            <w:r w:rsidRPr="009D6F29">
              <w:rPr>
                <w:sz w:val="14"/>
                <w:szCs w:val="14"/>
              </w:rPr>
              <w:t>-2.4%</w:t>
            </w:r>
          </w:p>
        </w:tc>
        <w:tc>
          <w:tcPr>
            <w:tcW w:w="1276" w:type="dxa"/>
            <w:shd w:val="clear" w:color="000000" w:fill="FFEA84"/>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c>
          <w:tcPr>
            <w:tcW w:w="1276" w:type="dxa"/>
            <w:shd w:val="clear" w:color="000000" w:fill="FED17F"/>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PC Oxy Combustion Supercritical with CCS</w:t>
            </w:r>
          </w:p>
        </w:tc>
        <w:tc>
          <w:tcPr>
            <w:tcW w:w="1275" w:type="dxa"/>
            <w:shd w:val="clear" w:color="000000" w:fill="F9E983"/>
            <w:noWrap/>
            <w:vAlign w:val="center"/>
            <w:hideMark/>
          </w:tcPr>
          <w:p w:rsidR="002045A1" w:rsidRPr="009D6F29" w:rsidRDefault="002045A1" w:rsidP="002045A1">
            <w:pPr>
              <w:pStyle w:val="Tabletext"/>
              <w:jc w:val="center"/>
              <w:rPr>
                <w:sz w:val="14"/>
                <w:szCs w:val="14"/>
                <w:lang w:eastAsia="en-AU"/>
              </w:rPr>
            </w:pPr>
            <w:r w:rsidRPr="009D6F29">
              <w:rPr>
                <w:sz w:val="14"/>
                <w:szCs w:val="14"/>
              </w:rPr>
              <w:t>0.4%</w:t>
            </w:r>
          </w:p>
        </w:tc>
        <w:tc>
          <w:tcPr>
            <w:tcW w:w="1276" w:type="dxa"/>
            <w:shd w:val="clear" w:color="000000" w:fill="D1DD81"/>
            <w:noWrap/>
            <w:vAlign w:val="center"/>
            <w:hideMark/>
          </w:tcPr>
          <w:p w:rsidR="002045A1" w:rsidRPr="009D6F29" w:rsidRDefault="002045A1" w:rsidP="002045A1">
            <w:pPr>
              <w:pStyle w:val="Tabletext"/>
              <w:jc w:val="center"/>
              <w:rPr>
                <w:sz w:val="14"/>
                <w:szCs w:val="14"/>
                <w:lang w:eastAsia="en-AU"/>
              </w:rPr>
            </w:pPr>
            <w:r w:rsidRPr="009D6F29">
              <w:rPr>
                <w:sz w:val="14"/>
                <w:szCs w:val="14"/>
              </w:rPr>
              <w:t>-2.4%</w:t>
            </w:r>
          </w:p>
        </w:tc>
        <w:tc>
          <w:tcPr>
            <w:tcW w:w="1276" w:type="dxa"/>
            <w:shd w:val="clear" w:color="000000" w:fill="FFE784"/>
            <w:noWrap/>
            <w:vAlign w:val="center"/>
            <w:hideMark/>
          </w:tcPr>
          <w:p w:rsidR="002045A1" w:rsidRPr="009D6F29" w:rsidRDefault="002045A1" w:rsidP="002045A1">
            <w:pPr>
              <w:pStyle w:val="Tabletext"/>
              <w:jc w:val="center"/>
              <w:rPr>
                <w:sz w:val="14"/>
                <w:szCs w:val="14"/>
                <w:lang w:eastAsia="en-AU"/>
              </w:rPr>
            </w:pPr>
            <w:r w:rsidRPr="009D6F29">
              <w:rPr>
                <w:sz w:val="14"/>
                <w:szCs w:val="14"/>
              </w:rPr>
              <w:t>0.0%</w:t>
            </w:r>
          </w:p>
        </w:tc>
        <w:tc>
          <w:tcPr>
            <w:tcW w:w="1276" w:type="dxa"/>
            <w:shd w:val="clear" w:color="000000" w:fill="FECA7E"/>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CCGT with CCS</w:t>
            </w:r>
          </w:p>
        </w:tc>
        <w:tc>
          <w:tcPr>
            <w:tcW w:w="1275" w:type="dxa"/>
            <w:shd w:val="clear" w:color="000000" w:fill="F2E783"/>
            <w:noWrap/>
            <w:vAlign w:val="center"/>
            <w:hideMark/>
          </w:tcPr>
          <w:p w:rsidR="002045A1" w:rsidRPr="009D6F29" w:rsidRDefault="002045A1" w:rsidP="002045A1">
            <w:pPr>
              <w:pStyle w:val="Tabletext"/>
              <w:jc w:val="center"/>
              <w:rPr>
                <w:sz w:val="14"/>
                <w:szCs w:val="14"/>
                <w:lang w:eastAsia="en-AU"/>
              </w:rPr>
            </w:pPr>
            <w:r w:rsidRPr="009D6F29">
              <w:rPr>
                <w:sz w:val="14"/>
                <w:szCs w:val="14"/>
              </w:rPr>
              <w:t>0.3%</w:t>
            </w:r>
          </w:p>
        </w:tc>
        <w:tc>
          <w:tcPr>
            <w:tcW w:w="1276" w:type="dxa"/>
            <w:shd w:val="clear" w:color="000000" w:fill="D1DD81"/>
            <w:noWrap/>
            <w:vAlign w:val="center"/>
            <w:hideMark/>
          </w:tcPr>
          <w:p w:rsidR="002045A1" w:rsidRPr="009D6F29" w:rsidRDefault="002045A1" w:rsidP="002045A1">
            <w:pPr>
              <w:pStyle w:val="Tabletext"/>
              <w:jc w:val="center"/>
              <w:rPr>
                <w:sz w:val="14"/>
                <w:szCs w:val="14"/>
                <w:lang w:eastAsia="en-AU"/>
              </w:rPr>
            </w:pPr>
            <w:r w:rsidRPr="009D6F29">
              <w:rPr>
                <w:sz w:val="14"/>
                <w:szCs w:val="14"/>
              </w:rPr>
              <w:t>-2.2%</w:t>
            </w:r>
          </w:p>
        </w:tc>
        <w:tc>
          <w:tcPr>
            <w:tcW w:w="1276" w:type="dxa"/>
            <w:shd w:val="clear" w:color="000000" w:fill="FDB77A"/>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c>
          <w:tcPr>
            <w:tcW w:w="1276" w:type="dxa"/>
            <w:shd w:val="clear" w:color="000000" w:fill="FFDF82"/>
            <w:noWrap/>
            <w:vAlign w:val="center"/>
            <w:hideMark/>
          </w:tcPr>
          <w:p w:rsidR="002045A1" w:rsidRPr="009D6F29" w:rsidRDefault="002045A1" w:rsidP="002045A1">
            <w:pPr>
              <w:pStyle w:val="Tabletext"/>
              <w:jc w:val="center"/>
              <w:rPr>
                <w:sz w:val="14"/>
                <w:szCs w:val="14"/>
                <w:lang w:eastAsia="en-AU"/>
              </w:rPr>
            </w:pPr>
            <w:r w:rsidRPr="009D6F29">
              <w:rPr>
                <w:sz w:val="14"/>
                <w:szCs w:val="14"/>
              </w:rPr>
              <w:t>0.0%</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IGCC with CCS – Bituminous Coal</w:t>
            </w:r>
          </w:p>
        </w:tc>
        <w:tc>
          <w:tcPr>
            <w:tcW w:w="1275" w:type="dxa"/>
            <w:shd w:val="clear" w:color="000000" w:fill="F6E883"/>
            <w:noWrap/>
            <w:vAlign w:val="center"/>
            <w:hideMark/>
          </w:tcPr>
          <w:p w:rsidR="002045A1" w:rsidRPr="009D6F29" w:rsidRDefault="002045A1" w:rsidP="002045A1">
            <w:pPr>
              <w:pStyle w:val="Tabletext"/>
              <w:jc w:val="center"/>
              <w:rPr>
                <w:sz w:val="14"/>
                <w:szCs w:val="14"/>
                <w:lang w:eastAsia="en-AU"/>
              </w:rPr>
            </w:pPr>
            <w:r w:rsidRPr="009D6F29">
              <w:rPr>
                <w:sz w:val="14"/>
                <w:szCs w:val="14"/>
              </w:rPr>
              <w:t>0.4%</w:t>
            </w:r>
          </w:p>
        </w:tc>
        <w:tc>
          <w:tcPr>
            <w:tcW w:w="1276" w:type="dxa"/>
            <w:shd w:val="clear" w:color="000000" w:fill="CADB80"/>
            <w:noWrap/>
            <w:vAlign w:val="center"/>
            <w:hideMark/>
          </w:tcPr>
          <w:p w:rsidR="002045A1" w:rsidRPr="009D6F29" w:rsidRDefault="002045A1" w:rsidP="002045A1">
            <w:pPr>
              <w:pStyle w:val="Tabletext"/>
              <w:jc w:val="center"/>
              <w:rPr>
                <w:sz w:val="14"/>
                <w:szCs w:val="14"/>
                <w:lang w:eastAsia="en-AU"/>
              </w:rPr>
            </w:pPr>
            <w:r w:rsidRPr="009D6F29">
              <w:rPr>
                <w:sz w:val="14"/>
                <w:szCs w:val="14"/>
              </w:rPr>
              <w:t>-2.8%</w:t>
            </w:r>
          </w:p>
        </w:tc>
        <w:tc>
          <w:tcPr>
            <w:tcW w:w="1276" w:type="dxa"/>
            <w:shd w:val="clear" w:color="000000" w:fill="FED380"/>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c>
          <w:tcPr>
            <w:tcW w:w="1276" w:type="dxa"/>
            <w:shd w:val="clear" w:color="000000" w:fill="FECF7F"/>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r>
      <w:tr w:rsidR="002045A1" w:rsidRPr="009D6F29" w:rsidTr="002045A1">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IGCC with CCS – Brown Coal</w:t>
            </w:r>
          </w:p>
        </w:tc>
        <w:tc>
          <w:tcPr>
            <w:tcW w:w="1275" w:type="dxa"/>
            <w:shd w:val="clear" w:color="000000" w:fill="F6E883"/>
            <w:noWrap/>
            <w:vAlign w:val="center"/>
            <w:hideMark/>
          </w:tcPr>
          <w:p w:rsidR="002045A1" w:rsidRPr="009D6F29" w:rsidRDefault="002045A1" w:rsidP="002045A1">
            <w:pPr>
              <w:pStyle w:val="Tabletext"/>
              <w:jc w:val="center"/>
              <w:rPr>
                <w:sz w:val="14"/>
                <w:szCs w:val="14"/>
                <w:lang w:eastAsia="en-AU"/>
              </w:rPr>
            </w:pPr>
            <w:r w:rsidRPr="009D6F29">
              <w:rPr>
                <w:sz w:val="14"/>
                <w:szCs w:val="14"/>
              </w:rPr>
              <w:t>0.4%</w:t>
            </w:r>
          </w:p>
        </w:tc>
        <w:tc>
          <w:tcPr>
            <w:tcW w:w="1276" w:type="dxa"/>
            <w:shd w:val="clear" w:color="000000" w:fill="CADB80"/>
            <w:noWrap/>
            <w:vAlign w:val="center"/>
            <w:hideMark/>
          </w:tcPr>
          <w:p w:rsidR="002045A1" w:rsidRPr="009D6F29" w:rsidRDefault="002045A1" w:rsidP="002045A1">
            <w:pPr>
              <w:pStyle w:val="Tabletext"/>
              <w:jc w:val="center"/>
              <w:rPr>
                <w:sz w:val="14"/>
                <w:szCs w:val="14"/>
                <w:lang w:eastAsia="en-AU"/>
              </w:rPr>
            </w:pPr>
            <w:r w:rsidRPr="009D6F29">
              <w:rPr>
                <w:sz w:val="14"/>
                <w:szCs w:val="14"/>
              </w:rPr>
              <w:t>-2.8%</w:t>
            </w:r>
          </w:p>
        </w:tc>
        <w:tc>
          <w:tcPr>
            <w:tcW w:w="1276" w:type="dxa"/>
            <w:shd w:val="clear" w:color="000000" w:fill="FED380"/>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c>
          <w:tcPr>
            <w:tcW w:w="1276" w:type="dxa"/>
            <w:shd w:val="clear" w:color="000000" w:fill="FECF7F"/>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r>
      <w:tr w:rsidR="002045A1" w:rsidRPr="009D6F29" w:rsidTr="002045A1">
        <w:trPr>
          <w:cantSplit/>
          <w:trHeight w:val="225"/>
        </w:trPr>
        <w:tc>
          <w:tcPr>
            <w:tcW w:w="1417" w:type="dxa"/>
            <w:vMerge w:val="restart"/>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CCS retrofit</w:t>
            </w:r>
          </w:p>
        </w:tc>
        <w:tc>
          <w:tcPr>
            <w:tcW w:w="3686" w:type="dxa"/>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PC Subcritical Brown Coal - Retrofit CCS</w:t>
            </w:r>
          </w:p>
        </w:tc>
        <w:tc>
          <w:tcPr>
            <w:tcW w:w="1275" w:type="dxa"/>
            <w:shd w:val="clear" w:color="000000" w:fill="F8E983"/>
            <w:noWrap/>
            <w:vAlign w:val="center"/>
            <w:hideMark/>
          </w:tcPr>
          <w:p w:rsidR="002045A1" w:rsidRPr="009D6F29" w:rsidRDefault="002045A1" w:rsidP="002045A1">
            <w:pPr>
              <w:pStyle w:val="Tabletext"/>
              <w:jc w:val="center"/>
              <w:rPr>
                <w:sz w:val="14"/>
                <w:szCs w:val="14"/>
                <w:lang w:eastAsia="en-AU"/>
              </w:rPr>
            </w:pPr>
            <w:r w:rsidRPr="009D6F29">
              <w:rPr>
                <w:sz w:val="14"/>
                <w:szCs w:val="14"/>
              </w:rPr>
              <w:t>0.3%</w:t>
            </w:r>
          </w:p>
        </w:tc>
        <w:tc>
          <w:tcPr>
            <w:tcW w:w="1276" w:type="dxa"/>
            <w:shd w:val="clear" w:color="000000" w:fill="D2DE81"/>
            <w:noWrap/>
            <w:vAlign w:val="center"/>
            <w:hideMark/>
          </w:tcPr>
          <w:p w:rsidR="002045A1" w:rsidRPr="009D6F29" w:rsidRDefault="002045A1" w:rsidP="002045A1">
            <w:pPr>
              <w:pStyle w:val="Tabletext"/>
              <w:jc w:val="center"/>
              <w:rPr>
                <w:sz w:val="14"/>
                <w:szCs w:val="14"/>
                <w:lang w:eastAsia="en-AU"/>
              </w:rPr>
            </w:pPr>
            <w:r w:rsidRPr="009D6F29">
              <w:rPr>
                <w:sz w:val="14"/>
                <w:szCs w:val="14"/>
              </w:rPr>
              <w:t>-2.3%</w:t>
            </w:r>
          </w:p>
        </w:tc>
        <w:tc>
          <w:tcPr>
            <w:tcW w:w="1276" w:type="dxa"/>
            <w:shd w:val="clear" w:color="000000" w:fill="FEEA83"/>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c>
          <w:tcPr>
            <w:tcW w:w="1276" w:type="dxa"/>
            <w:shd w:val="clear" w:color="000000" w:fill="FED17F"/>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r>
      <w:tr w:rsidR="002045A1" w:rsidRPr="009D6F29" w:rsidTr="004F4406">
        <w:trPr>
          <w:cantSplit/>
          <w:trHeight w:val="225"/>
        </w:trPr>
        <w:tc>
          <w:tcPr>
            <w:tcW w:w="1417" w:type="dxa"/>
            <w:vMerge/>
            <w:shd w:val="clear" w:color="auto" w:fill="auto"/>
            <w:noWrap/>
            <w:vAlign w:val="center"/>
            <w:hideMark/>
          </w:tcPr>
          <w:p w:rsidR="002045A1" w:rsidRPr="009D6F29" w:rsidRDefault="002045A1" w:rsidP="002045A1">
            <w:pPr>
              <w:pStyle w:val="Tabletext"/>
              <w:rPr>
                <w:sz w:val="14"/>
                <w:szCs w:val="14"/>
                <w:lang w:eastAsia="en-AU"/>
              </w:rPr>
            </w:pPr>
          </w:p>
        </w:tc>
        <w:tc>
          <w:tcPr>
            <w:tcW w:w="3686" w:type="dxa"/>
            <w:tcBorders>
              <w:bottom w:val="single" w:sz="2" w:space="0" w:color="C0C0C0"/>
            </w:tcBorders>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PC Subcritical Black Coal - Retrofit CCS</w:t>
            </w:r>
          </w:p>
        </w:tc>
        <w:tc>
          <w:tcPr>
            <w:tcW w:w="1275" w:type="dxa"/>
            <w:tcBorders>
              <w:bottom w:val="single" w:sz="2" w:space="0" w:color="C0C0C0"/>
            </w:tcBorders>
            <w:shd w:val="clear" w:color="000000" w:fill="F8E983"/>
            <w:noWrap/>
            <w:vAlign w:val="center"/>
            <w:hideMark/>
          </w:tcPr>
          <w:p w:rsidR="002045A1" w:rsidRPr="009D6F29" w:rsidRDefault="002045A1" w:rsidP="002045A1">
            <w:pPr>
              <w:pStyle w:val="Tabletext"/>
              <w:jc w:val="center"/>
              <w:rPr>
                <w:sz w:val="14"/>
                <w:szCs w:val="14"/>
                <w:lang w:eastAsia="en-AU"/>
              </w:rPr>
            </w:pPr>
            <w:r w:rsidRPr="009D6F29">
              <w:rPr>
                <w:sz w:val="14"/>
                <w:szCs w:val="14"/>
              </w:rPr>
              <w:t>0.3%</w:t>
            </w:r>
          </w:p>
        </w:tc>
        <w:tc>
          <w:tcPr>
            <w:tcW w:w="1276" w:type="dxa"/>
            <w:tcBorders>
              <w:bottom w:val="single" w:sz="2" w:space="0" w:color="C0C0C0"/>
            </w:tcBorders>
            <w:shd w:val="clear" w:color="000000" w:fill="D2DE81"/>
            <w:noWrap/>
            <w:vAlign w:val="center"/>
            <w:hideMark/>
          </w:tcPr>
          <w:p w:rsidR="002045A1" w:rsidRPr="009D6F29" w:rsidRDefault="002045A1" w:rsidP="002045A1">
            <w:pPr>
              <w:pStyle w:val="Tabletext"/>
              <w:jc w:val="center"/>
              <w:rPr>
                <w:sz w:val="14"/>
                <w:szCs w:val="14"/>
                <w:lang w:eastAsia="en-AU"/>
              </w:rPr>
            </w:pPr>
            <w:r w:rsidRPr="009D6F29">
              <w:rPr>
                <w:sz w:val="14"/>
                <w:szCs w:val="14"/>
              </w:rPr>
              <w:t>-2.3%</w:t>
            </w:r>
          </w:p>
        </w:tc>
        <w:tc>
          <w:tcPr>
            <w:tcW w:w="1276" w:type="dxa"/>
            <w:tcBorders>
              <w:bottom w:val="single" w:sz="2" w:space="0" w:color="C0C0C0"/>
            </w:tcBorders>
            <w:shd w:val="clear" w:color="000000" w:fill="FEEA83"/>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c>
          <w:tcPr>
            <w:tcW w:w="1276" w:type="dxa"/>
            <w:tcBorders>
              <w:bottom w:val="single" w:sz="2" w:space="0" w:color="C0C0C0"/>
            </w:tcBorders>
            <w:shd w:val="clear" w:color="000000" w:fill="FED17F"/>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r>
      <w:tr w:rsidR="002045A1" w:rsidRPr="009D6F29" w:rsidTr="004F4406">
        <w:trPr>
          <w:cantSplit/>
          <w:trHeight w:val="225"/>
        </w:trPr>
        <w:tc>
          <w:tcPr>
            <w:tcW w:w="1417" w:type="dxa"/>
            <w:vMerge/>
            <w:tcBorders>
              <w:bottom w:val="single" w:sz="2" w:space="0" w:color="999999"/>
            </w:tcBorders>
            <w:shd w:val="clear" w:color="auto" w:fill="auto"/>
            <w:noWrap/>
            <w:vAlign w:val="center"/>
            <w:hideMark/>
          </w:tcPr>
          <w:p w:rsidR="002045A1" w:rsidRPr="009D6F29" w:rsidRDefault="002045A1" w:rsidP="002045A1">
            <w:pPr>
              <w:pStyle w:val="Tabletext"/>
              <w:rPr>
                <w:sz w:val="14"/>
                <w:szCs w:val="14"/>
                <w:lang w:eastAsia="en-AU"/>
              </w:rPr>
            </w:pPr>
          </w:p>
        </w:tc>
        <w:tc>
          <w:tcPr>
            <w:tcW w:w="3686" w:type="dxa"/>
            <w:tcBorders>
              <w:top w:val="single" w:sz="2" w:space="0" w:color="C0C0C0"/>
              <w:bottom w:val="single" w:sz="2" w:space="0" w:color="999999"/>
            </w:tcBorders>
            <w:shd w:val="clear" w:color="auto" w:fill="auto"/>
            <w:noWrap/>
            <w:vAlign w:val="center"/>
            <w:hideMark/>
          </w:tcPr>
          <w:p w:rsidR="002045A1" w:rsidRPr="009D6F29" w:rsidRDefault="002045A1" w:rsidP="002045A1">
            <w:pPr>
              <w:pStyle w:val="Tabletext"/>
              <w:rPr>
                <w:sz w:val="14"/>
                <w:szCs w:val="14"/>
                <w:lang w:eastAsia="en-AU"/>
              </w:rPr>
            </w:pPr>
            <w:r w:rsidRPr="009D6F29">
              <w:rPr>
                <w:sz w:val="14"/>
                <w:szCs w:val="14"/>
                <w:lang w:eastAsia="en-AU"/>
              </w:rPr>
              <w:t>Existing CCGT with retrofit CCS</w:t>
            </w:r>
          </w:p>
        </w:tc>
        <w:tc>
          <w:tcPr>
            <w:tcW w:w="1275" w:type="dxa"/>
            <w:tcBorders>
              <w:top w:val="single" w:sz="2" w:space="0" w:color="C0C0C0"/>
              <w:bottom w:val="single" w:sz="2" w:space="0" w:color="999999"/>
            </w:tcBorders>
            <w:shd w:val="clear" w:color="000000" w:fill="EFE683"/>
            <w:noWrap/>
            <w:vAlign w:val="center"/>
            <w:hideMark/>
          </w:tcPr>
          <w:p w:rsidR="002045A1" w:rsidRPr="009D6F29" w:rsidRDefault="002045A1" w:rsidP="002045A1">
            <w:pPr>
              <w:pStyle w:val="Tabletext"/>
              <w:jc w:val="center"/>
              <w:rPr>
                <w:sz w:val="14"/>
                <w:szCs w:val="14"/>
                <w:lang w:eastAsia="en-AU"/>
              </w:rPr>
            </w:pPr>
            <w:r w:rsidRPr="009D6F29">
              <w:rPr>
                <w:sz w:val="14"/>
                <w:szCs w:val="14"/>
              </w:rPr>
              <w:t>0.2%</w:t>
            </w:r>
          </w:p>
        </w:tc>
        <w:tc>
          <w:tcPr>
            <w:tcW w:w="1276" w:type="dxa"/>
            <w:tcBorders>
              <w:top w:val="single" w:sz="2" w:space="0" w:color="C0C0C0"/>
              <w:bottom w:val="single" w:sz="2" w:space="0" w:color="999999"/>
            </w:tcBorders>
            <w:shd w:val="clear" w:color="000000" w:fill="D3DE81"/>
            <w:noWrap/>
            <w:vAlign w:val="center"/>
            <w:hideMark/>
          </w:tcPr>
          <w:p w:rsidR="002045A1" w:rsidRPr="009D6F29" w:rsidRDefault="002045A1" w:rsidP="002045A1">
            <w:pPr>
              <w:pStyle w:val="Tabletext"/>
              <w:jc w:val="center"/>
              <w:rPr>
                <w:sz w:val="14"/>
                <w:szCs w:val="14"/>
                <w:lang w:eastAsia="en-AU"/>
              </w:rPr>
            </w:pPr>
            <w:r w:rsidRPr="009D6F29">
              <w:rPr>
                <w:sz w:val="14"/>
                <w:szCs w:val="14"/>
              </w:rPr>
              <w:t>-2.1%</w:t>
            </w:r>
          </w:p>
        </w:tc>
        <w:tc>
          <w:tcPr>
            <w:tcW w:w="1276" w:type="dxa"/>
            <w:tcBorders>
              <w:top w:val="single" w:sz="2" w:space="0" w:color="C0C0C0"/>
              <w:bottom w:val="single" w:sz="2" w:space="0" w:color="999999"/>
            </w:tcBorders>
            <w:shd w:val="clear" w:color="000000" w:fill="FCAA78"/>
            <w:noWrap/>
            <w:vAlign w:val="center"/>
            <w:hideMark/>
          </w:tcPr>
          <w:p w:rsidR="002045A1" w:rsidRPr="009D6F29" w:rsidRDefault="002045A1" w:rsidP="002045A1">
            <w:pPr>
              <w:pStyle w:val="Tabletext"/>
              <w:jc w:val="center"/>
              <w:rPr>
                <w:sz w:val="14"/>
                <w:szCs w:val="14"/>
                <w:lang w:eastAsia="en-AU"/>
              </w:rPr>
            </w:pPr>
            <w:r w:rsidRPr="009D6F29">
              <w:rPr>
                <w:sz w:val="14"/>
                <w:szCs w:val="14"/>
              </w:rPr>
              <w:t>-0.3%</w:t>
            </w:r>
          </w:p>
        </w:tc>
        <w:tc>
          <w:tcPr>
            <w:tcW w:w="1276" w:type="dxa"/>
            <w:tcBorders>
              <w:top w:val="single" w:sz="2" w:space="0" w:color="C0C0C0"/>
              <w:bottom w:val="single" w:sz="2" w:space="0" w:color="999999"/>
            </w:tcBorders>
            <w:shd w:val="clear" w:color="000000" w:fill="FFE784"/>
            <w:noWrap/>
            <w:vAlign w:val="center"/>
            <w:hideMark/>
          </w:tcPr>
          <w:p w:rsidR="002045A1" w:rsidRPr="009D6F29" w:rsidRDefault="002045A1" w:rsidP="002045A1">
            <w:pPr>
              <w:pStyle w:val="Tabletext"/>
              <w:jc w:val="center"/>
              <w:rPr>
                <w:sz w:val="14"/>
                <w:szCs w:val="14"/>
                <w:lang w:eastAsia="en-AU"/>
              </w:rPr>
            </w:pPr>
            <w:r w:rsidRPr="009D6F29">
              <w:rPr>
                <w:sz w:val="14"/>
                <w:szCs w:val="14"/>
              </w:rPr>
              <w:t>-0.1%</w:t>
            </w:r>
          </w:p>
        </w:tc>
      </w:tr>
    </w:tbl>
    <w:p w:rsidR="002045A1" w:rsidRPr="002045A1" w:rsidRDefault="002045A1" w:rsidP="002045A1">
      <w:pPr>
        <w:pStyle w:val="Source"/>
        <w:ind w:left="-2835"/>
      </w:pPr>
      <w:r>
        <w:t xml:space="preserve">Source: </w:t>
      </w:r>
      <w:r w:rsidRPr="002045A1">
        <w:t xml:space="preserve">ACIL </w:t>
      </w:r>
      <w:r>
        <w:t>Allen</w:t>
      </w:r>
      <w:r w:rsidRPr="002045A1">
        <w:t xml:space="preserve"> based on ACIL </w:t>
      </w:r>
      <w:r>
        <w:t>Allen</w:t>
      </w:r>
      <w:r w:rsidRPr="002045A1">
        <w:t>, BREE and Treasury inputs.</w:t>
      </w:r>
    </w:p>
    <w:p w:rsidR="002045A1" w:rsidRDefault="002045A1" w:rsidP="002045A1">
      <w:pPr>
        <w:pStyle w:val="Heading3"/>
        <w:numPr>
          <w:ilvl w:val="2"/>
          <w:numId w:val="49"/>
        </w:numPr>
      </w:pPr>
      <w:bookmarkStart w:id="89" w:name="_Toc365474029"/>
      <w:bookmarkStart w:id="90" w:name="_Toc370394639"/>
      <w:r>
        <w:t>Other new entrant parameters</w:t>
      </w:r>
      <w:bookmarkEnd w:id="89"/>
      <w:bookmarkEnd w:id="90"/>
    </w:p>
    <w:p w:rsidR="002045A1" w:rsidRDefault="00450552" w:rsidP="00F25432">
      <w:pPr>
        <w:pStyle w:val="BodyText"/>
      </w:pPr>
      <w:r>
        <w:fldChar w:fldCharType="begin"/>
      </w:r>
      <w:r>
        <w:instrText xml:space="preserve"> REF _Ref365543301 \h </w:instrText>
      </w:r>
      <w:r>
        <w:fldChar w:fldCharType="separate"/>
      </w:r>
      <w:r w:rsidR="00660A8E">
        <w:t xml:space="preserve">Table </w:t>
      </w:r>
      <w:r w:rsidR="00660A8E">
        <w:rPr>
          <w:noProof/>
        </w:rPr>
        <w:t>7</w:t>
      </w:r>
      <w:r>
        <w:fldChar w:fldCharType="end"/>
      </w:r>
      <w:r w:rsidR="002045A1">
        <w:t xml:space="preserve"> provides other technical parameters and cost assumptions for the new entrant technologies. For the most part these are aligned with the AETA 2012 study, with a few modifications.</w:t>
      </w:r>
    </w:p>
    <w:p w:rsidR="009D6F29" w:rsidRDefault="009D6F29" w:rsidP="009D6F29">
      <w:pPr>
        <w:pStyle w:val="Caption"/>
        <w:ind w:left="-1843"/>
      </w:pPr>
      <w:bookmarkStart w:id="91" w:name="_Ref365543301"/>
      <w:bookmarkStart w:id="92" w:name="_Toc370394749"/>
      <w:r>
        <w:t xml:space="preserve">Table </w:t>
      </w:r>
      <w:fldSimple w:instr=" SEQ Table \* MERGEFORMAT ">
        <w:r w:rsidR="00660A8E">
          <w:rPr>
            <w:noProof/>
          </w:rPr>
          <w:t>7</w:t>
        </w:r>
      </w:fldSimple>
      <w:bookmarkEnd w:id="91"/>
      <w:r w:rsidRPr="009D6F29">
        <w:rPr>
          <w:b/>
          <w:color w:val="000000"/>
        </w:rPr>
        <w:tab/>
        <w:t>New entrant parameters</w:t>
      </w:r>
      <w:bookmarkEnd w:id="92"/>
    </w:p>
    <w:tbl>
      <w:tblPr>
        <w:tblW w:w="0" w:type="auto"/>
        <w:tblInd w:w="-2693" w:type="dxa"/>
        <w:tblBorders>
          <w:bottom w:val="single" w:sz="2" w:space="0" w:color="C0C0C0"/>
          <w:insideH w:val="single" w:sz="2" w:space="0" w:color="C0C0C0"/>
        </w:tblBorders>
        <w:tblCellMar>
          <w:left w:w="142" w:type="dxa"/>
          <w:right w:w="56" w:type="dxa"/>
        </w:tblCellMar>
        <w:tblLook w:val="04A0" w:firstRow="1" w:lastRow="0" w:firstColumn="1" w:lastColumn="0" w:noHBand="0" w:noVBand="1"/>
      </w:tblPr>
      <w:tblGrid>
        <w:gridCol w:w="930"/>
        <w:gridCol w:w="3000"/>
        <w:gridCol w:w="1538"/>
        <w:gridCol w:w="1531"/>
        <w:gridCol w:w="204"/>
        <w:gridCol w:w="887"/>
        <w:gridCol w:w="1179"/>
        <w:gridCol w:w="994"/>
      </w:tblGrid>
      <w:tr w:rsidR="00631C08" w:rsidRPr="009D6F29" w:rsidTr="001B52A9">
        <w:trPr>
          <w:cantSplit/>
          <w:trHeight w:val="675"/>
          <w:tblHeader/>
        </w:trPr>
        <w:tc>
          <w:tcPr>
            <w:tcW w:w="0" w:type="auto"/>
            <w:tcBorders>
              <w:top w:val="nil"/>
            </w:tcBorders>
            <w:shd w:val="solid" w:color="9757A6" w:fill="D9D9D9"/>
            <w:vAlign w:val="center"/>
            <w:hideMark/>
          </w:tcPr>
          <w:p w:rsidR="00631C08" w:rsidRPr="009D6F29" w:rsidRDefault="00631C08" w:rsidP="009D6F29">
            <w:pPr>
              <w:pStyle w:val="Tablecolumnheadings"/>
              <w:keepNext w:val="0"/>
              <w:rPr>
                <w:sz w:val="14"/>
                <w:szCs w:val="14"/>
                <w:lang w:eastAsia="en-AU"/>
              </w:rPr>
            </w:pPr>
            <w:r w:rsidRPr="009D6F29">
              <w:rPr>
                <w:sz w:val="14"/>
                <w:szCs w:val="14"/>
                <w:lang w:eastAsia="en-AU"/>
              </w:rPr>
              <w:t>Category</w:t>
            </w:r>
          </w:p>
        </w:tc>
        <w:tc>
          <w:tcPr>
            <w:tcW w:w="0" w:type="auto"/>
            <w:tcBorders>
              <w:top w:val="nil"/>
            </w:tcBorders>
            <w:shd w:val="solid" w:color="9757A6" w:fill="D9D9D9"/>
            <w:vAlign w:val="center"/>
            <w:hideMark/>
          </w:tcPr>
          <w:p w:rsidR="00631C08" w:rsidRPr="009D6F29" w:rsidRDefault="00631C08" w:rsidP="009D6F29">
            <w:pPr>
              <w:pStyle w:val="Tablecolumnheadings"/>
              <w:keepNext w:val="0"/>
              <w:rPr>
                <w:sz w:val="14"/>
                <w:szCs w:val="14"/>
                <w:lang w:eastAsia="en-AU"/>
              </w:rPr>
            </w:pPr>
            <w:r w:rsidRPr="009D6F29">
              <w:rPr>
                <w:sz w:val="14"/>
                <w:szCs w:val="14"/>
                <w:lang w:eastAsia="en-AU"/>
              </w:rPr>
              <w:t>Technology</w:t>
            </w:r>
          </w:p>
        </w:tc>
        <w:tc>
          <w:tcPr>
            <w:tcW w:w="0" w:type="auto"/>
            <w:tcBorders>
              <w:top w:val="nil"/>
            </w:tcBorders>
            <w:shd w:val="solid" w:color="9757A6" w:fill="D9D9D9"/>
            <w:vAlign w:val="center"/>
            <w:hideMark/>
          </w:tcPr>
          <w:p w:rsidR="00631C08" w:rsidRPr="009D6F29" w:rsidRDefault="00631C08" w:rsidP="009D6F29">
            <w:pPr>
              <w:pStyle w:val="Tablecolumnheadings"/>
              <w:keepNext w:val="0"/>
              <w:jc w:val="center"/>
              <w:rPr>
                <w:sz w:val="14"/>
                <w:szCs w:val="14"/>
                <w:lang w:eastAsia="en-AU"/>
              </w:rPr>
            </w:pPr>
            <w:r w:rsidRPr="009D6F29">
              <w:rPr>
                <w:sz w:val="14"/>
                <w:szCs w:val="14"/>
                <w:lang w:eastAsia="en-AU"/>
              </w:rPr>
              <w:t>Thermal efficiency (% higher heating value sent-out)</w:t>
            </w:r>
          </w:p>
        </w:tc>
        <w:tc>
          <w:tcPr>
            <w:tcW w:w="0" w:type="auto"/>
            <w:tcBorders>
              <w:top w:val="nil"/>
            </w:tcBorders>
            <w:shd w:val="solid" w:color="9757A6" w:fill="D9D9D9"/>
          </w:tcPr>
          <w:p w:rsidR="00631C08" w:rsidRPr="009D6F29" w:rsidRDefault="00631C08" w:rsidP="009D6F29">
            <w:pPr>
              <w:pStyle w:val="Tablecolumnheadings"/>
              <w:keepNext w:val="0"/>
              <w:jc w:val="center"/>
              <w:rPr>
                <w:sz w:val="14"/>
                <w:szCs w:val="14"/>
                <w:lang w:eastAsia="en-AU"/>
              </w:rPr>
            </w:pPr>
            <w:r>
              <w:rPr>
                <w:sz w:val="14"/>
                <w:szCs w:val="14"/>
                <w:lang w:eastAsia="en-AU"/>
              </w:rPr>
              <w:t>Emissions factor – Scope 1 (tCO</w:t>
            </w:r>
            <w:r w:rsidRPr="00A72185">
              <w:rPr>
                <w:sz w:val="14"/>
                <w:szCs w:val="14"/>
                <w:vertAlign w:val="subscript"/>
                <w:lang w:eastAsia="en-AU"/>
              </w:rPr>
              <w:t>2</w:t>
            </w:r>
            <w:r>
              <w:rPr>
                <w:sz w:val="14"/>
                <w:szCs w:val="14"/>
                <w:lang w:eastAsia="en-AU"/>
              </w:rPr>
              <w:t>-/MWh sent out)</w:t>
            </w:r>
          </w:p>
        </w:tc>
        <w:tc>
          <w:tcPr>
            <w:tcW w:w="0" w:type="auto"/>
            <w:tcBorders>
              <w:top w:val="nil"/>
            </w:tcBorders>
            <w:shd w:val="solid" w:color="9757A6" w:fill="D9D9D9"/>
          </w:tcPr>
          <w:p w:rsidR="00631C08" w:rsidRPr="009D6F29" w:rsidRDefault="00631C08" w:rsidP="009D6F29">
            <w:pPr>
              <w:pStyle w:val="Tablecolumnheadings"/>
              <w:keepNext w:val="0"/>
              <w:jc w:val="center"/>
              <w:rPr>
                <w:sz w:val="14"/>
                <w:szCs w:val="14"/>
                <w:lang w:eastAsia="en-AU"/>
              </w:rPr>
            </w:pPr>
          </w:p>
        </w:tc>
        <w:tc>
          <w:tcPr>
            <w:tcW w:w="0" w:type="auto"/>
            <w:tcBorders>
              <w:top w:val="nil"/>
            </w:tcBorders>
            <w:shd w:val="solid" w:color="9757A6" w:fill="D9D9D9"/>
            <w:vAlign w:val="center"/>
            <w:hideMark/>
          </w:tcPr>
          <w:p w:rsidR="00631C08" w:rsidRPr="009D6F29" w:rsidRDefault="00631C08" w:rsidP="009D6F29">
            <w:pPr>
              <w:pStyle w:val="Tablecolumnheadings"/>
              <w:keepNext w:val="0"/>
              <w:jc w:val="center"/>
              <w:rPr>
                <w:sz w:val="14"/>
                <w:szCs w:val="14"/>
                <w:lang w:eastAsia="en-AU"/>
              </w:rPr>
            </w:pPr>
            <w:r w:rsidRPr="009D6F29">
              <w:rPr>
                <w:sz w:val="14"/>
                <w:szCs w:val="14"/>
                <w:lang w:eastAsia="en-AU"/>
              </w:rPr>
              <w:t>Auxiliary load (%)</w:t>
            </w:r>
          </w:p>
        </w:tc>
        <w:tc>
          <w:tcPr>
            <w:tcW w:w="0" w:type="auto"/>
            <w:tcBorders>
              <w:top w:val="nil"/>
            </w:tcBorders>
            <w:shd w:val="solid" w:color="9757A6" w:fill="D9D9D9"/>
            <w:vAlign w:val="center"/>
            <w:hideMark/>
          </w:tcPr>
          <w:p w:rsidR="00631C08" w:rsidRPr="009D6F29" w:rsidRDefault="00631C08" w:rsidP="009D6F29">
            <w:pPr>
              <w:pStyle w:val="Tablecolumnheadings"/>
              <w:keepNext w:val="0"/>
              <w:jc w:val="center"/>
              <w:rPr>
                <w:sz w:val="14"/>
                <w:szCs w:val="14"/>
                <w:lang w:eastAsia="en-AU"/>
              </w:rPr>
            </w:pPr>
            <w:r w:rsidRPr="009D6F29">
              <w:rPr>
                <w:sz w:val="14"/>
                <w:szCs w:val="14"/>
                <w:lang w:eastAsia="en-AU"/>
              </w:rPr>
              <w:t>Fixed O&amp;M ($/MW/year)</w:t>
            </w:r>
          </w:p>
        </w:tc>
        <w:tc>
          <w:tcPr>
            <w:tcW w:w="0" w:type="auto"/>
            <w:tcBorders>
              <w:top w:val="nil"/>
            </w:tcBorders>
            <w:shd w:val="solid" w:color="9757A6" w:fill="D9D9D9"/>
            <w:vAlign w:val="center"/>
            <w:hideMark/>
          </w:tcPr>
          <w:p w:rsidR="00631C08" w:rsidRPr="009D6F29" w:rsidRDefault="00631C08" w:rsidP="009D6F29">
            <w:pPr>
              <w:pStyle w:val="Tablecolumnheadings"/>
              <w:keepNext w:val="0"/>
              <w:jc w:val="center"/>
              <w:rPr>
                <w:sz w:val="14"/>
                <w:szCs w:val="14"/>
                <w:lang w:eastAsia="en-AU"/>
              </w:rPr>
            </w:pPr>
            <w:r w:rsidRPr="009D6F29">
              <w:rPr>
                <w:sz w:val="14"/>
                <w:szCs w:val="14"/>
                <w:lang w:eastAsia="en-AU"/>
              </w:rPr>
              <w:t>Variable O&amp;M ($/MWh)</w:t>
            </w:r>
          </w:p>
        </w:tc>
      </w:tr>
      <w:tr w:rsidR="00750A35" w:rsidRPr="009D6F29" w:rsidTr="001B52A9">
        <w:trPr>
          <w:cantSplit/>
          <w:trHeight w:val="225"/>
        </w:trPr>
        <w:tc>
          <w:tcPr>
            <w:tcW w:w="0" w:type="auto"/>
            <w:vMerge w:val="restart"/>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Coal</w:t>
            </w: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PC Supercritical – Brown Coal</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32.3%</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1.038</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8.9%</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85,000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PC Supercritical Black Coal</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41.9%</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0.760</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4.8%</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52,000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PC Supercritical Black Coal (SWIS Scale)</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41.4%</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0.769</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5.6%</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55,500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8</w:t>
            </w:r>
          </w:p>
        </w:tc>
      </w:tr>
      <w:tr w:rsidR="00750A35" w:rsidRPr="009D6F29" w:rsidTr="001B52A9">
        <w:trPr>
          <w:cantSplit/>
          <w:trHeight w:val="225"/>
        </w:trPr>
        <w:tc>
          <w:tcPr>
            <w:tcW w:w="0" w:type="auto"/>
            <w:vMerge w:val="restart"/>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Natural gas</w:t>
            </w: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CCGT</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49.5%</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0.373</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2.4%</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33,000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CCGT SWIS Scale</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49.3%</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0.375</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3.0%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10,000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4</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OCGT</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32.0%</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0.577</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14,000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8</w:t>
            </w:r>
          </w:p>
        </w:tc>
      </w:tr>
      <w:tr w:rsidR="00750A35" w:rsidRPr="009D6F29" w:rsidTr="001B52A9">
        <w:trPr>
          <w:cantSplit/>
          <w:trHeight w:val="225"/>
        </w:trPr>
        <w:tc>
          <w:tcPr>
            <w:tcW w:w="0" w:type="auto"/>
            <w:vMerge w:val="restart"/>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Solar</w:t>
            </w: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CLFR</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0.000</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8.0%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60,000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15</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CLFR with storage</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0.000</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60,000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15</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Parabolic trough</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0.000</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8.0%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60,000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15</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Parabolic trough with storage</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0.000</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65,000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20</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Central Receiver</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0.000</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5.6%</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70,000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15</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Central Receiver with storage</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0.000</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60,000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15</w:t>
            </w:r>
          </w:p>
        </w:tc>
      </w:tr>
      <w:tr w:rsidR="00750A35" w:rsidRPr="009D6F29" w:rsidTr="001B52A9">
        <w:trPr>
          <w:cantSplit/>
          <w:trHeight w:val="225"/>
        </w:trPr>
        <w:tc>
          <w:tcPr>
            <w:tcW w:w="0" w:type="auto"/>
            <w:vMerge w:val="restart"/>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Solar PV</w:t>
            </w: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Solar PV fixed</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0.000</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38,000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Solar PV single axis tracking</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0.000</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38,000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Solar PV dual axis tracking</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0.000</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47,000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w:t>
            </w:r>
          </w:p>
        </w:tc>
      </w:tr>
      <w:tr w:rsidR="00750A35" w:rsidRPr="009D6F29" w:rsidTr="001B52A9">
        <w:trPr>
          <w:cantSplit/>
          <w:trHeight w:val="225"/>
        </w:trPr>
        <w:tc>
          <w:tcPr>
            <w:tcW w:w="0" w:type="auto"/>
            <w:vMerge w:val="restart"/>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Wind</w:t>
            </w: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On-shore Wind Farm</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0.000</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0.5%</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40,000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Ocean/Wave</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0.000</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190,000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w:t>
            </w:r>
          </w:p>
        </w:tc>
      </w:tr>
      <w:tr w:rsidR="00750A35" w:rsidRPr="009D6F29" w:rsidTr="001B52A9">
        <w:trPr>
          <w:cantSplit/>
          <w:trHeight w:val="225"/>
        </w:trPr>
        <w:tc>
          <w:tcPr>
            <w:tcW w:w="0" w:type="auto"/>
            <w:vMerge w:val="restart"/>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Geothermal</w:t>
            </w: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Geothermal HSA</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0.000</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200,000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Geothermal EGS</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0.0%</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0.161</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9.0%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170,000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0</w:t>
            </w:r>
          </w:p>
        </w:tc>
      </w:tr>
      <w:tr w:rsidR="00750A35" w:rsidRPr="009D6F29" w:rsidTr="001B52A9">
        <w:trPr>
          <w:cantSplit/>
          <w:trHeight w:val="225"/>
        </w:trPr>
        <w:tc>
          <w:tcPr>
            <w:tcW w:w="0" w:type="auto"/>
            <w:vMerge w:val="restart"/>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CCS</w:t>
            </w: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PC Supercritical with CCS – Brown Coal</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20.8%</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0.101</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24.0%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91,500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15</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PC Supercritical with CCS – Bituminous Coal</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31.4%</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0.000</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16.1%</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73,200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12</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PC Oxy Combustion Supercritical with CCS</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32.5%</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0.064</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26.0%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62,000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14</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CCGT with CCS</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43.1%</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0.110</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17,000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9</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IGCC with CCS – Bituminous Coal</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28.9%</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0.131</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32.0%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98,700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8</w:t>
            </w:r>
          </w:p>
        </w:tc>
      </w:tr>
      <w:tr w:rsidR="00750A35" w:rsidRPr="009D6F29" w:rsidTr="001B52A9">
        <w:trPr>
          <w:cantSplit/>
          <w:trHeight w:val="225"/>
        </w:trPr>
        <w:tc>
          <w:tcPr>
            <w:tcW w:w="0" w:type="auto"/>
            <w:vMerge/>
            <w:shd w:val="clear" w:color="auto" w:fill="auto"/>
            <w:noWrap/>
            <w:vAlign w:val="center"/>
            <w:hideMark/>
          </w:tcPr>
          <w:p w:rsidR="00750A35" w:rsidRPr="009D6F29" w:rsidRDefault="00750A35" w:rsidP="009D6F29">
            <w:pPr>
              <w:pStyle w:val="Tabletext"/>
              <w:keepNext w:val="0"/>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rPr>
                <w:sz w:val="14"/>
                <w:szCs w:val="14"/>
                <w:lang w:eastAsia="en-AU"/>
              </w:rPr>
            </w:pPr>
            <w:r w:rsidRPr="009D6F29">
              <w:rPr>
                <w:sz w:val="14"/>
                <w:szCs w:val="14"/>
                <w:lang w:eastAsia="en-AU"/>
              </w:rPr>
              <w:t>IGCC with CCS – Brown Coal</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25.5%</w:t>
            </w:r>
          </w:p>
        </w:tc>
        <w:tc>
          <w:tcPr>
            <w:tcW w:w="0" w:type="auto"/>
            <w:vAlign w:val="bottom"/>
          </w:tcPr>
          <w:p w:rsidR="00750A35" w:rsidRPr="00522D7B" w:rsidRDefault="00750A35" w:rsidP="009D6F29">
            <w:pPr>
              <w:pStyle w:val="Tabletext"/>
              <w:keepNext w:val="0"/>
              <w:jc w:val="center"/>
              <w:rPr>
                <w:sz w:val="14"/>
                <w:szCs w:val="14"/>
                <w:lang w:eastAsia="en-AU"/>
              </w:rPr>
            </w:pPr>
            <w:r w:rsidRPr="001B52A9">
              <w:rPr>
                <w:rFonts w:cs="Arial"/>
                <w:sz w:val="14"/>
                <w:szCs w:val="16"/>
              </w:rPr>
              <w:t>1.038</w:t>
            </w:r>
          </w:p>
        </w:tc>
        <w:tc>
          <w:tcPr>
            <w:tcW w:w="0" w:type="auto"/>
          </w:tcPr>
          <w:p w:rsidR="00750A35" w:rsidRPr="009D6F29" w:rsidRDefault="00750A35" w:rsidP="009D6F29">
            <w:pPr>
              <w:pStyle w:val="Tabletext"/>
              <w:keepNext w:val="0"/>
              <w:jc w:val="center"/>
              <w:rPr>
                <w:sz w:val="14"/>
                <w:szCs w:val="14"/>
                <w:lang w:eastAsia="en-AU"/>
              </w:rPr>
            </w:pP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41.0%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123,400</w:t>
            </w:r>
          </w:p>
        </w:tc>
        <w:tc>
          <w:tcPr>
            <w:tcW w:w="0" w:type="auto"/>
            <w:shd w:val="clear" w:color="auto" w:fill="auto"/>
            <w:noWrap/>
            <w:vAlign w:val="center"/>
            <w:hideMark/>
          </w:tcPr>
          <w:p w:rsidR="00750A35" w:rsidRPr="009D6F29" w:rsidRDefault="00750A35" w:rsidP="009D6F29">
            <w:pPr>
              <w:pStyle w:val="Tabletext"/>
              <w:keepNext w:val="0"/>
              <w:jc w:val="center"/>
              <w:rPr>
                <w:sz w:val="14"/>
                <w:szCs w:val="14"/>
                <w:lang w:eastAsia="en-AU"/>
              </w:rPr>
            </w:pPr>
            <w:r w:rsidRPr="009D6F29">
              <w:rPr>
                <w:sz w:val="14"/>
                <w:szCs w:val="14"/>
                <w:lang w:eastAsia="en-AU"/>
              </w:rPr>
              <w:t>10</w:t>
            </w:r>
          </w:p>
        </w:tc>
      </w:tr>
      <w:tr w:rsidR="00631C08" w:rsidRPr="009D6F29" w:rsidTr="001B52A9">
        <w:trPr>
          <w:cantSplit/>
          <w:trHeight w:val="225"/>
        </w:trPr>
        <w:tc>
          <w:tcPr>
            <w:tcW w:w="0" w:type="auto"/>
            <w:vMerge w:val="restart"/>
            <w:shd w:val="clear" w:color="auto" w:fill="auto"/>
            <w:noWrap/>
            <w:vAlign w:val="center"/>
            <w:hideMark/>
          </w:tcPr>
          <w:p w:rsidR="00631C08" w:rsidRPr="009D6F29" w:rsidRDefault="00631C08" w:rsidP="009D6F29">
            <w:pPr>
              <w:pStyle w:val="Tabletext"/>
              <w:keepNext w:val="0"/>
              <w:rPr>
                <w:sz w:val="14"/>
                <w:szCs w:val="14"/>
                <w:lang w:eastAsia="en-AU"/>
              </w:rPr>
            </w:pPr>
            <w:r w:rsidRPr="009D6F29">
              <w:rPr>
                <w:sz w:val="14"/>
                <w:szCs w:val="14"/>
                <w:lang w:eastAsia="en-AU"/>
              </w:rPr>
              <w:t>CCS retrofit</w:t>
            </w:r>
          </w:p>
        </w:tc>
        <w:tc>
          <w:tcPr>
            <w:tcW w:w="0" w:type="auto"/>
            <w:shd w:val="clear" w:color="auto" w:fill="auto"/>
            <w:noWrap/>
            <w:vAlign w:val="center"/>
            <w:hideMark/>
          </w:tcPr>
          <w:p w:rsidR="00631C08" w:rsidRPr="009D6F29" w:rsidRDefault="00631C08" w:rsidP="009D6F29">
            <w:pPr>
              <w:pStyle w:val="Tabletext"/>
              <w:keepNext w:val="0"/>
              <w:rPr>
                <w:sz w:val="14"/>
                <w:szCs w:val="14"/>
                <w:lang w:eastAsia="en-AU"/>
              </w:rPr>
            </w:pPr>
            <w:r w:rsidRPr="009D6F29">
              <w:rPr>
                <w:sz w:val="14"/>
                <w:szCs w:val="14"/>
                <w:lang w:eastAsia="en-AU"/>
              </w:rPr>
              <w:t>PC Subcritical Brown Coal - Retrofit CCS</w:t>
            </w:r>
          </w:p>
        </w:tc>
        <w:tc>
          <w:tcPr>
            <w:tcW w:w="0" w:type="auto"/>
            <w:shd w:val="clear" w:color="auto" w:fill="auto"/>
            <w:noWrap/>
            <w:vAlign w:val="center"/>
            <w:hideMark/>
          </w:tcPr>
          <w:p w:rsidR="00631C08" w:rsidRPr="009D6F29" w:rsidRDefault="00631C08" w:rsidP="009D6F29">
            <w:pPr>
              <w:pStyle w:val="Tabletext"/>
              <w:keepNext w:val="0"/>
              <w:jc w:val="center"/>
              <w:rPr>
                <w:sz w:val="14"/>
                <w:szCs w:val="14"/>
                <w:lang w:eastAsia="en-AU"/>
              </w:rPr>
            </w:pPr>
            <w:r w:rsidRPr="009D6F29">
              <w:rPr>
                <w:sz w:val="14"/>
                <w:szCs w:val="14"/>
                <w:lang w:eastAsia="en-AU"/>
              </w:rPr>
              <w:t>21.6%</w:t>
            </w:r>
          </w:p>
        </w:tc>
        <w:tc>
          <w:tcPr>
            <w:tcW w:w="0" w:type="auto"/>
          </w:tcPr>
          <w:p w:rsidR="00631C08" w:rsidRPr="009D6F29" w:rsidRDefault="00631C08" w:rsidP="009D6F29">
            <w:pPr>
              <w:pStyle w:val="Tabletext"/>
              <w:keepNext w:val="0"/>
              <w:jc w:val="center"/>
              <w:rPr>
                <w:sz w:val="14"/>
                <w:szCs w:val="14"/>
                <w:lang w:eastAsia="en-AU"/>
              </w:rPr>
            </w:pPr>
            <w:r>
              <w:rPr>
                <w:sz w:val="14"/>
                <w:szCs w:val="14"/>
                <w:lang w:eastAsia="en-AU"/>
              </w:rPr>
              <w:t>Varies</w:t>
            </w:r>
          </w:p>
        </w:tc>
        <w:tc>
          <w:tcPr>
            <w:tcW w:w="0" w:type="auto"/>
          </w:tcPr>
          <w:p w:rsidR="00631C08" w:rsidRPr="009D6F29" w:rsidRDefault="00631C08" w:rsidP="009D6F29">
            <w:pPr>
              <w:pStyle w:val="Tabletext"/>
              <w:keepNext w:val="0"/>
              <w:jc w:val="center"/>
              <w:rPr>
                <w:sz w:val="14"/>
                <w:szCs w:val="14"/>
                <w:lang w:eastAsia="en-AU"/>
              </w:rPr>
            </w:pPr>
          </w:p>
        </w:tc>
        <w:tc>
          <w:tcPr>
            <w:tcW w:w="0" w:type="auto"/>
            <w:shd w:val="clear" w:color="auto" w:fill="auto"/>
            <w:noWrap/>
            <w:vAlign w:val="center"/>
            <w:hideMark/>
          </w:tcPr>
          <w:p w:rsidR="00631C08" w:rsidRPr="009D6F29" w:rsidRDefault="00631C08" w:rsidP="009D6F29">
            <w:pPr>
              <w:pStyle w:val="Tabletext"/>
              <w:keepNext w:val="0"/>
              <w:jc w:val="center"/>
              <w:rPr>
                <w:sz w:val="14"/>
                <w:szCs w:val="14"/>
                <w:lang w:eastAsia="en-AU"/>
              </w:rPr>
            </w:pPr>
            <w:r w:rsidRPr="009D6F29">
              <w:rPr>
                <w:sz w:val="14"/>
                <w:szCs w:val="14"/>
                <w:lang w:eastAsia="en-AU"/>
              </w:rPr>
              <w:t>36.8%</w:t>
            </w:r>
          </w:p>
        </w:tc>
        <w:tc>
          <w:tcPr>
            <w:tcW w:w="0" w:type="auto"/>
            <w:shd w:val="clear" w:color="auto" w:fill="auto"/>
            <w:noWrap/>
            <w:vAlign w:val="center"/>
            <w:hideMark/>
          </w:tcPr>
          <w:p w:rsidR="00631C08" w:rsidRPr="009D6F29" w:rsidRDefault="00631C08" w:rsidP="009D6F29">
            <w:pPr>
              <w:pStyle w:val="Tabletext"/>
              <w:keepNext w:val="0"/>
              <w:jc w:val="center"/>
              <w:rPr>
                <w:sz w:val="14"/>
                <w:szCs w:val="14"/>
                <w:lang w:eastAsia="en-AU"/>
              </w:rPr>
            </w:pPr>
            <w:r w:rsidRPr="009D6F29">
              <w:rPr>
                <w:sz w:val="14"/>
                <w:szCs w:val="14"/>
                <w:lang w:eastAsia="en-AU"/>
              </w:rPr>
              <w:t>37,200</w:t>
            </w:r>
          </w:p>
        </w:tc>
        <w:tc>
          <w:tcPr>
            <w:tcW w:w="0" w:type="auto"/>
            <w:shd w:val="clear" w:color="auto" w:fill="auto"/>
            <w:noWrap/>
            <w:vAlign w:val="center"/>
            <w:hideMark/>
          </w:tcPr>
          <w:p w:rsidR="00631C08" w:rsidRPr="009D6F29" w:rsidRDefault="00631C08" w:rsidP="009D6F29">
            <w:pPr>
              <w:pStyle w:val="Tabletext"/>
              <w:keepNext w:val="0"/>
              <w:jc w:val="center"/>
              <w:rPr>
                <w:sz w:val="14"/>
                <w:szCs w:val="14"/>
                <w:lang w:eastAsia="en-AU"/>
              </w:rPr>
            </w:pPr>
            <w:r w:rsidRPr="009D6F29">
              <w:rPr>
                <w:sz w:val="14"/>
                <w:szCs w:val="14"/>
                <w:lang w:eastAsia="en-AU"/>
              </w:rPr>
              <w:t>8</w:t>
            </w:r>
          </w:p>
        </w:tc>
      </w:tr>
      <w:tr w:rsidR="00631C08" w:rsidRPr="009D6F29" w:rsidTr="001B52A9">
        <w:trPr>
          <w:cantSplit/>
          <w:trHeight w:val="225"/>
        </w:trPr>
        <w:tc>
          <w:tcPr>
            <w:tcW w:w="0" w:type="auto"/>
            <w:vMerge/>
            <w:shd w:val="clear" w:color="auto" w:fill="auto"/>
            <w:noWrap/>
            <w:vAlign w:val="center"/>
            <w:hideMark/>
          </w:tcPr>
          <w:p w:rsidR="00631C08" w:rsidRPr="009D6F29" w:rsidRDefault="00631C08" w:rsidP="009D6F29">
            <w:pPr>
              <w:pStyle w:val="Tabletext"/>
              <w:keepNext w:val="0"/>
              <w:rPr>
                <w:sz w:val="14"/>
                <w:szCs w:val="14"/>
                <w:lang w:eastAsia="en-AU"/>
              </w:rPr>
            </w:pPr>
          </w:p>
        </w:tc>
        <w:tc>
          <w:tcPr>
            <w:tcW w:w="0" w:type="auto"/>
            <w:tcBorders>
              <w:bottom w:val="single" w:sz="2" w:space="0" w:color="C0C0C0"/>
            </w:tcBorders>
            <w:shd w:val="clear" w:color="auto" w:fill="auto"/>
            <w:noWrap/>
            <w:vAlign w:val="center"/>
            <w:hideMark/>
          </w:tcPr>
          <w:p w:rsidR="00631C08" w:rsidRPr="009D6F29" w:rsidRDefault="00631C08" w:rsidP="009D6F29">
            <w:pPr>
              <w:pStyle w:val="Tabletext"/>
              <w:keepNext w:val="0"/>
              <w:rPr>
                <w:sz w:val="14"/>
                <w:szCs w:val="14"/>
                <w:lang w:eastAsia="en-AU"/>
              </w:rPr>
            </w:pPr>
            <w:r w:rsidRPr="009D6F29">
              <w:rPr>
                <w:sz w:val="14"/>
                <w:szCs w:val="14"/>
                <w:lang w:eastAsia="en-AU"/>
              </w:rPr>
              <w:t>PC Subcritical Black Coal - Retrofit CCS</w:t>
            </w:r>
          </w:p>
        </w:tc>
        <w:tc>
          <w:tcPr>
            <w:tcW w:w="0" w:type="auto"/>
            <w:tcBorders>
              <w:bottom w:val="single" w:sz="2" w:space="0" w:color="C0C0C0"/>
            </w:tcBorders>
            <w:shd w:val="clear" w:color="auto" w:fill="auto"/>
            <w:noWrap/>
            <w:vAlign w:val="center"/>
            <w:hideMark/>
          </w:tcPr>
          <w:p w:rsidR="00631C08" w:rsidRPr="009D6F29" w:rsidRDefault="00631C08" w:rsidP="009D6F29">
            <w:pPr>
              <w:pStyle w:val="Tabletext"/>
              <w:keepNext w:val="0"/>
              <w:jc w:val="center"/>
              <w:rPr>
                <w:sz w:val="14"/>
                <w:szCs w:val="14"/>
                <w:lang w:eastAsia="en-AU"/>
              </w:rPr>
            </w:pPr>
            <w:r w:rsidRPr="009D6F29">
              <w:rPr>
                <w:sz w:val="14"/>
                <w:szCs w:val="14"/>
                <w:lang w:eastAsia="en-AU"/>
              </w:rPr>
              <w:t>30.1%</w:t>
            </w:r>
          </w:p>
        </w:tc>
        <w:tc>
          <w:tcPr>
            <w:tcW w:w="0" w:type="auto"/>
            <w:tcBorders>
              <w:bottom w:val="single" w:sz="2" w:space="0" w:color="C0C0C0"/>
            </w:tcBorders>
          </w:tcPr>
          <w:p w:rsidR="00631C08" w:rsidRPr="009D6F29" w:rsidRDefault="00631C08" w:rsidP="009D6F29">
            <w:pPr>
              <w:pStyle w:val="Tabletext"/>
              <w:keepNext w:val="0"/>
              <w:jc w:val="center"/>
              <w:rPr>
                <w:sz w:val="14"/>
                <w:szCs w:val="14"/>
                <w:lang w:eastAsia="en-AU"/>
              </w:rPr>
            </w:pPr>
            <w:r>
              <w:rPr>
                <w:sz w:val="14"/>
                <w:szCs w:val="14"/>
                <w:lang w:eastAsia="en-AU"/>
              </w:rPr>
              <w:t>Varies</w:t>
            </w:r>
          </w:p>
        </w:tc>
        <w:tc>
          <w:tcPr>
            <w:tcW w:w="0" w:type="auto"/>
            <w:tcBorders>
              <w:bottom w:val="single" w:sz="2" w:space="0" w:color="C0C0C0"/>
            </w:tcBorders>
          </w:tcPr>
          <w:p w:rsidR="00631C08" w:rsidRPr="009D6F29" w:rsidRDefault="00631C08" w:rsidP="009D6F29">
            <w:pPr>
              <w:pStyle w:val="Tabletext"/>
              <w:keepNext w:val="0"/>
              <w:jc w:val="center"/>
              <w:rPr>
                <w:sz w:val="14"/>
                <w:szCs w:val="14"/>
                <w:lang w:eastAsia="en-AU"/>
              </w:rPr>
            </w:pPr>
          </w:p>
        </w:tc>
        <w:tc>
          <w:tcPr>
            <w:tcW w:w="0" w:type="auto"/>
            <w:tcBorders>
              <w:bottom w:val="single" w:sz="2" w:space="0" w:color="C0C0C0"/>
            </w:tcBorders>
            <w:shd w:val="clear" w:color="auto" w:fill="auto"/>
            <w:noWrap/>
            <w:vAlign w:val="center"/>
            <w:hideMark/>
          </w:tcPr>
          <w:p w:rsidR="00631C08" w:rsidRPr="009D6F29" w:rsidRDefault="00631C08" w:rsidP="009D6F29">
            <w:pPr>
              <w:pStyle w:val="Tabletext"/>
              <w:keepNext w:val="0"/>
              <w:jc w:val="center"/>
              <w:rPr>
                <w:sz w:val="14"/>
                <w:szCs w:val="14"/>
                <w:lang w:eastAsia="en-AU"/>
              </w:rPr>
            </w:pPr>
            <w:r w:rsidRPr="009D6F29">
              <w:rPr>
                <w:sz w:val="14"/>
                <w:szCs w:val="14"/>
                <w:lang w:eastAsia="en-AU"/>
              </w:rPr>
              <w:t>28.2%</w:t>
            </w:r>
          </w:p>
        </w:tc>
        <w:tc>
          <w:tcPr>
            <w:tcW w:w="0" w:type="auto"/>
            <w:tcBorders>
              <w:bottom w:val="single" w:sz="2" w:space="0" w:color="C0C0C0"/>
            </w:tcBorders>
            <w:shd w:val="clear" w:color="auto" w:fill="auto"/>
            <w:noWrap/>
            <w:vAlign w:val="center"/>
            <w:hideMark/>
          </w:tcPr>
          <w:p w:rsidR="00631C08" w:rsidRPr="009D6F29" w:rsidRDefault="00631C08" w:rsidP="009D6F29">
            <w:pPr>
              <w:pStyle w:val="Tabletext"/>
              <w:keepNext w:val="0"/>
              <w:jc w:val="center"/>
              <w:rPr>
                <w:sz w:val="14"/>
                <w:szCs w:val="14"/>
                <w:lang w:eastAsia="en-AU"/>
              </w:rPr>
            </w:pPr>
            <w:r w:rsidRPr="009D6F29">
              <w:rPr>
                <w:sz w:val="14"/>
                <w:szCs w:val="14"/>
                <w:lang w:eastAsia="en-AU"/>
              </w:rPr>
              <w:t>31,000</w:t>
            </w:r>
          </w:p>
        </w:tc>
        <w:tc>
          <w:tcPr>
            <w:tcW w:w="0" w:type="auto"/>
            <w:tcBorders>
              <w:bottom w:val="single" w:sz="2" w:space="0" w:color="C0C0C0"/>
            </w:tcBorders>
            <w:shd w:val="clear" w:color="auto" w:fill="auto"/>
            <w:noWrap/>
            <w:vAlign w:val="center"/>
            <w:hideMark/>
          </w:tcPr>
          <w:p w:rsidR="00631C08" w:rsidRPr="009D6F29" w:rsidRDefault="00631C08" w:rsidP="009D6F29">
            <w:pPr>
              <w:pStyle w:val="Tabletext"/>
              <w:keepNext w:val="0"/>
              <w:jc w:val="center"/>
              <w:rPr>
                <w:sz w:val="14"/>
                <w:szCs w:val="14"/>
                <w:lang w:eastAsia="en-AU"/>
              </w:rPr>
            </w:pPr>
            <w:r w:rsidRPr="009D6F29">
              <w:rPr>
                <w:sz w:val="14"/>
                <w:szCs w:val="14"/>
                <w:lang w:eastAsia="en-AU"/>
              </w:rPr>
              <w:t>7</w:t>
            </w:r>
          </w:p>
        </w:tc>
      </w:tr>
      <w:tr w:rsidR="00631C08" w:rsidRPr="009D6F29" w:rsidTr="001B52A9">
        <w:trPr>
          <w:cantSplit/>
          <w:trHeight w:val="225"/>
        </w:trPr>
        <w:tc>
          <w:tcPr>
            <w:tcW w:w="0" w:type="auto"/>
            <w:vMerge/>
            <w:tcBorders>
              <w:bottom w:val="single" w:sz="2" w:space="0" w:color="999999"/>
            </w:tcBorders>
            <w:shd w:val="clear" w:color="auto" w:fill="auto"/>
            <w:noWrap/>
            <w:vAlign w:val="center"/>
            <w:hideMark/>
          </w:tcPr>
          <w:p w:rsidR="00631C08" w:rsidRPr="009D6F29" w:rsidRDefault="00631C08" w:rsidP="009D6F29">
            <w:pPr>
              <w:pStyle w:val="Tabletext"/>
              <w:keepNext w:val="0"/>
              <w:rPr>
                <w:sz w:val="14"/>
                <w:szCs w:val="14"/>
                <w:lang w:eastAsia="en-AU"/>
              </w:rPr>
            </w:pPr>
          </w:p>
        </w:tc>
        <w:tc>
          <w:tcPr>
            <w:tcW w:w="0" w:type="auto"/>
            <w:tcBorders>
              <w:top w:val="single" w:sz="2" w:space="0" w:color="C0C0C0"/>
              <w:bottom w:val="single" w:sz="2" w:space="0" w:color="999999"/>
            </w:tcBorders>
            <w:shd w:val="clear" w:color="auto" w:fill="auto"/>
            <w:noWrap/>
            <w:vAlign w:val="center"/>
            <w:hideMark/>
          </w:tcPr>
          <w:p w:rsidR="00631C08" w:rsidRPr="009D6F29" w:rsidRDefault="00631C08" w:rsidP="009D6F29">
            <w:pPr>
              <w:pStyle w:val="Tabletext"/>
              <w:keepNext w:val="0"/>
              <w:rPr>
                <w:sz w:val="14"/>
                <w:szCs w:val="14"/>
                <w:lang w:eastAsia="en-AU"/>
              </w:rPr>
            </w:pPr>
            <w:r w:rsidRPr="009D6F29">
              <w:rPr>
                <w:sz w:val="14"/>
                <w:szCs w:val="14"/>
                <w:lang w:eastAsia="en-AU"/>
              </w:rPr>
              <w:t>Existing CCGT with retrofit CCS</w:t>
            </w:r>
          </w:p>
        </w:tc>
        <w:tc>
          <w:tcPr>
            <w:tcW w:w="0" w:type="auto"/>
            <w:tcBorders>
              <w:top w:val="single" w:sz="2" w:space="0" w:color="C0C0C0"/>
              <w:bottom w:val="single" w:sz="2" w:space="0" w:color="999999"/>
            </w:tcBorders>
            <w:shd w:val="clear" w:color="auto" w:fill="auto"/>
            <w:noWrap/>
            <w:vAlign w:val="center"/>
            <w:hideMark/>
          </w:tcPr>
          <w:p w:rsidR="00631C08" w:rsidRPr="009D6F29" w:rsidRDefault="00631C08" w:rsidP="009D6F29">
            <w:pPr>
              <w:pStyle w:val="Tabletext"/>
              <w:keepNext w:val="0"/>
              <w:jc w:val="center"/>
              <w:rPr>
                <w:sz w:val="14"/>
                <w:szCs w:val="14"/>
                <w:lang w:eastAsia="en-AU"/>
              </w:rPr>
            </w:pPr>
            <w:r w:rsidRPr="009D6F29">
              <w:rPr>
                <w:sz w:val="14"/>
                <w:szCs w:val="14"/>
                <w:lang w:eastAsia="en-AU"/>
              </w:rPr>
              <w:t>43.0%</w:t>
            </w:r>
          </w:p>
        </w:tc>
        <w:tc>
          <w:tcPr>
            <w:tcW w:w="0" w:type="auto"/>
            <w:tcBorders>
              <w:top w:val="single" w:sz="2" w:space="0" w:color="C0C0C0"/>
              <w:bottom w:val="single" w:sz="2" w:space="0" w:color="999999"/>
            </w:tcBorders>
          </w:tcPr>
          <w:p w:rsidR="00631C08" w:rsidRPr="009D6F29" w:rsidRDefault="00631C08" w:rsidP="009D6F29">
            <w:pPr>
              <w:pStyle w:val="Tabletext"/>
              <w:keepNext w:val="0"/>
              <w:jc w:val="center"/>
              <w:rPr>
                <w:sz w:val="14"/>
                <w:szCs w:val="14"/>
                <w:lang w:eastAsia="en-AU"/>
              </w:rPr>
            </w:pPr>
            <w:r>
              <w:rPr>
                <w:sz w:val="14"/>
                <w:szCs w:val="14"/>
                <w:lang w:eastAsia="en-AU"/>
              </w:rPr>
              <w:t>Varies</w:t>
            </w:r>
          </w:p>
        </w:tc>
        <w:tc>
          <w:tcPr>
            <w:tcW w:w="0" w:type="auto"/>
            <w:tcBorders>
              <w:top w:val="single" w:sz="2" w:space="0" w:color="C0C0C0"/>
              <w:bottom w:val="single" w:sz="2" w:space="0" w:color="999999"/>
            </w:tcBorders>
          </w:tcPr>
          <w:p w:rsidR="00631C08" w:rsidRPr="009D6F29" w:rsidRDefault="00631C08" w:rsidP="009D6F29">
            <w:pPr>
              <w:pStyle w:val="Tabletext"/>
              <w:keepNext w:val="0"/>
              <w:jc w:val="center"/>
              <w:rPr>
                <w:sz w:val="14"/>
                <w:szCs w:val="14"/>
                <w:lang w:eastAsia="en-AU"/>
              </w:rPr>
            </w:pPr>
          </w:p>
        </w:tc>
        <w:tc>
          <w:tcPr>
            <w:tcW w:w="0" w:type="auto"/>
            <w:tcBorders>
              <w:top w:val="single" w:sz="2" w:space="0" w:color="C0C0C0"/>
              <w:bottom w:val="single" w:sz="2" w:space="0" w:color="999999"/>
            </w:tcBorders>
            <w:shd w:val="clear" w:color="auto" w:fill="auto"/>
            <w:noWrap/>
            <w:vAlign w:val="center"/>
            <w:hideMark/>
          </w:tcPr>
          <w:p w:rsidR="00631C08" w:rsidRPr="009D6F29" w:rsidRDefault="00631C08" w:rsidP="009D6F29">
            <w:pPr>
              <w:pStyle w:val="Tabletext"/>
              <w:keepNext w:val="0"/>
              <w:jc w:val="center"/>
              <w:rPr>
                <w:sz w:val="14"/>
                <w:szCs w:val="14"/>
                <w:lang w:eastAsia="en-AU"/>
              </w:rPr>
            </w:pPr>
            <w:r w:rsidRPr="009D6F29">
              <w:rPr>
                <w:sz w:val="14"/>
                <w:szCs w:val="14"/>
                <w:lang w:eastAsia="en-AU"/>
              </w:rPr>
              <w:t>10.0%</w:t>
            </w:r>
          </w:p>
        </w:tc>
        <w:tc>
          <w:tcPr>
            <w:tcW w:w="0" w:type="auto"/>
            <w:tcBorders>
              <w:top w:val="single" w:sz="2" w:space="0" w:color="C0C0C0"/>
              <w:bottom w:val="single" w:sz="2" w:space="0" w:color="999999"/>
            </w:tcBorders>
            <w:shd w:val="clear" w:color="auto" w:fill="auto"/>
            <w:noWrap/>
            <w:vAlign w:val="center"/>
            <w:hideMark/>
          </w:tcPr>
          <w:p w:rsidR="00631C08" w:rsidRPr="009D6F29" w:rsidRDefault="00631C08" w:rsidP="009D6F29">
            <w:pPr>
              <w:pStyle w:val="Tabletext"/>
              <w:keepNext w:val="0"/>
              <w:jc w:val="center"/>
              <w:rPr>
                <w:sz w:val="14"/>
                <w:szCs w:val="14"/>
                <w:lang w:eastAsia="en-AU"/>
              </w:rPr>
            </w:pPr>
            <w:r w:rsidRPr="009D6F29">
              <w:rPr>
                <w:sz w:val="14"/>
                <w:szCs w:val="14"/>
                <w:lang w:eastAsia="en-AU"/>
              </w:rPr>
              <w:t>17,000</w:t>
            </w:r>
          </w:p>
        </w:tc>
        <w:tc>
          <w:tcPr>
            <w:tcW w:w="0" w:type="auto"/>
            <w:tcBorders>
              <w:top w:val="single" w:sz="2" w:space="0" w:color="C0C0C0"/>
              <w:bottom w:val="single" w:sz="2" w:space="0" w:color="999999"/>
            </w:tcBorders>
            <w:shd w:val="clear" w:color="auto" w:fill="auto"/>
            <w:noWrap/>
            <w:vAlign w:val="center"/>
            <w:hideMark/>
          </w:tcPr>
          <w:p w:rsidR="00631C08" w:rsidRPr="009D6F29" w:rsidRDefault="00631C08" w:rsidP="009D6F29">
            <w:pPr>
              <w:pStyle w:val="Tabletext"/>
              <w:keepNext w:val="0"/>
              <w:jc w:val="center"/>
              <w:rPr>
                <w:sz w:val="14"/>
                <w:szCs w:val="14"/>
                <w:lang w:eastAsia="en-AU"/>
              </w:rPr>
            </w:pPr>
            <w:r w:rsidRPr="009D6F29">
              <w:rPr>
                <w:sz w:val="14"/>
                <w:szCs w:val="14"/>
                <w:lang w:eastAsia="en-AU"/>
              </w:rPr>
              <w:t>9</w:t>
            </w:r>
          </w:p>
        </w:tc>
      </w:tr>
    </w:tbl>
    <w:p w:rsidR="009D6F29" w:rsidRDefault="009D6F29" w:rsidP="009D6F29">
      <w:pPr>
        <w:pStyle w:val="Note"/>
        <w:ind w:left="-2835"/>
      </w:pPr>
      <w:r w:rsidRPr="009D6F29">
        <w:rPr>
          <w:i/>
        </w:rPr>
        <w:t>Note:</w:t>
      </w:r>
      <w:r w:rsidRPr="009D6F29">
        <w:t xml:space="preserve"> Fixed O&amp;M costs for CCS technologies do not include CO</w:t>
      </w:r>
      <w:r w:rsidRPr="001B52A9">
        <w:rPr>
          <w:vertAlign w:val="subscript"/>
        </w:rPr>
        <w:t>2</w:t>
      </w:r>
      <w:r w:rsidRPr="009D6F29">
        <w:t xml:space="preserve"> storage and transport costs, which vary by location and hence cannot be presented generically. CO</w:t>
      </w:r>
      <w:r w:rsidRPr="001B52A9">
        <w:rPr>
          <w:vertAlign w:val="subscript"/>
        </w:rPr>
        <w:t>2</w:t>
      </w:r>
      <w:r w:rsidRPr="009D6F29">
        <w:t xml:space="preserve"> transport and storage costs are detailed in section 3.5.3.</w:t>
      </w:r>
      <w:r w:rsidR="000E3AA8">
        <w:t xml:space="preserve"> Real 2011-12 dollars</w:t>
      </w:r>
    </w:p>
    <w:p w:rsidR="009D6F29" w:rsidRPr="009D6F29" w:rsidRDefault="009D6F29" w:rsidP="009D6F29">
      <w:pPr>
        <w:pStyle w:val="Source"/>
        <w:ind w:left="-2835"/>
      </w:pPr>
      <w:r>
        <w:t xml:space="preserve">Source: </w:t>
      </w:r>
      <w:r w:rsidRPr="009D6F29">
        <w:t xml:space="preserve">ACIL </w:t>
      </w:r>
      <w:r>
        <w:t>Allen</w:t>
      </w:r>
      <w:r w:rsidRPr="009D6F29">
        <w:t>, AETA 2012</w:t>
      </w:r>
    </w:p>
    <w:p w:rsidR="009D6F29" w:rsidRDefault="009D6F29" w:rsidP="009D6F29">
      <w:pPr>
        <w:pStyle w:val="BodyText"/>
      </w:pPr>
      <w:r>
        <w:t>Both fixed and variable O&amp;M charges are assumed to escalate at the rate of inflation (i.e. they are constant in real terms).</w:t>
      </w:r>
    </w:p>
    <w:p w:rsidR="009D6F29" w:rsidRDefault="00450552" w:rsidP="00F25432">
      <w:pPr>
        <w:pStyle w:val="BodyText"/>
      </w:pPr>
      <w:r>
        <w:fldChar w:fldCharType="begin"/>
      </w:r>
      <w:r>
        <w:instrText xml:space="preserve"> REF _Ref365543309 \h </w:instrText>
      </w:r>
      <w:r>
        <w:fldChar w:fldCharType="separate"/>
      </w:r>
      <w:r w:rsidR="00660A8E">
        <w:t xml:space="preserve">Table </w:t>
      </w:r>
      <w:r w:rsidR="00660A8E">
        <w:rPr>
          <w:noProof/>
        </w:rPr>
        <w:t>8</w:t>
      </w:r>
      <w:r>
        <w:fldChar w:fldCharType="end"/>
      </w:r>
      <w:r w:rsidR="009D6F29">
        <w:t xml:space="preserve"> shows the availability and construction profiles for each of the technologies. It is assumed that CCS based plant would not be available prior to 2030 based on slow international progress on demonstration plants.</w:t>
      </w:r>
    </w:p>
    <w:p w:rsidR="009D6F29" w:rsidRDefault="009D6F29" w:rsidP="009D6F29">
      <w:pPr>
        <w:pStyle w:val="Caption"/>
        <w:ind w:left="-1843"/>
      </w:pPr>
      <w:bookmarkStart w:id="93" w:name="_Ref365543309"/>
      <w:bookmarkStart w:id="94" w:name="_Toc370394750"/>
      <w:r>
        <w:t xml:space="preserve">Table </w:t>
      </w:r>
      <w:fldSimple w:instr=" SEQ Table \* MERGEFORMAT ">
        <w:r w:rsidR="00660A8E">
          <w:rPr>
            <w:noProof/>
          </w:rPr>
          <w:t>8</w:t>
        </w:r>
      </w:fldSimple>
      <w:bookmarkEnd w:id="93"/>
      <w:r w:rsidRPr="009D6F29">
        <w:rPr>
          <w:b/>
          <w:color w:val="000000"/>
        </w:rPr>
        <w:tab/>
        <w:t>Technology availability and construction profiles</w:t>
      </w:r>
      <w:bookmarkEnd w:id="94"/>
    </w:p>
    <w:tbl>
      <w:tblPr>
        <w:tblW w:w="10138" w:type="dxa"/>
        <w:tblInd w:w="-2693" w:type="dxa"/>
        <w:tblBorders>
          <w:bottom w:val="single" w:sz="2" w:space="0" w:color="C0C0C0"/>
          <w:insideH w:val="single" w:sz="2" w:space="0" w:color="C0C0C0"/>
        </w:tblBorders>
        <w:tblCellMar>
          <w:left w:w="142" w:type="dxa"/>
          <w:right w:w="56" w:type="dxa"/>
        </w:tblCellMar>
        <w:tblLook w:val="04A0" w:firstRow="1" w:lastRow="0" w:firstColumn="1" w:lastColumn="0" w:noHBand="0" w:noVBand="1"/>
      </w:tblPr>
      <w:tblGrid>
        <w:gridCol w:w="1300"/>
        <w:gridCol w:w="3520"/>
        <w:gridCol w:w="1132"/>
        <w:gridCol w:w="1136"/>
        <w:gridCol w:w="782"/>
        <w:gridCol w:w="850"/>
        <w:gridCol w:w="709"/>
        <w:gridCol w:w="709"/>
      </w:tblGrid>
      <w:tr w:rsidR="009D6F29" w:rsidRPr="009D6F29" w:rsidTr="009D6F29">
        <w:trPr>
          <w:cantSplit/>
          <w:trHeight w:val="450"/>
          <w:tblHeader/>
        </w:trPr>
        <w:tc>
          <w:tcPr>
            <w:tcW w:w="1300" w:type="dxa"/>
            <w:tcBorders>
              <w:top w:val="nil"/>
            </w:tcBorders>
            <w:shd w:val="solid" w:color="9757A6" w:fill="D9D9D9"/>
            <w:vAlign w:val="center"/>
            <w:hideMark/>
          </w:tcPr>
          <w:p w:rsidR="009D6F29" w:rsidRPr="009D6F29" w:rsidRDefault="009D6F29" w:rsidP="009D6F29">
            <w:pPr>
              <w:pStyle w:val="Tablecolumnheadings"/>
              <w:keepNext w:val="0"/>
              <w:rPr>
                <w:sz w:val="14"/>
                <w:szCs w:val="14"/>
                <w:lang w:eastAsia="en-AU"/>
              </w:rPr>
            </w:pPr>
            <w:r w:rsidRPr="009D6F29">
              <w:rPr>
                <w:sz w:val="14"/>
                <w:szCs w:val="14"/>
                <w:lang w:eastAsia="en-AU"/>
              </w:rPr>
              <w:t>Category</w:t>
            </w:r>
          </w:p>
        </w:tc>
        <w:tc>
          <w:tcPr>
            <w:tcW w:w="3520" w:type="dxa"/>
            <w:tcBorders>
              <w:top w:val="nil"/>
            </w:tcBorders>
            <w:shd w:val="solid" w:color="9757A6" w:fill="D9D9D9"/>
            <w:vAlign w:val="center"/>
            <w:hideMark/>
          </w:tcPr>
          <w:p w:rsidR="009D6F29" w:rsidRPr="009D6F29" w:rsidRDefault="009D6F29" w:rsidP="009D6F29">
            <w:pPr>
              <w:pStyle w:val="Tablecolumnheadings"/>
              <w:keepNext w:val="0"/>
              <w:rPr>
                <w:sz w:val="14"/>
                <w:szCs w:val="14"/>
                <w:lang w:eastAsia="en-AU"/>
              </w:rPr>
            </w:pPr>
            <w:r w:rsidRPr="009D6F29">
              <w:rPr>
                <w:sz w:val="14"/>
                <w:szCs w:val="14"/>
                <w:lang w:eastAsia="en-AU"/>
              </w:rPr>
              <w:t>Technology</w:t>
            </w:r>
          </w:p>
        </w:tc>
        <w:tc>
          <w:tcPr>
            <w:tcW w:w="1132" w:type="dxa"/>
            <w:tcBorders>
              <w:top w:val="nil"/>
            </w:tcBorders>
            <w:shd w:val="solid" w:color="9757A6" w:fill="D9D9D9"/>
            <w:vAlign w:val="center"/>
            <w:hideMark/>
          </w:tcPr>
          <w:p w:rsidR="009D6F29" w:rsidRPr="009D6F29" w:rsidRDefault="009D6F29" w:rsidP="009D6F29">
            <w:pPr>
              <w:pStyle w:val="Tablecolumnheadings"/>
              <w:keepNext w:val="0"/>
              <w:jc w:val="center"/>
              <w:rPr>
                <w:sz w:val="14"/>
                <w:szCs w:val="14"/>
                <w:lang w:eastAsia="en-AU"/>
              </w:rPr>
            </w:pPr>
            <w:r w:rsidRPr="009D6F29">
              <w:rPr>
                <w:sz w:val="14"/>
                <w:szCs w:val="14"/>
                <w:lang w:eastAsia="en-AU"/>
              </w:rPr>
              <w:t>First year available for start-up</w:t>
            </w:r>
          </w:p>
        </w:tc>
        <w:tc>
          <w:tcPr>
            <w:tcW w:w="1136" w:type="dxa"/>
            <w:tcBorders>
              <w:top w:val="nil"/>
            </w:tcBorders>
            <w:shd w:val="solid" w:color="9757A6" w:fill="D9D9D9"/>
            <w:vAlign w:val="center"/>
            <w:hideMark/>
          </w:tcPr>
          <w:p w:rsidR="009D6F29" w:rsidRPr="009D6F29" w:rsidRDefault="009D6F29" w:rsidP="009D6F29">
            <w:pPr>
              <w:pStyle w:val="Tablecolumnheadings"/>
              <w:keepNext w:val="0"/>
              <w:jc w:val="center"/>
              <w:rPr>
                <w:sz w:val="14"/>
                <w:szCs w:val="14"/>
                <w:lang w:eastAsia="en-AU"/>
              </w:rPr>
            </w:pPr>
            <w:r w:rsidRPr="009D6F29">
              <w:rPr>
                <w:sz w:val="14"/>
                <w:szCs w:val="14"/>
                <w:lang w:eastAsia="en-AU"/>
              </w:rPr>
              <w:t>Construction period (years)</w:t>
            </w:r>
          </w:p>
        </w:tc>
        <w:tc>
          <w:tcPr>
            <w:tcW w:w="782" w:type="dxa"/>
            <w:tcBorders>
              <w:top w:val="nil"/>
            </w:tcBorders>
            <w:shd w:val="solid" w:color="9757A6" w:fill="D9D9D9"/>
            <w:vAlign w:val="center"/>
            <w:hideMark/>
          </w:tcPr>
          <w:p w:rsidR="009D6F29" w:rsidRPr="009D6F29" w:rsidRDefault="009D6F29" w:rsidP="009D6F29">
            <w:pPr>
              <w:pStyle w:val="Tablecolumnheadings"/>
              <w:keepNext w:val="0"/>
              <w:jc w:val="center"/>
              <w:rPr>
                <w:sz w:val="14"/>
                <w:szCs w:val="14"/>
                <w:lang w:eastAsia="en-AU"/>
              </w:rPr>
            </w:pPr>
            <w:r w:rsidRPr="009D6F29">
              <w:rPr>
                <w:sz w:val="14"/>
                <w:szCs w:val="14"/>
                <w:lang w:eastAsia="en-AU"/>
              </w:rPr>
              <w:t>Yr1</w:t>
            </w:r>
          </w:p>
        </w:tc>
        <w:tc>
          <w:tcPr>
            <w:tcW w:w="850" w:type="dxa"/>
            <w:tcBorders>
              <w:top w:val="nil"/>
            </w:tcBorders>
            <w:shd w:val="solid" w:color="9757A6" w:fill="D9D9D9"/>
            <w:vAlign w:val="center"/>
            <w:hideMark/>
          </w:tcPr>
          <w:p w:rsidR="009D6F29" w:rsidRPr="009D6F29" w:rsidRDefault="009D6F29" w:rsidP="009D6F29">
            <w:pPr>
              <w:pStyle w:val="Tablecolumnheadings"/>
              <w:keepNext w:val="0"/>
              <w:jc w:val="center"/>
              <w:rPr>
                <w:sz w:val="14"/>
                <w:szCs w:val="14"/>
                <w:lang w:eastAsia="en-AU"/>
              </w:rPr>
            </w:pPr>
            <w:r w:rsidRPr="009D6F29">
              <w:rPr>
                <w:sz w:val="14"/>
                <w:szCs w:val="14"/>
                <w:lang w:eastAsia="en-AU"/>
              </w:rPr>
              <w:t>Yr2</w:t>
            </w:r>
          </w:p>
        </w:tc>
        <w:tc>
          <w:tcPr>
            <w:tcW w:w="709" w:type="dxa"/>
            <w:tcBorders>
              <w:top w:val="nil"/>
            </w:tcBorders>
            <w:shd w:val="solid" w:color="9757A6" w:fill="D9D9D9"/>
            <w:vAlign w:val="center"/>
            <w:hideMark/>
          </w:tcPr>
          <w:p w:rsidR="009D6F29" w:rsidRPr="009D6F29" w:rsidRDefault="009D6F29" w:rsidP="009D6F29">
            <w:pPr>
              <w:pStyle w:val="Tablecolumnheadings"/>
              <w:keepNext w:val="0"/>
              <w:jc w:val="center"/>
              <w:rPr>
                <w:sz w:val="14"/>
                <w:szCs w:val="14"/>
                <w:lang w:eastAsia="en-AU"/>
              </w:rPr>
            </w:pPr>
            <w:r w:rsidRPr="009D6F29">
              <w:rPr>
                <w:sz w:val="14"/>
                <w:szCs w:val="14"/>
                <w:lang w:eastAsia="en-AU"/>
              </w:rPr>
              <w:t>Yr3</w:t>
            </w:r>
          </w:p>
        </w:tc>
        <w:tc>
          <w:tcPr>
            <w:tcW w:w="709" w:type="dxa"/>
            <w:tcBorders>
              <w:top w:val="nil"/>
            </w:tcBorders>
            <w:shd w:val="solid" w:color="9757A6" w:fill="D9D9D9"/>
            <w:vAlign w:val="center"/>
            <w:hideMark/>
          </w:tcPr>
          <w:p w:rsidR="009D6F29" w:rsidRPr="009D6F29" w:rsidRDefault="009D6F29" w:rsidP="009D6F29">
            <w:pPr>
              <w:pStyle w:val="Tablecolumnheadings"/>
              <w:keepNext w:val="0"/>
              <w:jc w:val="center"/>
              <w:rPr>
                <w:sz w:val="14"/>
                <w:szCs w:val="14"/>
                <w:lang w:eastAsia="en-AU"/>
              </w:rPr>
            </w:pPr>
            <w:r w:rsidRPr="009D6F29">
              <w:rPr>
                <w:sz w:val="14"/>
                <w:szCs w:val="14"/>
                <w:lang w:eastAsia="en-AU"/>
              </w:rPr>
              <w:t>Yr4</w:t>
            </w:r>
          </w:p>
        </w:tc>
      </w:tr>
      <w:tr w:rsidR="009D6F29" w:rsidRPr="009D6F29" w:rsidTr="009D6F29">
        <w:trPr>
          <w:cantSplit/>
          <w:trHeight w:val="225"/>
        </w:trPr>
        <w:tc>
          <w:tcPr>
            <w:tcW w:w="1300" w:type="dxa"/>
            <w:vMerge w:val="restart"/>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Coal</w:t>
            </w: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PC Supercritical – Brown Coal</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2018</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4</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35%</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35%</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10%</w:t>
            </w: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PC Supercritical Black Coal</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2018</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4</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35%</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35%</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10%</w:t>
            </w: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PC Supercritical Black Coal (SWIS Scale)</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2018</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4</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35%</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35%</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10%</w:t>
            </w:r>
          </w:p>
        </w:tc>
      </w:tr>
      <w:tr w:rsidR="009D6F29" w:rsidRPr="009D6F29" w:rsidTr="009D6F29">
        <w:trPr>
          <w:cantSplit/>
          <w:trHeight w:val="225"/>
        </w:trPr>
        <w:tc>
          <w:tcPr>
            <w:tcW w:w="1300" w:type="dxa"/>
            <w:vMerge w:val="restart"/>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Natural gas</w:t>
            </w: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CCGT</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2016</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60%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40%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CCGT SWIS Scale</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2016</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60%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40%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OCGT</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2015</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1</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100%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val="restart"/>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Solar</w:t>
            </w: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CLFR</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2017</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50%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CLFR with storage</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2017</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50%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Parabolic trough</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2017</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50%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Parabolic trough with storage</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2017</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50%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Central Receiver</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2017</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60%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Central Receiver with storage</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2017</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50%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val="restart"/>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Solar PV</w:t>
            </w: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Solar PV fixed</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2016</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70%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Solar PV single axis tracking</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2016</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70%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Solar PV dual axis tracking</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2016</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70%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val="restart"/>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Wind</w:t>
            </w: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On-shore Wind Farm</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2016</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80%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Ocean/Wave</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2025</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60%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40%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val="restart"/>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Geothermal</w:t>
            </w: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Geothermal HSA</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2020</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40%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40%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Geothermal EGS</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2020</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40%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45%</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15%</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val="restart"/>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CCS</w:t>
            </w: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PC Supercritical with CCS – Brown Coal</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2030</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4</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35%</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35%</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10%</w:t>
            </w: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PC Supercritical with CCS – Bituminous Coal</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2030</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4</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35%</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35%</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10%</w:t>
            </w: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PC Oxy Combustion Supercritical with CCS</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2030</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4</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35%</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35%</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10%</w:t>
            </w: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CCGT with CCS</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2030</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60%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40%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IGCC with CCS – Bituminous Coal</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2030</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60%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IGCC with CCS – Brown Coal</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2030</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60%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9D6F29">
        <w:trPr>
          <w:cantSplit/>
          <w:trHeight w:val="225"/>
        </w:trPr>
        <w:tc>
          <w:tcPr>
            <w:tcW w:w="1300" w:type="dxa"/>
            <w:vMerge w:val="restart"/>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lastRenderedPageBreak/>
              <w:t>CCS retrofit</w:t>
            </w:r>
          </w:p>
        </w:tc>
        <w:tc>
          <w:tcPr>
            <w:tcW w:w="3520" w:type="dxa"/>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PC Subcritical Brown Coal - Retrofit CCS</w:t>
            </w:r>
          </w:p>
        </w:tc>
        <w:tc>
          <w:tcPr>
            <w:tcW w:w="113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2030</w:t>
            </w:r>
          </w:p>
        </w:tc>
        <w:tc>
          <w:tcPr>
            <w:tcW w:w="1136"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w:t>
            </w:r>
          </w:p>
        </w:tc>
        <w:tc>
          <w:tcPr>
            <w:tcW w:w="782"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25%</w:t>
            </w:r>
          </w:p>
        </w:tc>
        <w:tc>
          <w:tcPr>
            <w:tcW w:w="850"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60%</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15%</w:t>
            </w:r>
          </w:p>
        </w:tc>
        <w:tc>
          <w:tcPr>
            <w:tcW w:w="709" w:type="dxa"/>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4F4406">
        <w:trPr>
          <w:cantSplit/>
          <w:trHeight w:val="225"/>
        </w:trPr>
        <w:tc>
          <w:tcPr>
            <w:tcW w:w="1300" w:type="dxa"/>
            <w:vMerge/>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tcBorders>
              <w:bottom w:val="single" w:sz="2" w:space="0" w:color="C0C0C0"/>
            </w:tcBorders>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PC Subcritical Black Coal - Retrofit CCS</w:t>
            </w:r>
          </w:p>
        </w:tc>
        <w:tc>
          <w:tcPr>
            <w:tcW w:w="1132" w:type="dxa"/>
            <w:tcBorders>
              <w:bottom w:val="single" w:sz="2" w:space="0" w:color="C0C0C0"/>
            </w:tcBorders>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2030</w:t>
            </w:r>
          </w:p>
        </w:tc>
        <w:tc>
          <w:tcPr>
            <w:tcW w:w="1136" w:type="dxa"/>
            <w:tcBorders>
              <w:bottom w:val="single" w:sz="2" w:space="0" w:color="C0C0C0"/>
            </w:tcBorders>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w:t>
            </w:r>
          </w:p>
        </w:tc>
        <w:tc>
          <w:tcPr>
            <w:tcW w:w="782" w:type="dxa"/>
            <w:tcBorders>
              <w:bottom w:val="single" w:sz="2" w:space="0" w:color="C0C0C0"/>
            </w:tcBorders>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25%</w:t>
            </w:r>
          </w:p>
        </w:tc>
        <w:tc>
          <w:tcPr>
            <w:tcW w:w="850" w:type="dxa"/>
            <w:tcBorders>
              <w:bottom w:val="single" w:sz="2" w:space="0" w:color="C0C0C0"/>
            </w:tcBorders>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60%</w:t>
            </w:r>
          </w:p>
        </w:tc>
        <w:tc>
          <w:tcPr>
            <w:tcW w:w="709" w:type="dxa"/>
            <w:tcBorders>
              <w:bottom w:val="single" w:sz="2" w:space="0" w:color="C0C0C0"/>
            </w:tcBorders>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15%</w:t>
            </w:r>
          </w:p>
        </w:tc>
        <w:tc>
          <w:tcPr>
            <w:tcW w:w="709" w:type="dxa"/>
            <w:tcBorders>
              <w:bottom w:val="single" w:sz="2" w:space="0" w:color="C0C0C0"/>
            </w:tcBorders>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r w:rsidR="009D6F29" w:rsidRPr="009D6F29" w:rsidTr="004F4406">
        <w:trPr>
          <w:cantSplit/>
          <w:trHeight w:val="225"/>
        </w:trPr>
        <w:tc>
          <w:tcPr>
            <w:tcW w:w="1300" w:type="dxa"/>
            <w:vMerge/>
            <w:tcBorders>
              <w:bottom w:val="single" w:sz="2" w:space="0" w:color="999999"/>
            </w:tcBorders>
            <w:shd w:val="clear" w:color="auto" w:fill="auto"/>
            <w:noWrap/>
            <w:vAlign w:val="center"/>
            <w:hideMark/>
          </w:tcPr>
          <w:p w:rsidR="009D6F29" w:rsidRPr="009D6F29" w:rsidRDefault="009D6F29" w:rsidP="009D6F29">
            <w:pPr>
              <w:pStyle w:val="Tabletext"/>
              <w:keepNext w:val="0"/>
              <w:rPr>
                <w:sz w:val="14"/>
                <w:szCs w:val="14"/>
                <w:lang w:eastAsia="en-AU"/>
              </w:rPr>
            </w:pPr>
          </w:p>
        </w:tc>
        <w:tc>
          <w:tcPr>
            <w:tcW w:w="3520" w:type="dxa"/>
            <w:tcBorders>
              <w:top w:val="single" w:sz="2" w:space="0" w:color="C0C0C0"/>
              <w:bottom w:val="single" w:sz="2" w:space="0" w:color="999999"/>
            </w:tcBorders>
            <w:shd w:val="clear" w:color="auto" w:fill="auto"/>
            <w:noWrap/>
            <w:vAlign w:val="center"/>
            <w:hideMark/>
          </w:tcPr>
          <w:p w:rsidR="009D6F29" w:rsidRPr="009D6F29" w:rsidRDefault="009D6F29" w:rsidP="009D6F29">
            <w:pPr>
              <w:pStyle w:val="Tabletext"/>
              <w:keepNext w:val="0"/>
              <w:rPr>
                <w:sz w:val="14"/>
                <w:szCs w:val="14"/>
                <w:lang w:eastAsia="en-AU"/>
              </w:rPr>
            </w:pPr>
            <w:r w:rsidRPr="009D6F29">
              <w:rPr>
                <w:sz w:val="14"/>
                <w:szCs w:val="14"/>
                <w:lang w:eastAsia="en-AU"/>
              </w:rPr>
              <w:t>Existing CCGT with retrofit CCS</w:t>
            </w:r>
          </w:p>
        </w:tc>
        <w:tc>
          <w:tcPr>
            <w:tcW w:w="1132" w:type="dxa"/>
            <w:tcBorders>
              <w:top w:val="single" w:sz="2" w:space="0" w:color="C0C0C0"/>
              <w:bottom w:val="single" w:sz="2" w:space="0" w:color="999999"/>
            </w:tcBorders>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2030</w:t>
            </w:r>
          </w:p>
        </w:tc>
        <w:tc>
          <w:tcPr>
            <w:tcW w:w="1136" w:type="dxa"/>
            <w:tcBorders>
              <w:top w:val="single" w:sz="2" w:space="0" w:color="C0C0C0"/>
              <w:bottom w:val="single" w:sz="2" w:space="0" w:color="999999"/>
            </w:tcBorders>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3</w:t>
            </w:r>
          </w:p>
        </w:tc>
        <w:tc>
          <w:tcPr>
            <w:tcW w:w="782" w:type="dxa"/>
            <w:tcBorders>
              <w:top w:val="single" w:sz="2" w:space="0" w:color="C0C0C0"/>
              <w:bottom w:val="single" w:sz="2" w:space="0" w:color="999999"/>
            </w:tcBorders>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25%</w:t>
            </w:r>
          </w:p>
        </w:tc>
        <w:tc>
          <w:tcPr>
            <w:tcW w:w="850" w:type="dxa"/>
            <w:tcBorders>
              <w:top w:val="single" w:sz="2" w:space="0" w:color="C0C0C0"/>
              <w:bottom w:val="single" w:sz="2" w:space="0" w:color="999999"/>
            </w:tcBorders>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60%</w:t>
            </w:r>
          </w:p>
        </w:tc>
        <w:tc>
          <w:tcPr>
            <w:tcW w:w="709" w:type="dxa"/>
            <w:tcBorders>
              <w:top w:val="single" w:sz="2" w:space="0" w:color="C0C0C0"/>
              <w:bottom w:val="single" w:sz="2" w:space="0" w:color="999999"/>
            </w:tcBorders>
            <w:shd w:val="clear" w:color="auto" w:fill="auto"/>
            <w:noWrap/>
            <w:vAlign w:val="center"/>
            <w:hideMark/>
          </w:tcPr>
          <w:p w:rsidR="009D6F29" w:rsidRPr="009D6F29" w:rsidRDefault="009D6F29" w:rsidP="009D6F29">
            <w:pPr>
              <w:pStyle w:val="Tabletext"/>
              <w:keepNext w:val="0"/>
              <w:jc w:val="center"/>
              <w:rPr>
                <w:sz w:val="14"/>
                <w:szCs w:val="14"/>
                <w:lang w:eastAsia="en-AU"/>
              </w:rPr>
            </w:pPr>
            <w:r w:rsidRPr="009D6F29">
              <w:rPr>
                <w:sz w:val="14"/>
                <w:szCs w:val="14"/>
                <w:lang w:eastAsia="en-AU"/>
              </w:rPr>
              <w:t>15%</w:t>
            </w:r>
          </w:p>
        </w:tc>
        <w:tc>
          <w:tcPr>
            <w:tcW w:w="709" w:type="dxa"/>
            <w:tcBorders>
              <w:top w:val="single" w:sz="2" w:space="0" w:color="C0C0C0"/>
              <w:bottom w:val="single" w:sz="2" w:space="0" w:color="999999"/>
            </w:tcBorders>
            <w:shd w:val="clear" w:color="auto" w:fill="auto"/>
            <w:noWrap/>
            <w:vAlign w:val="center"/>
            <w:hideMark/>
          </w:tcPr>
          <w:p w:rsidR="009D6F29" w:rsidRPr="009D6F29" w:rsidRDefault="009D6F29" w:rsidP="009D6F29">
            <w:pPr>
              <w:pStyle w:val="Tabletext"/>
              <w:keepNext w:val="0"/>
              <w:jc w:val="center"/>
              <w:rPr>
                <w:sz w:val="14"/>
                <w:szCs w:val="14"/>
                <w:lang w:eastAsia="en-AU"/>
              </w:rPr>
            </w:pPr>
          </w:p>
        </w:tc>
      </w:tr>
    </w:tbl>
    <w:p w:rsidR="009D6F29" w:rsidRPr="009D6F29" w:rsidRDefault="009D6F29" w:rsidP="009D6F29">
      <w:pPr>
        <w:pStyle w:val="Source"/>
        <w:ind w:left="-2835"/>
      </w:pPr>
      <w:r>
        <w:t xml:space="preserve">Source: </w:t>
      </w:r>
      <w:r w:rsidRPr="009D6F29">
        <w:t xml:space="preserve">ACIL </w:t>
      </w:r>
      <w:r>
        <w:t>Allen</w:t>
      </w:r>
      <w:r w:rsidRPr="009D6F29">
        <w:t>, AETA 2012</w:t>
      </w:r>
    </w:p>
    <w:p w:rsidR="009D6F29" w:rsidRDefault="00450552" w:rsidP="00F25432">
      <w:pPr>
        <w:pStyle w:val="BodyText"/>
      </w:pPr>
      <w:r>
        <w:fldChar w:fldCharType="begin"/>
      </w:r>
      <w:r>
        <w:instrText xml:space="preserve"> REF _Ref365543317 \h </w:instrText>
      </w:r>
      <w:r>
        <w:fldChar w:fldCharType="separate"/>
      </w:r>
      <w:r w:rsidR="00660A8E">
        <w:t xml:space="preserve">Table </w:t>
      </w:r>
      <w:r w:rsidR="00660A8E">
        <w:rPr>
          <w:noProof/>
        </w:rPr>
        <w:t>9</w:t>
      </w:r>
      <w:r>
        <w:fldChar w:fldCharType="end"/>
      </w:r>
      <w:r w:rsidR="009D6F29">
        <w:t xml:space="preserve"> shows the assumed economic life for each technology taken from AETA. As with incumbent generation, refurbishments are also applied to new entrants with the refurbishment capital cost expressed as a percentage of a new facility and resulting in a life extension expressed as a percentage of the original life. Installations can undergo multiple refurbishments within the projection horizon.</w:t>
      </w:r>
    </w:p>
    <w:p w:rsidR="009D6F29" w:rsidRDefault="009D6F29" w:rsidP="009D6F29">
      <w:pPr>
        <w:pStyle w:val="Caption"/>
        <w:ind w:left="-1843"/>
      </w:pPr>
      <w:bookmarkStart w:id="95" w:name="_Ref365543317"/>
      <w:bookmarkStart w:id="96" w:name="_Toc370394751"/>
      <w:r>
        <w:t xml:space="preserve">Table </w:t>
      </w:r>
      <w:fldSimple w:instr=" SEQ Table \* MERGEFORMAT ">
        <w:r w:rsidR="00660A8E">
          <w:rPr>
            <w:noProof/>
          </w:rPr>
          <w:t>9</w:t>
        </w:r>
      </w:fldSimple>
      <w:bookmarkEnd w:id="95"/>
      <w:r w:rsidRPr="009D6F29">
        <w:rPr>
          <w:b/>
          <w:color w:val="000000"/>
        </w:rPr>
        <w:tab/>
        <w:t>Technology life and refurbishment costs</w:t>
      </w:r>
      <w:bookmarkEnd w:id="96"/>
    </w:p>
    <w:tbl>
      <w:tblPr>
        <w:tblW w:w="10060" w:type="dxa"/>
        <w:tblInd w:w="-2693" w:type="dxa"/>
        <w:tblBorders>
          <w:bottom w:val="single" w:sz="2" w:space="0" w:color="C0C0C0"/>
          <w:insideH w:val="single" w:sz="2" w:space="0" w:color="C0C0C0"/>
        </w:tblBorders>
        <w:tblCellMar>
          <w:left w:w="142" w:type="dxa"/>
          <w:right w:w="56" w:type="dxa"/>
        </w:tblCellMar>
        <w:tblLook w:val="04A0" w:firstRow="1" w:lastRow="0" w:firstColumn="1" w:lastColumn="0" w:noHBand="0" w:noVBand="1"/>
      </w:tblPr>
      <w:tblGrid>
        <w:gridCol w:w="1300"/>
        <w:gridCol w:w="3520"/>
        <w:gridCol w:w="1380"/>
        <w:gridCol w:w="1380"/>
        <w:gridCol w:w="1240"/>
        <w:gridCol w:w="1240"/>
      </w:tblGrid>
      <w:tr w:rsidR="009D6F29" w:rsidRPr="009D6F29" w:rsidTr="009D6F29">
        <w:trPr>
          <w:cantSplit/>
          <w:trHeight w:val="675"/>
          <w:tblHeader/>
        </w:trPr>
        <w:tc>
          <w:tcPr>
            <w:tcW w:w="1300" w:type="dxa"/>
            <w:tcBorders>
              <w:top w:val="nil"/>
            </w:tcBorders>
            <w:shd w:val="solid" w:color="9757A6" w:fill="D9D9D9"/>
            <w:vAlign w:val="center"/>
            <w:hideMark/>
          </w:tcPr>
          <w:p w:rsidR="009D6F29" w:rsidRPr="009D6F29" w:rsidRDefault="009D6F29" w:rsidP="009D6F29">
            <w:pPr>
              <w:pStyle w:val="Tablecolumnheadings"/>
              <w:rPr>
                <w:sz w:val="14"/>
                <w:szCs w:val="14"/>
                <w:lang w:eastAsia="en-AU"/>
              </w:rPr>
            </w:pPr>
            <w:r w:rsidRPr="009D6F29">
              <w:rPr>
                <w:sz w:val="14"/>
                <w:szCs w:val="14"/>
                <w:lang w:eastAsia="en-AU"/>
              </w:rPr>
              <w:t>Category</w:t>
            </w:r>
          </w:p>
        </w:tc>
        <w:tc>
          <w:tcPr>
            <w:tcW w:w="3520" w:type="dxa"/>
            <w:tcBorders>
              <w:top w:val="nil"/>
            </w:tcBorders>
            <w:shd w:val="solid" w:color="9757A6" w:fill="D9D9D9"/>
            <w:vAlign w:val="center"/>
            <w:hideMark/>
          </w:tcPr>
          <w:p w:rsidR="009D6F29" w:rsidRPr="009D6F29" w:rsidRDefault="009D6F29" w:rsidP="009D6F29">
            <w:pPr>
              <w:pStyle w:val="Tablecolumnheadings"/>
              <w:rPr>
                <w:sz w:val="14"/>
                <w:szCs w:val="14"/>
                <w:lang w:eastAsia="en-AU"/>
              </w:rPr>
            </w:pPr>
            <w:r w:rsidRPr="009D6F29">
              <w:rPr>
                <w:sz w:val="14"/>
                <w:szCs w:val="14"/>
                <w:lang w:eastAsia="en-AU"/>
              </w:rPr>
              <w:t>Technology</w:t>
            </w:r>
          </w:p>
        </w:tc>
        <w:tc>
          <w:tcPr>
            <w:tcW w:w="1380" w:type="dxa"/>
            <w:tcBorders>
              <w:top w:val="nil"/>
            </w:tcBorders>
            <w:shd w:val="solid" w:color="9757A6" w:fill="D9D9D9"/>
            <w:vAlign w:val="center"/>
            <w:hideMark/>
          </w:tcPr>
          <w:p w:rsidR="009D6F29" w:rsidRPr="009D6F29" w:rsidRDefault="009D6F29" w:rsidP="009D6F29">
            <w:pPr>
              <w:pStyle w:val="Tablecolumnheadings"/>
              <w:jc w:val="center"/>
              <w:rPr>
                <w:sz w:val="14"/>
                <w:szCs w:val="14"/>
                <w:lang w:eastAsia="en-AU"/>
              </w:rPr>
            </w:pPr>
            <w:r w:rsidRPr="009D6F29">
              <w:rPr>
                <w:sz w:val="14"/>
                <w:szCs w:val="14"/>
                <w:lang w:eastAsia="en-AU"/>
              </w:rPr>
              <w:t>Economic life (years)</w:t>
            </w:r>
          </w:p>
        </w:tc>
        <w:tc>
          <w:tcPr>
            <w:tcW w:w="1380" w:type="dxa"/>
            <w:tcBorders>
              <w:top w:val="nil"/>
            </w:tcBorders>
            <w:shd w:val="solid" w:color="9757A6" w:fill="D9D9D9"/>
            <w:vAlign w:val="center"/>
            <w:hideMark/>
          </w:tcPr>
          <w:p w:rsidR="009D6F29" w:rsidRPr="009D6F29" w:rsidRDefault="009D6F29" w:rsidP="009D6F29">
            <w:pPr>
              <w:pStyle w:val="Tablecolumnheadings"/>
              <w:jc w:val="center"/>
              <w:rPr>
                <w:sz w:val="14"/>
                <w:szCs w:val="14"/>
                <w:lang w:eastAsia="en-AU"/>
              </w:rPr>
            </w:pPr>
            <w:r w:rsidRPr="009D6F29">
              <w:rPr>
                <w:sz w:val="14"/>
                <w:szCs w:val="14"/>
                <w:lang w:eastAsia="en-AU"/>
              </w:rPr>
              <w:t>Refurbishment cost (% of new)</w:t>
            </w:r>
          </w:p>
        </w:tc>
        <w:tc>
          <w:tcPr>
            <w:tcW w:w="1240" w:type="dxa"/>
            <w:tcBorders>
              <w:top w:val="nil"/>
            </w:tcBorders>
            <w:shd w:val="solid" w:color="9757A6" w:fill="D9D9D9"/>
            <w:vAlign w:val="center"/>
            <w:hideMark/>
          </w:tcPr>
          <w:p w:rsidR="009D6F29" w:rsidRPr="009D6F29" w:rsidRDefault="009D6F29" w:rsidP="009D6F29">
            <w:pPr>
              <w:pStyle w:val="Tablecolumnheadings"/>
              <w:jc w:val="center"/>
              <w:rPr>
                <w:sz w:val="14"/>
                <w:szCs w:val="14"/>
                <w:lang w:eastAsia="en-AU"/>
              </w:rPr>
            </w:pPr>
            <w:r w:rsidRPr="009D6F29">
              <w:rPr>
                <w:sz w:val="14"/>
                <w:szCs w:val="14"/>
                <w:lang w:eastAsia="en-AU"/>
              </w:rPr>
              <w:t>Additional life (% of original life)</w:t>
            </w:r>
          </w:p>
        </w:tc>
        <w:tc>
          <w:tcPr>
            <w:tcW w:w="1240" w:type="dxa"/>
            <w:tcBorders>
              <w:top w:val="nil"/>
            </w:tcBorders>
            <w:shd w:val="solid" w:color="9757A6" w:fill="D9D9D9"/>
            <w:vAlign w:val="center"/>
            <w:hideMark/>
          </w:tcPr>
          <w:p w:rsidR="009D6F29" w:rsidRPr="009D6F29" w:rsidRDefault="009D6F29" w:rsidP="009D6F29">
            <w:pPr>
              <w:pStyle w:val="Tablecolumnheadings"/>
              <w:jc w:val="center"/>
              <w:rPr>
                <w:sz w:val="14"/>
                <w:szCs w:val="14"/>
                <w:lang w:eastAsia="en-AU"/>
              </w:rPr>
            </w:pPr>
            <w:r w:rsidRPr="009D6F29">
              <w:rPr>
                <w:sz w:val="14"/>
                <w:szCs w:val="14"/>
                <w:lang w:eastAsia="en-AU"/>
              </w:rPr>
              <w:t>Additional life from refurb (years)</w:t>
            </w:r>
          </w:p>
        </w:tc>
      </w:tr>
      <w:tr w:rsidR="004F4406" w:rsidRPr="009D6F29" w:rsidTr="009D6F29">
        <w:trPr>
          <w:cantSplit/>
          <w:trHeight w:val="225"/>
        </w:trPr>
        <w:tc>
          <w:tcPr>
            <w:tcW w:w="1300" w:type="dxa"/>
            <w:vMerge w:val="restart"/>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Coal</w:t>
            </w: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PC Supercritical – Brown Coal</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50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25%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15</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PC Supercritical Black Coal</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50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25%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15</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PC Supercritical Black Coal (SWIS Scale)</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50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25%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15</w:t>
            </w:r>
          </w:p>
        </w:tc>
      </w:tr>
      <w:tr w:rsidR="004F4406" w:rsidRPr="009D6F29" w:rsidTr="009D6F29">
        <w:trPr>
          <w:cantSplit/>
          <w:trHeight w:val="225"/>
        </w:trPr>
        <w:tc>
          <w:tcPr>
            <w:tcW w:w="1300" w:type="dxa"/>
            <w:vMerge w:val="restart"/>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Natural gas</w:t>
            </w: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CCGT</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70%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CCGT SWIS Scale</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70%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OCGT</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85%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r>
      <w:tr w:rsidR="004F4406" w:rsidRPr="009D6F29" w:rsidTr="009D6F29">
        <w:trPr>
          <w:cantSplit/>
          <w:trHeight w:val="225"/>
        </w:trPr>
        <w:tc>
          <w:tcPr>
            <w:tcW w:w="1300" w:type="dxa"/>
            <w:vMerge w:val="restart"/>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Solar</w:t>
            </w: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CLFR</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40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75%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40</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CLFR with storage</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40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75%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40</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Parabolic trough</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35</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75%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35</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Parabolic trough with storage</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35</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75%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35</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Central Receiver</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35</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75%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35</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Central Receiver with storage</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40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75%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40</w:t>
            </w:r>
          </w:p>
        </w:tc>
      </w:tr>
      <w:tr w:rsidR="004F4406" w:rsidRPr="009D6F29" w:rsidTr="009D6F29">
        <w:trPr>
          <w:cantSplit/>
          <w:trHeight w:val="225"/>
        </w:trPr>
        <w:tc>
          <w:tcPr>
            <w:tcW w:w="1300" w:type="dxa"/>
            <w:vMerge w:val="restart"/>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Solar PV</w:t>
            </w: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Solar PV fixed</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35</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75%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35</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Solar PV single axis tracking</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35</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75%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35</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Solar PV dual axis tracking</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35</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75%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35</w:t>
            </w:r>
          </w:p>
        </w:tc>
      </w:tr>
      <w:tr w:rsidR="004F4406" w:rsidRPr="009D6F29" w:rsidTr="009D6F29">
        <w:trPr>
          <w:cantSplit/>
          <w:trHeight w:val="225"/>
        </w:trPr>
        <w:tc>
          <w:tcPr>
            <w:tcW w:w="1300" w:type="dxa"/>
            <w:vMerge w:val="restart"/>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Wind</w:t>
            </w: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On-shore Wind Farm</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25</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50%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25</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Ocean/Wave</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25</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75%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25</w:t>
            </w:r>
          </w:p>
        </w:tc>
      </w:tr>
      <w:tr w:rsidR="004F4406" w:rsidRPr="009D6F29" w:rsidTr="009D6F29">
        <w:trPr>
          <w:cantSplit/>
          <w:trHeight w:val="225"/>
        </w:trPr>
        <w:tc>
          <w:tcPr>
            <w:tcW w:w="1300" w:type="dxa"/>
            <w:vMerge w:val="restart"/>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Geothermal</w:t>
            </w: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Geothermal HSA</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40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75%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40</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Geothermal EGS</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40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75%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100%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40</w:t>
            </w:r>
          </w:p>
        </w:tc>
      </w:tr>
      <w:tr w:rsidR="004F4406" w:rsidRPr="009D6F29" w:rsidTr="009D6F29">
        <w:trPr>
          <w:cantSplit/>
          <w:trHeight w:val="225"/>
        </w:trPr>
        <w:tc>
          <w:tcPr>
            <w:tcW w:w="1300" w:type="dxa"/>
            <w:vMerge w:val="restart"/>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CCS</w:t>
            </w: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PC Supercritical with CCS – Brown Coal</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50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25%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15</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PC Supercritical with CCS – Bituminous Coal</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50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25%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15</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PC Oxy Combustion Supercritical with CCS</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50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25%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15</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CCGT with CCS</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45</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50%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50%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23</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IGCC with CCS – Bituminous Coal</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50%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50%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15</w:t>
            </w:r>
          </w:p>
        </w:tc>
      </w:tr>
      <w:tr w:rsidR="004F4406" w:rsidRPr="009D6F29" w:rsidTr="009D6F29">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IGCC with CCS – Brown Coal</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50%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50%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15</w:t>
            </w:r>
          </w:p>
        </w:tc>
      </w:tr>
      <w:tr w:rsidR="004F4406" w:rsidRPr="009D6F29" w:rsidTr="009D6F29">
        <w:trPr>
          <w:cantSplit/>
          <w:trHeight w:val="225"/>
        </w:trPr>
        <w:tc>
          <w:tcPr>
            <w:tcW w:w="1300" w:type="dxa"/>
            <w:vMerge w:val="restart"/>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CCS retrofit</w:t>
            </w:r>
          </w:p>
        </w:tc>
        <w:tc>
          <w:tcPr>
            <w:tcW w:w="3520" w:type="dxa"/>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PC Subcritical Brown Coal - Retrofit CCS</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38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25%</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240" w:type="dxa"/>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9</w:t>
            </w:r>
          </w:p>
        </w:tc>
      </w:tr>
      <w:tr w:rsidR="004F4406" w:rsidRPr="009D6F29" w:rsidTr="004F4406">
        <w:trPr>
          <w:cantSplit/>
          <w:trHeight w:val="225"/>
        </w:trPr>
        <w:tc>
          <w:tcPr>
            <w:tcW w:w="1300" w:type="dxa"/>
            <w:vMerge/>
            <w:shd w:val="clear" w:color="auto" w:fill="auto"/>
            <w:noWrap/>
            <w:vAlign w:val="center"/>
            <w:hideMark/>
          </w:tcPr>
          <w:p w:rsidR="004F4406" w:rsidRPr="009D6F29" w:rsidRDefault="004F4406" w:rsidP="009D6F29">
            <w:pPr>
              <w:pStyle w:val="Tabletext"/>
              <w:rPr>
                <w:sz w:val="14"/>
                <w:szCs w:val="14"/>
                <w:lang w:eastAsia="en-AU"/>
              </w:rPr>
            </w:pPr>
          </w:p>
        </w:tc>
        <w:tc>
          <w:tcPr>
            <w:tcW w:w="3520" w:type="dxa"/>
            <w:tcBorders>
              <w:bottom w:val="single" w:sz="2" w:space="0" w:color="C0C0C0"/>
            </w:tcBorders>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PC Subcritical Black Coal - Retrofit CCS</w:t>
            </w:r>
          </w:p>
        </w:tc>
        <w:tc>
          <w:tcPr>
            <w:tcW w:w="1380" w:type="dxa"/>
            <w:tcBorders>
              <w:bottom w:val="single" w:sz="2" w:space="0" w:color="C0C0C0"/>
            </w:tcBorders>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380" w:type="dxa"/>
            <w:tcBorders>
              <w:bottom w:val="single" w:sz="2" w:space="0" w:color="C0C0C0"/>
            </w:tcBorders>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25%</w:t>
            </w:r>
          </w:p>
        </w:tc>
        <w:tc>
          <w:tcPr>
            <w:tcW w:w="1240" w:type="dxa"/>
            <w:tcBorders>
              <w:bottom w:val="single" w:sz="2" w:space="0" w:color="C0C0C0"/>
            </w:tcBorders>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240" w:type="dxa"/>
            <w:tcBorders>
              <w:bottom w:val="single" w:sz="2" w:space="0" w:color="C0C0C0"/>
            </w:tcBorders>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9</w:t>
            </w:r>
          </w:p>
        </w:tc>
      </w:tr>
      <w:tr w:rsidR="004F4406" w:rsidRPr="009D6F29" w:rsidTr="004F4406">
        <w:trPr>
          <w:cantSplit/>
          <w:trHeight w:val="225"/>
        </w:trPr>
        <w:tc>
          <w:tcPr>
            <w:tcW w:w="1300" w:type="dxa"/>
            <w:vMerge/>
            <w:tcBorders>
              <w:bottom w:val="single" w:sz="2" w:space="0" w:color="999999"/>
            </w:tcBorders>
            <w:shd w:val="clear" w:color="auto" w:fill="auto"/>
            <w:noWrap/>
            <w:vAlign w:val="center"/>
            <w:hideMark/>
          </w:tcPr>
          <w:p w:rsidR="004F4406" w:rsidRPr="009D6F29" w:rsidRDefault="004F4406" w:rsidP="009D6F29">
            <w:pPr>
              <w:pStyle w:val="Tabletext"/>
              <w:rPr>
                <w:sz w:val="14"/>
                <w:szCs w:val="14"/>
                <w:lang w:eastAsia="en-AU"/>
              </w:rPr>
            </w:pPr>
          </w:p>
        </w:tc>
        <w:tc>
          <w:tcPr>
            <w:tcW w:w="3520" w:type="dxa"/>
            <w:tcBorders>
              <w:top w:val="single" w:sz="2" w:space="0" w:color="C0C0C0"/>
              <w:bottom w:val="single" w:sz="2" w:space="0" w:color="999999"/>
            </w:tcBorders>
            <w:shd w:val="clear" w:color="auto" w:fill="auto"/>
            <w:noWrap/>
            <w:vAlign w:val="center"/>
            <w:hideMark/>
          </w:tcPr>
          <w:p w:rsidR="004F4406" w:rsidRPr="009D6F29" w:rsidRDefault="004F4406" w:rsidP="009D6F29">
            <w:pPr>
              <w:pStyle w:val="Tabletext"/>
              <w:rPr>
                <w:sz w:val="14"/>
                <w:szCs w:val="14"/>
                <w:lang w:eastAsia="en-AU"/>
              </w:rPr>
            </w:pPr>
            <w:r w:rsidRPr="009D6F29">
              <w:rPr>
                <w:sz w:val="14"/>
                <w:szCs w:val="14"/>
                <w:lang w:eastAsia="en-AU"/>
              </w:rPr>
              <w:t>Existing CCGT with retrofit CCS</w:t>
            </w:r>
          </w:p>
        </w:tc>
        <w:tc>
          <w:tcPr>
            <w:tcW w:w="1380" w:type="dxa"/>
            <w:tcBorders>
              <w:top w:val="single" w:sz="2" w:space="0" w:color="C0C0C0"/>
              <w:bottom w:val="single" w:sz="2" w:space="0" w:color="999999"/>
            </w:tcBorders>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30</w:t>
            </w:r>
          </w:p>
        </w:tc>
        <w:tc>
          <w:tcPr>
            <w:tcW w:w="1380" w:type="dxa"/>
            <w:tcBorders>
              <w:top w:val="single" w:sz="2" w:space="0" w:color="C0C0C0"/>
              <w:bottom w:val="single" w:sz="2" w:space="0" w:color="999999"/>
            </w:tcBorders>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50%</w:t>
            </w:r>
          </w:p>
        </w:tc>
        <w:tc>
          <w:tcPr>
            <w:tcW w:w="1240" w:type="dxa"/>
            <w:tcBorders>
              <w:top w:val="single" w:sz="2" w:space="0" w:color="C0C0C0"/>
              <w:bottom w:val="single" w:sz="2" w:space="0" w:color="999999"/>
            </w:tcBorders>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50%</w:t>
            </w:r>
          </w:p>
        </w:tc>
        <w:tc>
          <w:tcPr>
            <w:tcW w:w="1240" w:type="dxa"/>
            <w:tcBorders>
              <w:top w:val="single" w:sz="2" w:space="0" w:color="C0C0C0"/>
              <w:bottom w:val="single" w:sz="2" w:space="0" w:color="999999"/>
            </w:tcBorders>
            <w:shd w:val="clear" w:color="auto" w:fill="auto"/>
            <w:noWrap/>
            <w:vAlign w:val="center"/>
            <w:hideMark/>
          </w:tcPr>
          <w:p w:rsidR="004F4406" w:rsidRPr="009D6F29" w:rsidRDefault="004F4406" w:rsidP="009D6F29">
            <w:pPr>
              <w:pStyle w:val="Tabletext"/>
              <w:jc w:val="center"/>
              <w:rPr>
                <w:sz w:val="14"/>
                <w:szCs w:val="14"/>
                <w:lang w:eastAsia="en-AU"/>
              </w:rPr>
            </w:pPr>
            <w:r w:rsidRPr="009D6F29">
              <w:rPr>
                <w:sz w:val="14"/>
                <w:szCs w:val="14"/>
                <w:lang w:eastAsia="en-AU"/>
              </w:rPr>
              <w:t>15</w:t>
            </w:r>
          </w:p>
        </w:tc>
      </w:tr>
    </w:tbl>
    <w:p w:rsidR="009D6F29" w:rsidRPr="009D6F29" w:rsidRDefault="009D6F29" w:rsidP="009D6F29">
      <w:pPr>
        <w:pStyle w:val="Source"/>
        <w:ind w:left="-2835"/>
      </w:pPr>
      <w:r>
        <w:t xml:space="preserve">Source: </w:t>
      </w:r>
      <w:r w:rsidR="004F4406" w:rsidRPr="004F4406">
        <w:t xml:space="preserve">ACIL </w:t>
      </w:r>
      <w:r w:rsidR="004F4406">
        <w:t>Allen</w:t>
      </w:r>
      <w:r w:rsidR="004F4406" w:rsidRPr="004F4406">
        <w:t>, AETA 2012</w:t>
      </w:r>
    </w:p>
    <w:p w:rsidR="004F4406" w:rsidRDefault="004F4406" w:rsidP="00520593">
      <w:pPr>
        <w:pStyle w:val="Heading2"/>
        <w:numPr>
          <w:ilvl w:val="1"/>
          <w:numId w:val="49"/>
        </w:numPr>
        <w:pBdr>
          <w:bottom w:val="none" w:sz="0" w:space="0" w:color="auto"/>
        </w:pBdr>
      </w:pPr>
      <w:bookmarkStart w:id="97" w:name="_Ref364773581"/>
      <w:bookmarkStart w:id="98" w:name="_Toc365474030"/>
      <w:bookmarkStart w:id="99" w:name="_Toc370394640"/>
      <w:r>
        <w:t>Fuel and CCS costs</w:t>
      </w:r>
      <w:bookmarkEnd w:id="97"/>
      <w:bookmarkEnd w:id="98"/>
      <w:bookmarkEnd w:id="99"/>
    </w:p>
    <w:p w:rsidR="004F4406" w:rsidRDefault="004F4406" w:rsidP="004F4406">
      <w:pPr>
        <w:pStyle w:val="Heading3"/>
      </w:pPr>
      <w:bookmarkStart w:id="100" w:name="_Toc365474031"/>
      <w:bookmarkStart w:id="101" w:name="_Toc370394641"/>
      <w:r>
        <w:t>Natural gas</w:t>
      </w:r>
      <w:bookmarkEnd w:id="100"/>
      <w:bookmarkEnd w:id="101"/>
    </w:p>
    <w:p w:rsidR="004F4406" w:rsidRDefault="004F4406" w:rsidP="004F4406">
      <w:pPr>
        <w:pStyle w:val="BodyText"/>
      </w:pPr>
      <w:r>
        <w:t xml:space="preserve">Natural gas costs were based on an international landed LNG price series provided by the Treasury, which were then adjusted to a ‘netback’ equivalent price for each consumption location in Australia by adjusting for liquefaction and shipping costs. </w:t>
      </w:r>
    </w:p>
    <w:p w:rsidR="004F4406" w:rsidRDefault="004F4406" w:rsidP="004F4406">
      <w:pPr>
        <w:pStyle w:val="BodyText"/>
      </w:pPr>
      <w:r>
        <w:lastRenderedPageBreak/>
        <w:t xml:space="preserve">The landed LNG price in Japan and the equivalent netback price at an Australian LNG plant are compared for the Central Policy scenario in </w:t>
      </w:r>
      <w:r w:rsidR="00450552">
        <w:fldChar w:fldCharType="begin"/>
      </w:r>
      <w:r w:rsidR="00450552">
        <w:instrText xml:space="preserve"> REF _Ref365543333 \h </w:instrText>
      </w:r>
      <w:r w:rsidR="00450552">
        <w:fldChar w:fldCharType="separate"/>
      </w:r>
      <w:r w:rsidR="00660A8E">
        <w:t xml:space="preserve">Figure </w:t>
      </w:r>
      <w:r w:rsidR="00660A8E">
        <w:rPr>
          <w:noProof/>
        </w:rPr>
        <w:t>5</w:t>
      </w:r>
      <w:r w:rsidR="00450552">
        <w:fldChar w:fldCharType="end"/>
      </w:r>
      <w:r>
        <w:t>.</w:t>
      </w:r>
    </w:p>
    <w:p w:rsidR="004F4406" w:rsidRDefault="004F4406">
      <w:pPr>
        <w:pStyle w:val="Caption"/>
      </w:pPr>
      <w:bookmarkStart w:id="102" w:name="_Ref365543333"/>
      <w:bookmarkStart w:id="103" w:name="_Toc370394675"/>
      <w:r>
        <w:t xml:space="preserve">Figure </w:t>
      </w:r>
      <w:fldSimple w:instr=" SEQ Figure \* ARABIC ">
        <w:r w:rsidR="00660A8E">
          <w:rPr>
            <w:noProof/>
          </w:rPr>
          <w:t>5</w:t>
        </w:r>
      </w:fldSimple>
      <w:bookmarkEnd w:id="102"/>
      <w:r w:rsidRPr="004E0C91">
        <w:rPr>
          <w:b/>
          <w:color w:val="000080"/>
        </w:rPr>
        <w:tab/>
      </w:r>
      <w:r w:rsidRPr="004F4406">
        <w:rPr>
          <w:rStyle w:val="CaptionLabel"/>
        </w:rPr>
        <w:t>International and netback gas price – Central Policy scenario</w:t>
      </w:r>
      <w:bookmarkEnd w:id="10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F4406" w:rsidTr="004F4406">
        <w:trPr>
          <w:cantSplit/>
        </w:trPr>
        <w:tc>
          <w:tcPr>
            <w:tcW w:w="5000" w:type="pct"/>
          </w:tcPr>
          <w:p w:rsidR="004F4406" w:rsidRDefault="004F4406" w:rsidP="004F4406">
            <w:pPr>
              <w:pStyle w:val="SmallDeltasRightAligned"/>
              <w:keepNext/>
            </w:pPr>
            <w:r>
              <w:rPr>
                <w:noProof/>
                <w:lang w:eastAsia="en-AU"/>
              </w:rPr>
              <w:drawing>
                <wp:inline distT="0" distB="0" distL="0" distR="0" wp14:anchorId="76E341E9" wp14:editId="07648AFF">
                  <wp:extent cx="481585" cy="2346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F4406" w:rsidTr="004F4406">
        <w:trPr>
          <w:cantSplit/>
        </w:trPr>
        <w:tc>
          <w:tcPr>
            <w:tcW w:w="5000" w:type="pct"/>
          </w:tcPr>
          <w:p w:rsidR="004F4406" w:rsidRDefault="00884449" w:rsidP="004F4406">
            <w:pPr>
              <w:pStyle w:val="Figure"/>
            </w:pPr>
            <w:r>
              <w:rPr>
                <w:noProof/>
                <w:lang w:eastAsia="en-AU"/>
              </w:rPr>
              <w:drawing>
                <wp:inline distT="0" distB="0" distL="0" distR="0" wp14:anchorId="37351C26" wp14:editId="0B85AA89">
                  <wp:extent cx="4233545" cy="263017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33545" cy="2630170"/>
                          </a:xfrm>
                          <a:prstGeom prst="rect">
                            <a:avLst/>
                          </a:prstGeom>
                          <a:noFill/>
                          <a:ln>
                            <a:noFill/>
                          </a:ln>
                        </pic:spPr>
                      </pic:pic>
                    </a:graphicData>
                  </a:graphic>
                </wp:inline>
              </w:drawing>
            </w:r>
          </w:p>
        </w:tc>
      </w:tr>
    </w:tbl>
    <w:p w:rsidR="004F4406" w:rsidRPr="00B50A1B" w:rsidRDefault="004F4406" w:rsidP="004F4406">
      <w:pPr>
        <w:pStyle w:val="Source"/>
        <w:rPr>
          <w:i/>
        </w:rPr>
      </w:pPr>
      <w:r>
        <w:t>S</w:t>
      </w:r>
      <w:r w:rsidRPr="00B50A1B">
        <w:t>ource:</w:t>
      </w:r>
      <w:r w:rsidRPr="00954EED">
        <w:t xml:space="preserve"> </w:t>
      </w:r>
      <w:r w:rsidRPr="004F4406">
        <w:t xml:space="preserve">ACIL </w:t>
      </w:r>
      <w:r>
        <w:t>Allen</w:t>
      </w:r>
      <w:r w:rsidRPr="004F4406">
        <w:t xml:space="preserve"> using Treasury gas price and foreign exchange assumptions</w:t>
      </w:r>
    </w:p>
    <w:p w:rsidR="004F4406" w:rsidRDefault="004F4406" w:rsidP="004F4406">
      <w:pPr>
        <w:pStyle w:val="BodyText"/>
      </w:pPr>
      <w:r>
        <w:t xml:space="preserve">Given the absence of operating LNG plants in eastern Australia at the present time, gas prices for power stations on the NEM and Mt Isa transitioned to the netback price series gradually, reaching parity in 2016-17. Further adjustments must be made to the netback price to represent transport cost differentials between each power station and the nearest LNG plant. For locations that are closer to some gas production centres than the nearest LNG plant, they will receive a discount to the netback price to represent the transport cost that gas producers can avoid by transporting the gas to that power station rather than to the LNG plant. Conversely, for power stations that are located further away from major production basins than the nearest LNG plant, they would need to purchase gas at a premium to the netback price to overcome the associated transport cost. This occurs in the SWIS, NWIS, DKIS and Mt Isa.  </w:t>
      </w:r>
    </w:p>
    <w:p w:rsidR="009D6F29" w:rsidRDefault="004F4406" w:rsidP="00F25432">
      <w:pPr>
        <w:pStyle w:val="BodyText"/>
      </w:pPr>
      <w:r>
        <w:t xml:space="preserve">The transport differentials (constant in real terms) adopted in this study are presented in </w:t>
      </w:r>
      <w:r w:rsidR="00450552">
        <w:fldChar w:fldCharType="begin"/>
      </w:r>
      <w:r w:rsidR="00450552">
        <w:instrText xml:space="preserve"> REF _Ref365543346 \h </w:instrText>
      </w:r>
      <w:r w:rsidR="00450552">
        <w:fldChar w:fldCharType="separate"/>
      </w:r>
      <w:r w:rsidR="00660A8E">
        <w:t xml:space="preserve">Table </w:t>
      </w:r>
      <w:r w:rsidR="00660A8E">
        <w:rPr>
          <w:noProof/>
        </w:rPr>
        <w:t>10</w:t>
      </w:r>
      <w:r w:rsidR="00450552">
        <w:fldChar w:fldCharType="end"/>
      </w:r>
      <w:r>
        <w:t>.</w:t>
      </w:r>
    </w:p>
    <w:p w:rsidR="004F4406" w:rsidRDefault="004F4406" w:rsidP="004F4406">
      <w:pPr>
        <w:pStyle w:val="Caption"/>
      </w:pPr>
      <w:bookmarkStart w:id="104" w:name="_Ref365543346"/>
      <w:bookmarkStart w:id="105" w:name="_Toc370394752"/>
      <w:r>
        <w:t xml:space="preserve">Table </w:t>
      </w:r>
      <w:fldSimple w:instr=" SEQ Table \* MERGEFORMAT ">
        <w:r w:rsidR="00660A8E">
          <w:rPr>
            <w:noProof/>
          </w:rPr>
          <w:t>10</w:t>
        </w:r>
      </w:fldSimple>
      <w:bookmarkEnd w:id="104"/>
      <w:r w:rsidRPr="004F4406">
        <w:rPr>
          <w:b/>
          <w:color w:val="000000"/>
        </w:rPr>
        <w:tab/>
        <w:t>Gas transport costs (relative to nearest LNG plant)</w:t>
      </w:r>
      <w:bookmarkEnd w:id="105"/>
    </w:p>
    <w:tbl>
      <w:tblPr>
        <w:tblW w:w="5076" w:type="dxa"/>
        <w:tblInd w:w="28" w:type="dxa"/>
        <w:tblBorders>
          <w:bottom w:val="single" w:sz="2" w:space="0" w:color="C0C0C0"/>
          <w:insideH w:val="single" w:sz="2" w:space="0" w:color="C0C0C0"/>
        </w:tblBorders>
        <w:tblLayout w:type="fixed"/>
        <w:tblCellMar>
          <w:left w:w="142" w:type="dxa"/>
          <w:right w:w="56" w:type="dxa"/>
        </w:tblCellMar>
        <w:tblLook w:val="0000" w:firstRow="0" w:lastRow="0" w:firstColumn="0" w:lastColumn="0" w:noHBand="0" w:noVBand="0"/>
      </w:tblPr>
      <w:tblGrid>
        <w:gridCol w:w="2099"/>
        <w:gridCol w:w="2977"/>
      </w:tblGrid>
      <w:tr w:rsidR="004F4406" w:rsidTr="004F4406">
        <w:trPr>
          <w:cantSplit/>
        </w:trPr>
        <w:tc>
          <w:tcPr>
            <w:tcW w:w="2099" w:type="dxa"/>
            <w:tcBorders>
              <w:top w:val="nil"/>
            </w:tcBorders>
            <w:shd w:val="solid" w:color="9757A6" w:fill="auto"/>
            <w:vAlign w:val="center"/>
          </w:tcPr>
          <w:p w:rsidR="004F4406" w:rsidRDefault="004F4406" w:rsidP="004F4406">
            <w:pPr>
              <w:pStyle w:val="Tablecolumnheadings"/>
              <w:jc w:val="center"/>
            </w:pPr>
            <w:r>
              <w:t>Region</w:t>
            </w:r>
          </w:p>
        </w:tc>
        <w:tc>
          <w:tcPr>
            <w:tcW w:w="2977" w:type="dxa"/>
            <w:tcBorders>
              <w:top w:val="nil"/>
            </w:tcBorders>
            <w:shd w:val="solid" w:color="9757A6" w:fill="auto"/>
            <w:vAlign w:val="center"/>
          </w:tcPr>
          <w:p w:rsidR="004F4406" w:rsidRDefault="004F4406" w:rsidP="0095744E">
            <w:pPr>
              <w:pStyle w:val="Tablecolumnheadings"/>
              <w:jc w:val="center"/>
            </w:pPr>
            <w:r>
              <w:t>Transport cost</w:t>
            </w:r>
            <w:r>
              <w:br/>
              <w:t>(real 20</w:t>
            </w:r>
            <w:r w:rsidR="0095744E">
              <w:t>11-12</w:t>
            </w:r>
            <w:r>
              <w:t>A$/GJ)</w:t>
            </w:r>
          </w:p>
        </w:tc>
      </w:tr>
      <w:tr w:rsidR="004F4406" w:rsidTr="004F4406">
        <w:trPr>
          <w:cantSplit/>
        </w:trPr>
        <w:tc>
          <w:tcPr>
            <w:tcW w:w="2099" w:type="dxa"/>
            <w:shd w:val="clear" w:color="auto" w:fill="auto"/>
            <w:vAlign w:val="center"/>
          </w:tcPr>
          <w:p w:rsidR="004F4406" w:rsidRDefault="004F4406" w:rsidP="004F4406">
            <w:pPr>
              <w:pStyle w:val="Tabletext"/>
              <w:jc w:val="center"/>
            </w:pPr>
            <w:r>
              <w:t>QLD (excl. Mt Isa)</w:t>
            </w:r>
          </w:p>
        </w:tc>
        <w:tc>
          <w:tcPr>
            <w:tcW w:w="2977" w:type="dxa"/>
            <w:shd w:val="clear" w:color="auto" w:fill="auto"/>
            <w:vAlign w:val="center"/>
          </w:tcPr>
          <w:p w:rsidR="004F4406" w:rsidRDefault="004F4406" w:rsidP="009F6AB5">
            <w:pPr>
              <w:pStyle w:val="Tabletext"/>
              <w:jc w:val="center"/>
            </w:pPr>
            <w:r>
              <w:t>-$0.1</w:t>
            </w:r>
            <w:r w:rsidR="009F6AB5">
              <w:t>6</w:t>
            </w:r>
          </w:p>
        </w:tc>
      </w:tr>
      <w:tr w:rsidR="004F4406" w:rsidTr="004F4406">
        <w:trPr>
          <w:cantSplit/>
        </w:trPr>
        <w:tc>
          <w:tcPr>
            <w:tcW w:w="2099" w:type="dxa"/>
            <w:shd w:val="clear" w:color="auto" w:fill="auto"/>
            <w:vAlign w:val="center"/>
          </w:tcPr>
          <w:p w:rsidR="004F4406" w:rsidRDefault="004F4406" w:rsidP="004F4406">
            <w:pPr>
              <w:pStyle w:val="Tabletext"/>
              <w:jc w:val="center"/>
            </w:pPr>
            <w:r>
              <w:t>SA</w:t>
            </w:r>
          </w:p>
        </w:tc>
        <w:tc>
          <w:tcPr>
            <w:tcW w:w="2977" w:type="dxa"/>
            <w:shd w:val="clear" w:color="auto" w:fill="auto"/>
            <w:vAlign w:val="center"/>
          </w:tcPr>
          <w:p w:rsidR="004F4406" w:rsidRDefault="004F4406" w:rsidP="009F6AB5">
            <w:pPr>
              <w:pStyle w:val="Tabletext"/>
              <w:jc w:val="center"/>
            </w:pPr>
            <w:r>
              <w:t>-$0.7</w:t>
            </w:r>
            <w:r w:rsidR="009F6AB5">
              <w:t>9</w:t>
            </w:r>
          </w:p>
        </w:tc>
      </w:tr>
      <w:tr w:rsidR="004F4406" w:rsidTr="004F4406">
        <w:trPr>
          <w:cantSplit/>
        </w:trPr>
        <w:tc>
          <w:tcPr>
            <w:tcW w:w="2099" w:type="dxa"/>
            <w:shd w:val="clear" w:color="auto" w:fill="auto"/>
            <w:vAlign w:val="center"/>
          </w:tcPr>
          <w:p w:rsidR="004F4406" w:rsidRDefault="004F4406" w:rsidP="004F4406">
            <w:pPr>
              <w:pStyle w:val="Tabletext"/>
              <w:jc w:val="center"/>
            </w:pPr>
            <w:r>
              <w:t>NSW</w:t>
            </w:r>
          </w:p>
        </w:tc>
        <w:tc>
          <w:tcPr>
            <w:tcW w:w="2977" w:type="dxa"/>
            <w:shd w:val="clear" w:color="auto" w:fill="auto"/>
            <w:vAlign w:val="center"/>
          </w:tcPr>
          <w:p w:rsidR="004F4406" w:rsidRDefault="004F4406" w:rsidP="009F6AB5">
            <w:pPr>
              <w:pStyle w:val="Tabletext"/>
              <w:jc w:val="center"/>
            </w:pPr>
            <w:r>
              <w:t>-$0.</w:t>
            </w:r>
            <w:r w:rsidR="009F6AB5">
              <w:t>84</w:t>
            </w:r>
          </w:p>
        </w:tc>
      </w:tr>
      <w:tr w:rsidR="004F4406" w:rsidTr="004F4406">
        <w:trPr>
          <w:cantSplit/>
        </w:trPr>
        <w:tc>
          <w:tcPr>
            <w:tcW w:w="2099" w:type="dxa"/>
            <w:shd w:val="clear" w:color="auto" w:fill="auto"/>
            <w:vAlign w:val="center"/>
          </w:tcPr>
          <w:p w:rsidR="004F4406" w:rsidRDefault="004F4406" w:rsidP="004F4406">
            <w:pPr>
              <w:pStyle w:val="Tabletext"/>
              <w:jc w:val="center"/>
            </w:pPr>
            <w:r>
              <w:t>VIC</w:t>
            </w:r>
          </w:p>
        </w:tc>
        <w:tc>
          <w:tcPr>
            <w:tcW w:w="2977" w:type="dxa"/>
            <w:shd w:val="clear" w:color="auto" w:fill="auto"/>
            <w:vAlign w:val="center"/>
          </w:tcPr>
          <w:p w:rsidR="004F4406" w:rsidRDefault="004F4406" w:rsidP="004F4406">
            <w:pPr>
              <w:pStyle w:val="Tabletext"/>
              <w:jc w:val="center"/>
            </w:pPr>
            <w:r>
              <w:t>-$1.</w:t>
            </w:r>
            <w:r w:rsidR="009F6AB5">
              <w:t>9</w:t>
            </w:r>
            <w:r>
              <w:t>3</w:t>
            </w:r>
          </w:p>
        </w:tc>
      </w:tr>
      <w:tr w:rsidR="004F4406" w:rsidTr="004F4406">
        <w:trPr>
          <w:cantSplit/>
        </w:trPr>
        <w:tc>
          <w:tcPr>
            <w:tcW w:w="2099" w:type="dxa"/>
            <w:shd w:val="clear" w:color="auto" w:fill="auto"/>
            <w:vAlign w:val="center"/>
          </w:tcPr>
          <w:p w:rsidR="004F4406" w:rsidRDefault="004F4406" w:rsidP="004F4406">
            <w:pPr>
              <w:pStyle w:val="Tabletext"/>
              <w:jc w:val="center"/>
            </w:pPr>
            <w:r>
              <w:t>TAS</w:t>
            </w:r>
          </w:p>
        </w:tc>
        <w:tc>
          <w:tcPr>
            <w:tcW w:w="2977" w:type="dxa"/>
            <w:shd w:val="clear" w:color="auto" w:fill="auto"/>
            <w:vAlign w:val="center"/>
          </w:tcPr>
          <w:p w:rsidR="004F4406" w:rsidRDefault="004F4406" w:rsidP="009F6AB5">
            <w:pPr>
              <w:pStyle w:val="Tabletext"/>
              <w:jc w:val="center"/>
            </w:pPr>
            <w:r>
              <w:t>-$1.</w:t>
            </w:r>
            <w:r w:rsidR="009F6AB5">
              <w:t>44</w:t>
            </w:r>
          </w:p>
        </w:tc>
      </w:tr>
      <w:tr w:rsidR="004F4406" w:rsidTr="004F4406">
        <w:trPr>
          <w:cantSplit/>
        </w:trPr>
        <w:tc>
          <w:tcPr>
            <w:tcW w:w="2099" w:type="dxa"/>
            <w:shd w:val="clear" w:color="auto" w:fill="auto"/>
            <w:vAlign w:val="center"/>
          </w:tcPr>
          <w:p w:rsidR="004F4406" w:rsidRDefault="004F4406" w:rsidP="004F4406">
            <w:pPr>
              <w:pStyle w:val="Tabletext"/>
              <w:jc w:val="center"/>
            </w:pPr>
            <w:r>
              <w:t>SWIS</w:t>
            </w:r>
          </w:p>
        </w:tc>
        <w:tc>
          <w:tcPr>
            <w:tcW w:w="2977" w:type="dxa"/>
            <w:shd w:val="clear" w:color="auto" w:fill="auto"/>
            <w:vAlign w:val="center"/>
          </w:tcPr>
          <w:p w:rsidR="004F4406" w:rsidRDefault="004F4406" w:rsidP="009F6AB5">
            <w:pPr>
              <w:pStyle w:val="Tabletext"/>
              <w:jc w:val="center"/>
            </w:pPr>
            <w:r>
              <w:t>$1.</w:t>
            </w:r>
            <w:r w:rsidR="009F6AB5">
              <w:t>50</w:t>
            </w:r>
          </w:p>
        </w:tc>
      </w:tr>
      <w:tr w:rsidR="004F4406" w:rsidTr="004F4406">
        <w:trPr>
          <w:cantSplit/>
        </w:trPr>
        <w:tc>
          <w:tcPr>
            <w:tcW w:w="2099" w:type="dxa"/>
            <w:shd w:val="clear" w:color="auto" w:fill="auto"/>
            <w:vAlign w:val="center"/>
          </w:tcPr>
          <w:p w:rsidR="004F4406" w:rsidRDefault="004F4406" w:rsidP="004F4406">
            <w:pPr>
              <w:pStyle w:val="Tabletext"/>
              <w:jc w:val="center"/>
            </w:pPr>
            <w:r>
              <w:t>NWIS</w:t>
            </w:r>
          </w:p>
        </w:tc>
        <w:tc>
          <w:tcPr>
            <w:tcW w:w="2977" w:type="dxa"/>
            <w:shd w:val="clear" w:color="auto" w:fill="auto"/>
            <w:vAlign w:val="center"/>
          </w:tcPr>
          <w:p w:rsidR="004F4406" w:rsidRDefault="004F4406" w:rsidP="009F6AB5">
            <w:pPr>
              <w:pStyle w:val="Tabletext"/>
              <w:jc w:val="center"/>
            </w:pPr>
            <w:r>
              <w:t>$0.4</w:t>
            </w:r>
            <w:r w:rsidR="009F6AB5">
              <w:t>4</w:t>
            </w:r>
          </w:p>
        </w:tc>
      </w:tr>
      <w:tr w:rsidR="004F4406" w:rsidTr="004F4406">
        <w:trPr>
          <w:cantSplit/>
        </w:trPr>
        <w:tc>
          <w:tcPr>
            <w:tcW w:w="2099" w:type="dxa"/>
            <w:tcBorders>
              <w:bottom w:val="single" w:sz="2" w:space="0" w:color="C0C0C0"/>
            </w:tcBorders>
            <w:shd w:val="clear" w:color="auto" w:fill="auto"/>
            <w:vAlign w:val="center"/>
          </w:tcPr>
          <w:p w:rsidR="004F4406" w:rsidRDefault="004F4406" w:rsidP="004F4406">
            <w:pPr>
              <w:pStyle w:val="Tabletext"/>
              <w:jc w:val="center"/>
            </w:pPr>
            <w:r>
              <w:t>DKIS</w:t>
            </w:r>
          </w:p>
        </w:tc>
        <w:tc>
          <w:tcPr>
            <w:tcW w:w="2977" w:type="dxa"/>
            <w:tcBorders>
              <w:bottom w:val="single" w:sz="2" w:space="0" w:color="C0C0C0"/>
            </w:tcBorders>
            <w:shd w:val="clear" w:color="auto" w:fill="auto"/>
            <w:vAlign w:val="center"/>
          </w:tcPr>
          <w:p w:rsidR="004F4406" w:rsidRDefault="004F4406" w:rsidP="004F4406">
            <w:pPr>
              <w:pStyle w:val="Tabletext"/>
              <w:jc w:val="center"/>
            </w:pPr>
            <w:r>
              <w:t>$0.00</w:t>
            </w:r>
          </w:p>
        </w:tc>
      </w:tr>
      <w:tr w:rsidR="004F4406" w:rsidTr="004F4406">
        <w:trPr>
          <w:cantSplit/>
        </w:trPr>
        <w:tc>
          <w:tcPr>
            <w:tcW w:w="2099" w:type="dxa"/>
            <w:tcBorders>
              <w:top w:val="single" w:sz="2" w:space="0" w:color="C0C0C0"/>
              <w:bottom w:val="single" w:sz="2" w:space="0" w:color="999999"/>
            </w:tcBorders>
            <w:shd w:val="clear" w:color="auto" w:fill="auto"/>
            <w:vAlign w:val="center"/>
          </w:tcPr>
          <w:p w:rsidR="004F4406" w:rsidRDefault="004F4406" w:rsidP="004F4406">
            <w:pPr>
              <w:pStyle w:val="Tabletext"/>
              <w:jc w:val="center"/>
            </w:pPr>
            <w:r>
              <w:t>Mt Isa</w:t>
            </w:r>
          </w:p>
        </w:tc>
        <w:tc>
          <w:tcPr>
            <w:tcW w:w="2977" w:type="dxa"/>
            <w:tcBorders>
              <w:top w:val="single" w:sz="2" w:space="0" w:color="C0C0C0"/>
              <w:bottom w:val="single" w:sz="2" w:space="0" w:color="999999"/>
            </w:tcBorders>
            <w:shd w:val="clear" w:color="auto" w:fill="auto"/>
            <w:vAlign w:val="center"/>
          </w:tcPr>
          <w:p w:rsidR="004F4406" w:rsidRDefault="004F4406" w:rsidP="009F6AB5">
            <w:pPr>
              <w:pStyle w:val="Tabletext"/>
              <w:jc w:val="center"/>
            </w:pPr>
            <w:r>
              <w:t>$0.2</w:t>
            </w:r>
            <w:r w:rsidR="009F6AB5">
              <w:t>5</w:t>
            </w:r>
          </w:p>
        </w:tc>
      </w:tr>
    </w:tbl>
    <w:p w:rsidR="004F4406" w:rsidRPr="004F4406" w:rsidRDefault="004F4406" w:rsidP="004F4406">
      <w:pPr>
        <w:pStyle w:val="Source"/>
      </w:pPr>
      <w:r>
        <w:t>Source: ACIL Allen</w:t>
      </w:r>
    </w:p>
    <w:p w:rsidR="004F4406" w:rsidRDefault="004F4406" w:rsidP="004F4406">
      <w:pPr>
        <w:pStyle w:val="BodyText"/>
      </w:pPr>
      <w:r>
        <w:lastRenderedPageBreak/>
        <w:t xml:space="preserve">The gas price in the Central Policy and No Carbon Price scenarios are essentially identical. Different gas prices were adopted in the High and Low Fuel Price sensitivities, discussed further in section </w:t>
      </w:r>
      <w:r w:rsidR="00450552">
        <w:fldChar w:fldCharType="begin"/>
      </w:r>
      <w:r w:rsidR="00450552">
        <w:instrText xml:space="preserve"> REF _Ref364861860 \n \h </w:instrText>
      </w:r>
      <w:r w:rsidR="00450552">
        <w:fldChar w:fldCharType="separate"/>
      </w:r>
      <w:r w:rsidR="00660A8E">
        <w:t>5.3</w:t>
      </w:r>
      <w:r w:rsidR="00450552">
        <w:fldChar w:fldCharType="end"/>
      </w:r>
      <w:r>
        <w:t>.</w:t>
      </w:r>
    </w:p>
    <w:p w:rsidR="004F4406" w:rsidRDefault="004F4406" w:rsidP="004F4406">
      <w:pPr>
        <w:pStyle w:val="Heading3"/>
      </w:pPr>
      <w:bookmarkStart w:id="106" w:name="_Toc365474032"/>
      <w:bookmarkStart w:id="107" w:name="_Toc370394642"/>
      <w:r>
        <w:t>Coal</w:t>
      </w:r>
      <w:bookmarkEnd w:id="106"/>
      <w:bookmarkEnd w:id="107"/>
    </w:p>
    <w:p w:rsidR="004F4406" w:rsidRDefault="004F4406" w:rsidP="004F4406">
      <w:pPr>
        <w:pStyle w:val="BodyText"/>
      </w:pPr>
      <w:r>
        <w:t xml:space="preserve">Due to the variety of mine mouth coal-fired power stations in Australia, a simple ‘netback’ international coal prices (i.e. adjusted for international shipping costs) is not appropriate for this exercise. Accordingly, ACIL </w:t>
      </w:r>
      <w:r w:rsidR="004F6D61">
        <w:t>Allen</w:t>
      </w:r>
      <w:r>
        <w:t xml:space="preserve"> adopted a range of estimates for existing and new entrant generators. The range of coal costs are best represented by the coal costs faced by new entrant generators in the four core coal generating regions, QLD, NSW, VIC and the SWIS, which are shown in </w:t>
      </w:r>
      <w:r w:rsidR="00450552">
        <w:fldChar w:fldCharType="begin"/>
      </w:r>
      <w:r w:rsidR="00450552">
        <w:instrText xml:space="preserve"> REF _Ref365543382 \h </w:instrText>
      </w:r>
      <w:r w:rsidR="00450552">
        <w:fldChar w:fldCharType="separate"/>
      </w:r>
      <w:r w:rsidR="00660A8E">
        <w:t xml:space="preserve">Figure </w:t>
      </w:r>
      <w:r w:rsidR="00660A8E">
        <w:rPr>
          <w:noProof/>
        </w:rPr>
        <w:t>6</w:t>
      </w:r>
      <w:r w:rsidR="00450552">
        <w:fldChar w:fldCharType="end"/>
      </w:r>
      <w:r>
        <w:t>.</w:t>
      </w:r>
    </w:p>
    <w:p w:rsidR="004F4406" w:rsidRDefault="004F4406">
      <w:pPr>
        <w:pStyle w:val="Caption"/>
      </w:pPr>
      <w:bookmarkStart w:id="108" w:name="_Ref365543382"/>
      <w:bookmarkStart w:id="109" w:name="_Toc370394676"/>
      <w:r>
        <w:t xml:space="preserve">Figure </w:t>
      </w:r>
      <w:fldSimple w:instr=" SEQ Figure \* ARABIC ">
        <w:r w:rsidR="00660A8E">
          <w:rPr>
            <w:noProof/>
          </w:rPr>
          <w:t>6</w:t>
        </w:r>
      </w:fldSimple>
      <w:bookmarkEnd w:id="108"/>
      <w:r w:rsidRPr="004E0C91">
        <w:rPr>
          <w:b/>
          <w:color w:val="000080"/>
        </w:rPr>
        <w:tab/>
      </w:r>
      <w:r w:rsidRPr="004F4406">
        <w:rPr>
          <w:rStyle w:val="CaptionLabel"/>
        </w:rPr>
        <w:t>New entrant coal prices</w:t>
      </w:r>
      <w:bookmarkEnd w:id="10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F4406" w:rsidTr="004F4406">
        <w:trPr>
          <w:cantSplit/>
        </w:trPr>
        <w:tc>
          <w:tcPr>
            <w:tcW w:w="5000" w:type="pct"/>
          </w:tcPr>
          <w:p w:rsidR="004F4406" w:rsidRDefault="004F4406" w:rsidP="004F4406">
            <w:pPr>
              <w:pStyle w:val="SmallDeltasRightAligned"/>
              <w:keepNext/>
            </w:pPr>
            <w:r>
              <w:rPr>
                <w:noProof/>
                <w:lang w:eastAsia="en-AU"/>
              </w:rPr>
              <w:drawing>
                <wp:inline distT="0" distB="0" distL="0" distR="0" wp14:anchorId="21EBFD3F" wp14:editId="755F2B8E">
                  <wp:extent cx="481585" cy="2346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F4406" w:rsidTr="004F4406">
        <w:trPr>
          <w:cantSplit/>
        </w:trPr>
        <w:tc>
          <w:tcPr>
            <w:tcW w:w="5000" w:type="pct"/>
          </w:tcPr>
          <w:p w:rsidR="004F4406" w:rsidRDefault="009F6AB5" w:rsidP="004F4406">
            <w:pPr>
              <w:pStyle w:val="Figure"/>
            </w:pPr>
            <w:r>
              <w:rPr>
                <w:noProof/>
                <w:lang w:eastAsia="en-AU"/>
              </w:rPr>
              <w:drawing>
                <wp:inline distT="0" distB="0" distL="0" distR="0" wp14:anchorId="5F16E656" wp14:editId="0C8F65E9">
                  <wp:extent cx="4684395" cy="2941320"/>
                  <wp:effectExtent l="0" t="0" r="190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4395" cy="2941320"/>
                          </a:xfrm>
                          <a:prstGeom prst="rect">
                            <a:avLst/>
                          </a:prstGeom>
                          <a:noFill/>
                          <a:ln>
                            <a:noFill/>
                          </a:ln>
                        </pic:spPr>
                      </pic:pic>
                    </a:graphicData>
                  </a:graphic>
                </wp:inline>
              </w:drawing>
            </w:r>
          </w:p>
        </w:tc>
      </w:tr>
    </w:tbl>
    <w:p w:rsidR="004F4406" w:rsidRPr="00B50A1B" w:rsidRDefault="004F4406" w:rsidP="004F4406">
      <w:pPr>
        <w:pStyle w:val="Source"/>
        <w:rPr>
          <w:i/>
        </w:rPr>
      </w:pPr>
      <w:r>
        <w:t>S</w:t>
      </w:r>
      <w:r w:rsidRPr="00B50A1B">
        <w:t>ource:</w:t>
      </w:r>
      <w:r w:rsidRPr="00954EED">
        <w:t xml:space="preserve"> </w:t>
      </w:r>
      <w:r>
        <w:t>ACIL Allen</w:t>
      </w:r>
    </w:p>
    <w:p w:rsidR="004F4406" w:rsidRPr="004119A4" w:rsidRDefault="004F4406" w:rsidP="004F4406">
      <w:pPr>
        <w:pStyle w:val="BodyText"/>
      </w:pPr>
      <w:r>
        <w:t xml:space="preserve">The coal price in the Central Policy and No Carbon Price scenarios are essentially identical. Different coal prices were adopted in the High and Low Fuel Price sensitivities, discussed further in section </w:t>
      </w:r>
      <w:r w:rsidR="00450552">
        <w:fldChar w:fldCharType="begin"/>
      </w:r>
      <w:r w:rsidR="00450552">
        <w:instrText xml:space="preserve"> REF _Ref364861860 \n \h </w:instrText>
      </w:r>
      <w:r w:rsidR="00450552">
        <w:fldChar w:fldCharType="separate"/>
      </w:r>
      <w:r w:rsidR="00660A8E">
        <w:t>5.3</w:t>
      </w:r>
      <w:r w:rsidR="00450552">
        <w:fldChar w:fldCharType="end"/>
      </w:r>
      <w:r>
        <w:t>.</w:t>
      </w:r>
    </w:p>
    <w:p w:rsidR="004F4406" w:rsidRDefault="004F4406" w:rsidP="004F4406">
      <w:pPr>
        <w:pStyle w:val="Heading3"/>
      </w:pPr>
      <w:bookmarkStart w:id="110" w:name="_Ref365389904"/>
      <w:bookmarkStart w:id="111" w:name="_Toc365474033"/>
      <w:bookmarkStart w:id="112" w:name="_Toc370394643"/>
      <w:r>
        <w:t>Carbon transport and storage costs</w:t>
      </w:r>
      <w:bookmarkEnd w:id="110"/>
      <w:bookmarkEnd w:id="111"/>
      <w:bookmarkEnd w:id="112"/>
    </w:p>
    <w:p w:rsidR="004F4406" w:rsidRDefault="004F4406" w:rsidP="004F4406">
      <w:pPr>
        <w:pStyle w:val="BodyText"/>
      </w:pPr>
      <w:r>
        <w:t>For plant that utilise carbon capture, transport and storage costs are applied separately. As the majority of costs related to transport and storage of CO</w:t>
      </w:r>
      <w:r w:rsidRPr="00920693">
        <w:rPr>
          <w:vertAlign w:val="subscript"/>
        </w:rPr>
        <w:t>2</w:t>
      </w:r>
      <w:r>
        <w:t xml:space="preserve"> are large upfront fixed costs (pipeline construction and drilling costs), it is appropriate for these to be levied to new entrant technologies as a fixed charge rather than through variable charges. This can be done either through an addition to the capital cost or through an addition charge to the fixed O&amp;M cost. In this modelling, these costs are incorporated as a fixed O&amp;M cost. </w:t>
      </w:r>
    </w:p>
    <w:p w:rsidR="004F4406" w:rsidRDefault="004F4406" w:rsidP="004F4406">
      <w:pPr>
        <w:pStyle w:val="BodyText"/>
      </w:pPr>
      <w:r>
        <w:t>Costs for CO</w:t>
      </w:r>
      <w:r w:rsidRPr="006E28E7">
        <w:rPr>
          <w:vertAlign w:val="subscript"/>
        </w:rPr>
        <w:t>2</w:t>
      </w:r>
      <w:r>
        <w:t xml:space="preserve"> transport and storage are uncertain and highly dependent upon the scale of the development for both transmission pipelines and injection infrastructure. A larger CO</w:t>
      </w:r>
      <w:r w:rsidRPr="00D76F86">
        <w:rPr>
          <w:vertAlign w:val="subscript"/>
        </w:rPr>
        <w:t>2</w:t>
      </w:r>
      <w:r>
        <w:t xml:space="preserve"> pipeline grid would result in significant economies of scale over a single coal-fired power station development.</w:t>
      </w:r>
    </w:p>
    <w:p w:rsidR="004F4406" w:rsidRDefault="004F4406" w:rsidP="00F25432">
      <w:pPr>
        <w:pStyle w:val="BodyText"/>
      </w:pPr>
      <w:r>
        <w:lastRenderedPageBreak/>
        <w:t xml:space="preserve">ACIL </w:t>
      </w:r>
      <w:r w:rsidR="004F6D61">
        <w:t>Allen</w:t>
      </w:r>
      <w:r>
        <w:t xml:space="preserve">’s assumed transport and storage costs are presented in </w:t>
      </w:r>
      <w:r w:rsidR="00450552">
        <w:fldChar w:fldCharType="begin"/>
      </w:r>
      <w:r w:rsidR="00450552">
        <w:instrText xml:space="preserve"> REF _Ref365543413 \h </w:instrText>
      </w:r>
      <w:r w:rsidR="00450552">
        <w:fldChar w:fldCharType="separate"/>
      </w:r>
      <w:r w:rsidR="00660A8E">
        <w:t xml:space="preserve">Table </w:t>
      </w:r>
      <w:r w:rsidR="00660A8E">
        <w:rPr>
          <w:noProof/>
        </w:rPr>
        <w:t>11</w:t>
      </w:r>
      <w:r w:rsidR="00450552">
        <w:fldChar w:fldCharType="end"/>
      </w:r>
      <w:r>
        <w:t xml:space="preserve">. These assumptions have been informed by work done for the </w:t>
      </w:r>
      <w:r w:rsidRPr="001D5C76">
        <w:t xml:space="preserve">Department of Resources, Energy and Tourism </w:t>
      </w:r>
      <w:r>
        <w:t>Carbon Storage Taskforce in 2009.</w:t>
      </w:r>
      <w:r>
        <w:rPr>
          <w:rStyle w:val="FootnoteReference"/>
        </w:rPr>
        <w:footnoteReference w:id="3"/>
      </w:r>
      <w:r>
        <w:t xml:space="preserve"> Costs are assumed to remain constant in real terms over the modelling period.</w:t>
      </w:r>
    </w:p>
    <w:p w:rsidR="004F4406" w:rsidRDefault="004F4406" w:rsidP="004F4406">
      <w:pPr>
        <w:pStyle w:val="Caption"/>
      </w:pPr>
      <w:bookmarkStart w:id="113" w:name="_Ref365543413"/>
      <w:bookmarkStart w:id="114" w:name="_Toc370394753"/>
      <w:r>
        <w:t xml:space="preserve">Table </w:t>
      </w:r>
      <w:fldSimple w:instr=" SEQ Table \* MERGEFORMAT ">
        <w:r w:rsidR="00660A8E">
          <w:rPr>
            <w:noProof/>
          </w:rPr>
          <w:t>11</w:t>
        </w:r>
      </w:fldSimple>
      <w:bookmarkEnd w:id="113"/>
      <w:r w:rsidRPr="004F4406">
        <w:rPr>
          <w:b/>
          <w:color w:val="000000"/>
        </w:rPr>
        <w:tab/>
        <w:t>Assumed CO</w:t>
      </w:r>
      <w:r w:rsidRPr="0095744E">
        <w:rPr>
          <w:b/>
          <w:color w:val="000000"/>
          <w:vertAlign w:val="subscript"/>
        </w:rPr>
        <w:t>2</w:t>
      </w:r>
      <w:r w:rsidRPr="004F4406">
        <w:rPr>
          <w:b/>
          <w:color w:val="000000"/>
        </w:rPr>
        <w:t xml:space="preserve"> transport and storage costs</w:t>
      </w:r>
      <w:bookmarkEnd w:id="114"/>
    </w:p>
    <w:tbl>
      <w:tblPr>
        <w:tblW w:w="4877" w:type="dxa"/>
        <w:tblInd w:w="28" w:type="dxa"/>
        <w:tblBorders>
          <w:bottom w:val="single" w:sz="2" w:space="0" w:color="C0C0C0"/>
          <w:insideH w:val="single" w:sz="2" w:space="0" w:color="C0C0C0"/>
        </w:tblBorders>
        <w:tblCellMar>
          <w:left w:w="142" w:type="dxa"/>
          <w:right w:w="56" w:type="dxa"/>
        </w:tblCellMar>
        <w:tblLook w:val="04A0" w:firstRow="1" w:lastRow="0" w:firstColumn="1" w:lastColumn="0" w:noHBand="0" w:noVBand="1"/>
      </w:tblPr>
      <w:tblGrid>
        <w:gridCol w:w="2609"/>
        <w:gridCol w:w="2268"/>
      </w:tblGrid>
      <w:tr w:rsidR="004F4406" w:rsidRPr="00D76F86" w:rsidTr="004F4406">
        <w:trPr>
          <w:cantSplit/>
          <w:trHeight w:val="225"/>
          <w:tblHeader/>
        </w:trPr>
        <w:tc>
          <w:tcPr>
            <w:tcW w:w="2609" w:type="dxa"/>
            <w:tcBorders>
              <w:top w:val="nil"/>
            </w:tcBorders>
            <w:shd w:val="solid" w:color="9757A6" w:fill="D9D9D9"/>
            <w:vAlign w:val="center"/>
            <w:hideMark/>
          </w:tcPr>
          <w:p w:rsidR="004F4406" w:rsidRPr="00D76F86" w:rsidRDefault="004F4406" w:rsidP="004F4406">
            <w:pPr>
              <w:pStyle w:val="Tablecolumnheadings"/>
              <w:jc w:val="center"/>
              <w:rPr>
                <w:lang w:eastAsia="en-AU"/>
              </w:rPr>
            </w:pPr>
            <w:r>
              <w:rPr>
                <w:lang w:eastAsia="en-AU"/>
              </w:rPr>
              <w:t>Region</w:t>
            </w:r>
          </w:p>
        </w:tc>
        <w:tc>
          <w:tcPr>
            <w:tcW w:w="2268" w:type="dxa"/>
            <w:tcBorders>
              <w:top w:val="nil"/>
            </w:tcBorders>
            <w:shd w:val="solid" w:color="9757A6" w:fill="D9D9D9"/>
            <w:vAlign w:val="center"/>
            <w:hideMark/>
          </w:tcPr>
          <w:p w:rsidR="004F4406" w:rsidRPr="00D76F86" w:rsidRDefault="000E3AA8" w:rsidP="004F4406">
            <w:pPr>
              <w:pStyle w:val="Tablecolumnheadings"/>
              <w:jc w:val="center"/>
              <w:rPr>
                <w:lang w:eastAsia="en-AU"/>
              </w:rPr>
            </w:pPr>
            <w:r>
              <w:rPr>
                <w:lang w:eastAsia="en-AU"/>
              </w:rPr>
              <w:t xml:space="preserve">Real 2011-12 </w:t>
            </w:r>
            <w:r w:rsidR="004F4406" w:rsidRPr="00D76F86">
              <w:rPr>
                <w:lang w:eastAsia="en-AU"/>
              </w:rPr>
              <w:t>$/tonne CO</w:t>
            </w:r>
            <w:r w:rsidR="004F4406" w:rsidRPr="001B52A9">
              <w:rPr>
                <w:vertAlign w:val="subscript"/>
                <w:lang w:eastAsia="en-AU"/>
              </w:rPr>
              <w:t>2</w:t>
            </w:r>
            <w:r w:rsidR="004F4406" w:rsidRPr="00D76F86">
              <w:rPr>
                <w:lang w:eastAsia="en-AU"/>
              </w:rPr>
              <w:t>-e</w:t>
            </w:r>
          </w:p>
        </w:tc>
      </w:tr>
      <w:tr w:rsidR="004F4406" w:rsidRPr="00D76F86" w:rsidTr="004F4406">
        <w:trPr>
          <w:cantSplit/>
          <w:trHeight w:val="225"/>
        </w:trPr>
        <w:tc>
          <w:tcPr>
            <w:tcW w:w="2609" w:type="dxa"/>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NSW</w:t>
            </w:r>
          </w:p>
        </w:tc>
        <w:tc>
          <w:tcPr>
            <w:tcW w:w="2268" w:type="dxa"/>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30</w:t>
            </w:r>
          </w:p>
        </w:tc>
      </w:tr>
      <w:tr w:rsidR="004F4406" w:rsidRPr="00D76F86" w:rsidTr="004F4406">
        <w:trPr>
          <w:cantSplit/>
          <w:trHeight w:val="225"/>
        </w:trPr>
        <w:tc>
          <w:tcPr>
            <w:tcW w:w="2609" w:type="dxa"/>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QLD</w:t>
            </w:r>
          </w:p>
        </w:tc>
        <w:tc>
          <w:tcPr>
            <w:tcW w:w="2268" w:type="dxa"/>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25</w:t>
            </w:r>
          </w:p>
        </w:tc>
      </w:tr>
      <w:tr w:rsidR="004F4406" w:rsidRPr="00D76F86" w:rsidTr="004F4406">
        <w:trPr>
          <w:cantSplit/>
          <w:trHeight w:val="225"/>
        </w:trPr>
        <w:tc>
          <w:tcPr>
            <w:tcW w:w="2609" w:type="dxa"/>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SA</w:t>
            </w:r>
          </w:p>
        </w:tc>
        <w:tc>
          <w:tcPr>
            <w:tcW w:w="2268" w:type="dxa"/>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30</w:t>
            </w:r>
          </w:p>
        </w:tc>
      </w:tr>
      <w:tr w:rsidR="004F4406" w:rsidRPr="00D76F86" w:rsidTr="004F4406">
        <w:trPr>
          <w:cantSplit/>
          <w:trHeight w:val="225"/>
        </w:trPr>
        <w:tc>
          <w:tcPr>
            <w:tcW w:w="2609" w:type="dxa"/>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TAS</w:t>
            </w:r>
          </w:p>
        </w:tc>
        <w:tc>
          <w:tcPr>
            <w:tcW w:w="2268" w:type="dxa"/>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25</w:t>
            </w:r>
          </w:p>
        </w:tc>
      </w:tr>
      <w:tr w:rsidR="004F4406" w:rsidRPr="00D76F86" w:rsidTr="004F4406">
        <w:trPr>
          <w:cantSplit/>
          <w:trHeight w:val="225"/>
        </w:trPr>
        <w:tc>
          <w:tcPr>
            <w:tcW w:w="2609" w:type="dxa"/>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VIC</w:t>
            </w:r>
          </w:p>
        </w:tc>
        <w:tc>
          <w:tcPr>
            <w:tcW w:w="2268" w:type="dxa"/>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15</w:t>
            </w:r>
          </w:p>
        </w:tc>
      </w:tr>
      <w:tr w:rsidR="004F4406" w:rsidRPr="00D76F86" w:rsidTr="004F4406">
        <w:trPr>
          <w:cantSplit/>
          <w:trHeight w:val="225"/>
        </w:trPr>
        <w:tc>
          <w:tcPr>
            <w:tcW w:w="2609" w:type="dxa"/>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SWIS</w:t>
            </w:r>
          </w:p>
        </w:tc>
        <w:tc>
          <w:tcPr>
            <w:tcW w:w="2268" w:type="dxa"/>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25</w:t>
            </w:r>
          </w:p>
        </w:tc>
      </w:tr>
      <w:tr w:rsidR="004F4406" w:rsidRPr="00D76F86" w:rsidTr="004F4406">
        <w:trPr>
          <w:cantSplit/>
          <w:trHeight w:val="225"/>
        </w:trPr>
        <w:tc>
          <w:tcPr>
            <w:tcW w:w="2609" w:type="dxa"/>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NWIS</w:t>
            </w:r>
          </w:p>
        </w:tc>
        <w:tc>
          <w:tcPr>
            <w:tcW w:w="2268" w:type="dxa"/>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n/a</w:t>
            </w:r>
          </w:p>
        </w:tc>
      </w:tr>
      <w:tr w:rsidR="004F4406" w:rsidRPr="00D76F86" w:rsidTr="004F4406">
        <w:trPr>
          <w:cantSplit/>
          <w:trHeight w:val="225"/>
        </w:trPr>
        <w:tc>
          <w:tcPr>
            <w:tcW w:w="2609" w:type="dxa"/>
            <w:tcBorders>
              <w:bottom w:val="single" w:sz="2" w:space="0" w:color="C0C0C0"/>
            </w:tcBorders>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DKIS</w:t>
            </w:r>
          </w:p>
        </w:tc>
        <w:tc>
          <w:tcPr>
            <w:tcW w:w="2268" w:type="dxa"/>
            <w:tcBorders>
              <w:bottom w:val="single" w:sz="2" w:space="0" w:color="C0C0C0"/>
            </w:tcBorders>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n/a</w:t>
            </w:r>
          </w:p>
        </w:tc>
      </w:tr>
      <w:tr w:rsidR="004F4406" w:rsidRPr="00D76F86" w:rsidTr="004F4406">
        <w:trPr>
          <w:cantSplit/>
          <w:trHeight w:val="225"/>
        </w:trPr>
        <w:tc>
          <w:tcPr>
            <w:tcW w:w="2609" w:type="dxa"/>
            <w:tcBorders>
              <w:top w:val="single" w:sz="2" w:space="0" w:color="C0C0C0"/>
              <w:bottom w:val="single" w:sz="2" w:space="0" w:color="999999"/>
            </w:tcBorders>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Mt Isa</w:t>
            </w:r>
          </w:p>
        </w:tc>
        <w:tc>
          <w:tcPr>
            <w:tcW w:w="2268" w:type="dxa"/>
            <w:tcBorders>
              <w:top w:val="single" w:sz="2" w:space="0" w:color="C0C0C0"/>
              <w:bottom w:val="single" w:sz="2" w:space="0" w:color="999999"/>
            </w:tcBorders>
            <w:shd w:val="clear" w:color="auto" w:fill="auto"/>
            <w:noWrap/>
            <w:vAlign w:val="center"/>
            <w:hideMark/>
          </w:tcPr>
          <w:p w:rsidR="004F4406" w:rsidRPr="00D76F86" w:rsidRDefault="004F4406" w:rsidP="004F4406">
            <w:pPr>
              <w:pStyle w:val="Tabletext"/>
              <w:jc w:val="center"/>
              <w:rPr>
                <w:lang w:eastAsia="en-AU"/>
              </w:rPr>
            </w:pPr>
            <w:r w:rsidRPr="00D76F86">
              <w:rPr>
                <w:lang w:eastAsia="en-AU"/>
              </w:rPr>
              <w:t>n/a</w:t>
            </w:r>
          </w:p>
        </w:tc>
      </w:tr>
    </w:tbl>
    <w:p w:rsidR="004F4406" w:rsidRPr="004F4406" w:rsidRDefault="004F4406" w:rsidP="004F4406">
      <w:pPr>
        <w:pStyle w:val="Source"/>
      </w:pPr>
      <w:r>
        <w:t>Source: ACIL Allen</w:t>
      </w:r>
    </w:p>
    <w:p w:rsidR="004F4406" w:rsidRDefault="004F4406" w:rsidP="004F4406">
      <w:pPr>
        <w:pStyle w:val="Heading2"/>
        <w:pBdr>
          <w:bottom w:val="none" w:sz="0" w:space="0" w:color="auto"/>
        </w:pBdr>
      </w:pPr>
      <w:bookmarkStart w:id="115" w:name="_Toc365474034"/>
      <w:bookmarkStart w:id="116" w:name="_Ref365542965"/>
      <w:bookmarkStart w:id="117" w:name="_Toc370394644"/>
      <w:r>
        <w:t>Energy constrained and intermittent generation</w:t>
      </w:r>
      <w:bookmarkEnd w:id="115"/>
      <w:bookmarkEnd w:id="116"/>
      <w:bookmarkEnd w:id="117"/>
    </w:p>
    <w:p w:rsidR="004F4406" w:rsidRDefault="004F4406" w:rsidP="004F4406">
      <w:pPr>
        <w:pStyle w:val="Heading3"/>
      </w:pPr>
      <w:bookmarkStart w:id="118" w:name="_Toc365474035"/>
      <w:bookmarkStart w:id="119" w:name="_Toc370394645"/>
      <w:r>
        <w:t>Hydro</w:t>
      </w:r>
      <w:bookmarkEnd w:id="118"/>
      <w:bookmarkEnd w:id="119"/>
    </w:p>
    <w:p w:rsidR="004F4406" w:rsidRDefault="004F4406" w:rsidP="004F4406">
      <w:pPr>
        <w:pStyle w:val="BodyText"/>
      </w:pPr>
      <w:r>
        <w:t xml:space="preserve">Within </w:t>
      </w:r>
      <w:r w:rsidRPr="00C44097">
        <w:rPr>
          <w:i/>
        </w:rPr>
        <w:t>PowerMark LT</w:t>
      </w:r>
      <w:r>
        <w:t xml:space="preserve"> the annual output of hydro stations can be constrained explicitly to desired levels.</w:t>
      </w:r>
      <w:r>
        <w:rPr>
          <w:rStyle w:val="FootnoteReference"/>
        </w:rPr>
        <w:footnoteReference w:id="4"/>
      </w:r>
      <w:r>
        <w:t xml:space="preserve"> Aside from run of river output which occurs independently of wholesale prices, the model will naturally schedule hydro output during high priced periods in order to minimise system production costs.</w:t>
      </w:r>
    </w:p>
    <w:p w:rsidR="004F4406" w:rsidRDefault="004F4406" w:rsidP="004F4406">
      <w:pPr>
        <w:pStyle w:val="BodyText"/>
      </w:pPr>
      <w:r>
        <w:t>It should be recognised that hydro output does fluctuate considerably year to year and is also susceptible to drought and flood events as witnessed over the last decade. Whilst the modelling can account for changes to long-term averages, it is not typically used to predict fluctuations due to cyclical changes in weather conditions.</w:t>
      </w:r>
    </w:p>
    <w:p w:rsidR="004F4406" w:rsidRDefault="004F4406" w:rsidP="004F4406">
      <w:pPr>
        <w:pStyle w:val="BodyText"/>
      </w:pPr>
      <w:r>
        <w:t xml:space="preserve">Output from the Snowy Mountains Hydro-electric Scheme (Snowy Hydro) has averaged around 4,000 GWh over the last 10 years. ACIL </w:t>
      </w:r>
      <w:r w:rsidR="004F6D61">
        <w:t>Allen</w:t>
      </w:r>
      <w:r>
        <w:t xml:space="preserve"> assumes that over the long-term output averages 4,700 GWh with a 60/40 split between NSW and Victorian regions, which is slightly higher than the recent average reflecting prevailing drought conditions for much of the past decade. Similarly, Tasmanian hydro output has averaged approximately 8,000 GWh over the same period. The modelling assumes 9,100 GWh of output which corresponds to Hydro Tasmania’s long-term assumption.</w:t>
      </w:r>
    </w:p>
    <w:p w:rsidR="004F4406" w:rsidRDefault="004F4406" w:rsidP="004F4406">
      <w:pPr>
        <w:pStyle w:val="Heading3"/>
      </w:pPr>
      <w:bookmarkStart w:id="120" w:name="_Toc365474036"/>
      <w:bookmarkStart w:id="121" w:name="_Toc370394646"/>
      <w:r>
        <w:t>Wind</w:t>
      </w:r>
      <w:bookmarkEnd w:id="120"/>
      <w:bookmarkEnd w:id="121"/>
    </w:p>
    <w:p w:rsidR="004F4406" w:rsidRDefault="004F4406" w:rsidP="004F4406">
      <w:pPr>
        <w:pStyle w:val="BodyText"/>
      </w:pPr>
      <w:r>
        <w:t>For wind farms, annual output is limited to capacity factors which approximate recent actual outcomes (if available) or assumed levels based on corresponding nearby operating facilities. Wind output is profiled according to 30 minute resolution wind traces for a rage of wind regimes across Australia. These wind traces are then mapped back to the sampled demand profiles in order to ensure wind output correlates properly with demand.</w:t>
      </w:r>
    </w:p>
    <w:p w:rsidR="004F4406" w:rsidRDefault="004F4406" w:rsidP="004F4406">
      <w:pPr>
        <w:pStyle w:val="Heading3"/>
      </w:pPr>
      <w:bookmarkStart w:id="122" w:name="_Ref365469401"/>
      <w:bookmarkStart w:id="123" w:name="_Toc365474037"/>
      <w:bookmarkStart w:id="124" w:name="_Toc370394647"/>
      <w:r>
        <w:lastRenderedPageBreak/>
        <w:t>Solar</w:t>
      </w:r>
      <w:bookmarkEnd w:id="122"/>
      <w:bookmarkEnd w:id="123"/>
      <w:bookmarkEnd w:id="124"/>
    </w:p>
    <w:p w:rsidR="004F4406" w:rsidRDefault="004F4406" w:rsidP="004F4406">
      <w:pPr>
        <w:pStyle w:val="BodyText"/>
      </w:pPr>
      <w:r>
        <w:t>Solar plants are also limited by annual capacity factor constraints according to the technologies capability. The only committed large-scale solar systems within the modelling are AGL Energy’s 159 MW solar flagship developments in NSW and the 10 MW Greenough River project in the SWIS.</w:t>
      </w:r>
      <w:r>
        <w:rPr>
          <w:rStyle w:val="FootnoteReference"/>
        </w:rPr>
        <w:footnoteReference w:id="5"/>
      </w:r>
    </w:p>
    <w:p w:rsidR="004F4406" w:rsidRDefault="004F4406" w:rsidP="004F4406">
      <w:pPr>
        <w:pStyle w:val="BodyText"/>
      </w:pPr>
      <w:r>
        <w:t xml:space="preserve">ACIL </w:t>
      </w:r>
      <w:r w:rsidR="004F6D61">
        <w:t>Allen</w:t>
      </w:r>
      <w:r>
        <w:t xml:space="preserve"> incorporates representative solar PV output profiles for these projects which vary by time of day and month.</w:t>
      </w:r>
    </w:p>
    <w:p w:rsidR="004F4406" w:rsidRDefault="004F4406" w:rsidP="004F4406">
      <w:pPr>
        <w:pStyle w:val="BodyText"/>
      </w:pPr>
      <w:r>
        <w:t xml:space="preserve">Reflecting the correlated nature of solar generation, ACIL </w:t>
      </w:r>
      <w:r w:rsidR="004F6D61">
        <w:t>Allen</w:t>
      </w:r>
      <w:r>
        <w:t xml:space="preserve"> also applied an aggregate solar capacity constraint in each generation region. This constraint was calculated as being equal to the expected average midday demand in each region, with this level being estimated approximately based on the ratio of midday to average demand in each region over the period 2009-2011. With this ratio held constant, the implied aggregate limit on solar generation capacity grows in proportion to average demand. This constraint typically only was binding very late in the model horizon, typically after 2040. </w:t>
      </w:r>
    </w:p>
    <w:p w:rsidR="004F4406" w:rsidRDefault="004F4406" w:rsidP="004F4406">
      <w:pPr>
        <w:pStyle w:val="Heading2"/>
        <w:pBdr>
          <w:bottom w:val="none" w:sz="0" w:space="0" w:color="auto"/>
        </w:pBdr>
      </w:pPr>
      <w:bookmarkStart w:id="125" w:name="_Toc365474038"/>
      <w:bookmarkStart w:id="126" w:name="_Toc370394648"/>
      <w:r>
        <w:t>End of life and refurbishment</w:t>
      </w:r>
      <w:bookmarkEnd w:id="125"/>
      <w:bookmarkEnd w:id="126"/>
    </w:p>
    <w:p w:rsidR="004F4406" w:rsidRDefault="004F4406" w:rsidP="004F4406">
      <w:pPr>
        <w:pStyle w:val="Heading3"/>
      </w:pPr>
      <w:bookmarkStart w:id="127" w:name="_Toc365474039"/>
      <w:bookmarkStart w:id="128" w:name="_Toc370394649"/>
      <w:r>
        <w:t>Retirement criteria</w:t>
      </w:r>
      <w:bookmarkEnd w:id="127"/>
      <w:bookmarkEnd w:id="128"/>
    </w:p>
    <w:p w:rsidR="004F4406" w:rsidRDefault="004F4406" w:rsidP="004F4406">
      <w:pPr>
        <w:pStyle w:val="BodyText"/>
      </w:pPr>
      <w:r>
        <w:t>Existing plant may cease operating if net operating revenues from the market (revenue less variable O&amp;M) fail to cover their overhead costs (often termed ‘fixed O&amp;M costs’.</w:t>
      </w:r>
      <w:r>
        <w:rPr>
          <w:rStyle w:val="FootnoteReference"/>
        </w:rPr>
        <w:footnoteReference w:id="6"/>
      </w:r>
      <w:r>
        <w:t xml:space="preserve"> The profitability of each generator can be most readily analysed by assessing its profit (revenue less variable and fixed O&amp;M) per kW. Once this metric turns negative on a sustained basis, the station is retired regardless of its remaining technical asset life. Retirement may be staged over a number of years to avoid large single year shocks to the market and reflects gradual unit retirement.</w:t>
      </w:r>
    </w:p>
    <w:p w:rsidR="004F4406" w:rsidRDefault="004F4406" w:rsidP="004F4406">
      <w:pPr>
        <w:pStyle w:val="Heading3"/>
      </w:pPr>
      <w:bookmarkStart w:id="129" w:name="_Toc365474040"/>
      <w:bookmarkStart w:id="130" w:name="_Toc370394650"/>
      <w:r>
        <w:t>Refurbishment</w:t>
      </w:r>
      <w:bookmarkEnd w:id="129"/>
      <w:bookmarkEnd w:id="130"/>
    </w:p>
    <w:p w:rsidR="004F4406" w:rsidRDefault="004F4406" w:rsidP="004F4406">
      <w:pPr>
        <w:pStyle w:val="BodyText"/>
      </w:pPr>
      <w:r>
        <w:t>All generating plant have a technical design life for which an allowance of ‘stay-in-business’ capital expenditure is provided through annual fixed operating and maintenance costs. The fixed operating and maintenance cost assumptions however do not provide for abnormal capital expenditure required for life extension.</w:t>
      </w:r>
    </w:p>
    <w:p w:rsidR="004F4406" w:rsidRDefault="004F4406" w:rsidP="004F4406">
      <w:pPr>
        <w:pStyle w:val="BodyText"/>
      </w:pPr>
      <w:r>
        <w:t>Design lives range from 20-30 years for wind and solar, 30 years for gas and 40+ years for coal. However, as has often been the experience in Australia, most generating plant have had operational lives extended through refurbishment programmes. Refurbishment requires a large lump of capital expenditure to refresh/upgrade various components of the power station. The decision on whether to proceed with a refurbishment is an economic one and is dependent upon the commercial outlook (present value of expected net revenues against upfront capital expenditure).</w:t>
      </w:r>
    </w:p>
    <w:p w:rsidR="004F4406" w:rsidRDefault="004F4406" w:rsidP="004F4406">
      <w:pPr>
        <w:pStyle w:val="BodyText"/>
      </w:pPr>
      <w:r>
        <w:t>The capital costs for refurbishment will vary greatly across technologies and, often, be site specific. Therefore some simplifying generic assumptions are required.</w:t>
      </w:r>
    </w:p>
    <w:p w:rsidR="004F4406" w:rsidRDefault="00450552" w:rsidP="00F25432">
      <w:pPr>
        <w:pStyle w:val="BodyText"/>
      </w:pPr>
      <w:r>
        <w:fldChar w:fldCharType="begin"/>
      </w:r>
      <w:r>
        <w:instrText xml:space="preserve"> REF _Ref365543435 \h </w:instrText>
      </w:r>
      <w:r>
        <w:fldChar w:fldCharType="separate"/>
      </w:r>
      <w:r w:rsidR="00660A8E">
        <w:t xml:space="preserve">Table </w:t>
      </w:r>
      <w:r w:rsidR="00660A8E">
        <w:rPr>
          <w:noProof/>
        </w:rPr>
        <w:t>12</w:t>
      </w:r>
      <w:r>
        <w:fldChar w:fldCharType="end"/>
      </w:r>
      <w:r w:rsidR="004F4406">
        <w:t xml:space="preserve"> provides the proposed refurbishment capital costs for plant which reach the end of their stated technical life. Capital expenditure for the refurbishment is expressed as a </w:t>
      </w:r>
      <w:r w:rsidR="004F4406">
        <w:lastRenderedPageBreak/>
        <w:t>percentage of new entry costs for the same technology and results in the plant being operational beyond its technical retirement date for a set number of years. The modelling allows for more than one refurbishment so for example, a subcritical coal plant would incur a refurbishment cost every 15 years after the end of its technical retirement date. Reflecting the progressive technical deterioration of a plant, refurbishment costs were escalated by 50% of the original refurbishment cost for e</w:t>
      </w:r>
      <w:r w:rsidR="00A54B0E">
        <w:t>ach subsequent refurbishment.</w:t>
      </w:r>
    </w:p>
    <w:p w:rsidR="00A54B0E" w:rsidRDefault="00A54B0E" w:rsidP="00A54B0E">
      <w:pPr>
        <w:pStyle w:val="Caption"/>
      </w:pPr>
      <w:bookmarkStart w:id="131" w:name="_Ref365543435"/>
      <w:bookmarkStart w:id="132" w:name="_Toc370394754"/>
      <w:r>
        <w:t xml:space="preserve">Table </w:t>
      </w:r>
      <w:fldSimple w:instr=" SEQ Table \* MERGEFORMAT ">
        <w:r w:rsidR="00660A8E">
          <w:rPr>
            <w:noProof/>
          </w:rPr>
          <w:t>12</w:t>
        </w:r>
      </w:fldSimple>
      <w:bookmarkEnd w:id="131"/>
      <w:r w:rsidRPr="00A54B0E">
        <w:rPr>
          <w:b/>
          <w:color w:val="000000"/>
        </w:rPr>
        <w:tab/>
        <w:t>Refurbishment costs for incumbent plant</w:t>
      </w:r>
      <w:bookmarkEnd w:id="132"/>
    </w:p>
    <w:tbl>
      <w:tblPr>
        <w:tblW w:w="7386" w:type="dxa"/>
        <w:tblInd w:w="28" w:type="dxa"/>
        <w:tblBorders>
          <w:bottom w:val="single" w:sz="2" w:space="0" w:color="C0C0C0"/>
          <w:insideH w:val="single" w:sz="2" w:space="0" w:color="C0C0C0"/>
        </w:tblBorders>
        <w:tblLayout w:type="fixed"/>
        <w:tblCellMar>
          <w:left w:w="142" w:type="dxa"/>
          <w:right w:w="56" w:type="dxa"/>
        </w:tblCellMar>
        <w:tblLook w:val="04A0" w:firstRow="1" w:lastRow="0" w:firstColumn="1" w:lastColumn="0" w:noHBand="0" w:noVBand="1"/>
      </w:tblPr>
      <w:tblGrid>
        <w:gridCol w:w="1760"/>
        <w:gridCol w:w="1406"/>
        <w:gridCol w:w="1407"/>
        <w:gridCol w:w="1406"/>
        <w:gridCol w:w="1407"/>
      </w:tblGrid>
      <w:tr w:rsidR="00A54B0E" w:rsidRPr="005A20A0" w:rsidTr="00A54B0E">
        <w:trPr>
          <w:cantSplit/>
          <w:trHeight w:val="900"/>
          <w:tblHeader/>
        </w:trPr>
        <w:tc>
          <w:tcPr>
            <w:tcW w:w="1760" w:type="dxa"/>
            <w:tcBorders>
              <w:top w:val="nil"/>
            </w:tcBorders>
            <w:shd w:val="solid" w:color="9757A6" w:fill="D9D9D9"/>
            <w:vAlign w:val="center"/>
            <w:hideMark/>
          </w:tcPr>
          <w:p w:rsidR="00A54B0E" w:rsidRPr="005A20A0" w:rsidRDefault="00A54B0E" w:rsidP="00A54B0E">
            <w:pPr>
              <w:pStyle w:val="Tablecolumnheadings"/>
              <w:rPr>
                <w:lang w:eastAsia="en-AU"/>
              </w:rPr>
            </w:pPr>
            <w:r>
              <w:rPr>
                <w:lang w:eastAsia="en-AU"/>
              </w:rPr>
              <w:t>Technology</w:t>
            </w:r>
          </w:p>
        </w:tc>
        <w:tc>
          <w:tcPr>
            <w:tcW w:w="1406" w:type="dxa"/>
            <w:tcBorders>
              <w:top w:val="nil"/>
            </w:tcBorders>
            <w:shd w:val="solid" w:color="9757A6" w:fill="D9D9D9"/>
            <w:vAlign w:val="center"/>
            <w:hideMark/>
          </w:tcPr>
          <w:p w:rsidR="00A54B0E" w:rsidRPr="005A20A0" w:rsidRDefault="00A54B0E" w:rsidP="00A54B0E">
            <w:pPr>
              <w:pStyle w:val="Tablecolumnheadings"/>
              <w:jc w:val="center"/>
              <w:rPr>
                <w:lang w:eastAsia="en-AU"/>
              </w:rPr>
            </w:pPr>
            <w:r w:rsidRPr="005A20A0">
              <w:rPr>
                <w:lang w:eastAsia="en-AU"/>
              </w:rPr>
              <w:t>Economic life</w:t>
            </w:r>
            <w:r>
              <w:rPr>
                <w:lang w:eastAsia="en-AU"/>
              </w:rPr>
              <w:t xml:space="preserve"> of new plant</w:t>
            </w:r>
            <w:r w:rsidRPr="005A20A0">
              <w:rPr>
                <w:lang w:eastAsia="en-AU"/>
              </w:rPr>
              <w:t xml:space="preserve"> (years)</w:t>
            </w:r>
          </w:p>
        </w:tc>
        <w:tc>
          <w:tcPr>
            <w:tcW w:w="1407" w:type="dxa"/>
            <w:tcBorders>
              <w:top w:val="nil"/>
            </w:tcBorders>
            <w:shd w:val="solid" w:color="9757A6" w:fill="D9D9D9"/>
            <w:vAlign w:val="center"/>
            <w:hideMark/>
          </w:tcPr>
          <w:p w:rsidR="00A54B0E" w:rsidRDefault="00A54B0E" w:rsidP="00A54B0E">
            <w:pPr>
              <w:pStyle w:val="Tablecolumnheadings"/>
              <w:jc w:val="center"/>
              <w:rPr>
                <w:lang w:eastAsia="en-AU"/>
              </w:rPr>
            </w:pPr>
            <w:r>
              <w:rPr>
                <w:lang w:eastAsia="en-AU"/>
              </w:rPr>
              <w:t>Refurbishment cost – first refurbishment only</w:t>
            </w:r>
          </w:p>
          <w:p w:rsidR="00A54B0E" w:rsidRPr="005A20A0" w:rsidRDefault="00A54B0E" w:rsidP="00A54B0E">
            <w:pPr>
              <w:pStyle w:val="Tablecolumnheadings"/>
              <w:jc w:val="center"/>
              <w:rPr>
                <w:lang w:eastAsia="en-AU"/>
              </w:rPr>
            </w:pPr>
            <w:r w:rsidRPr="005A20A0">
              <w:rPr>
                <w:lang w:eastAsia="en-AU"/>
              </w:rPr>
              <w:t>(% of new)</w:t>
            </w:r>
          </w:p>
        </w:tc>
        <w:tc>
          <w:tcPr>
            <w:tcW w:w="1406" w:type="dxa"/>
            <w:tcBorders>
              <w:top w:val="nil"/>
            </w:tcBorders>
            <w:shd w:val="solid" w:color="9757A6" w:fill="D9D9D9"/>
            <w:vAlign w:val="center"/>
            <w:hideMark/>
          </w:tcPr>
          <w:p w:rsidR="00A54B0E" w:rsidRPr="005A20A0" w:rsidRDefault="00A54B0E" w:rsidP="00A54B0E">
            <w:pPr>
              <w:pStyle w:val="Tablecolumnheadings"/>
              <w:jc w:val="center"/>
              <w:rPr>
                <w:lang w:eastAsia="en-AU"/>
              </w:rPr>
            </w:pPr>
            <w:r>
              <w:rPr>
                <w:lang w:eastAsia="en-AU"/>
              </w:rPr>
              <w:t>Additional life</w:t>
            </w:r>
            <w:r>
              <w:rPr>
                <w:lang w:eastAsia="en-AU"/>
              </w:rPr>
              <w:br/>
            </w:r>
            <w:r w:rsidRPr="005A20A0">
              <w:rPr>
                <w:lang w:eastAsia="en-AU"/>
              </w:rPr>
              <w:t>(% of original life)</w:t>
            </w:r>
          </w:p>
        </w:tc>
        <w:tc>
          <w:tcPr>
            <w:tcW w:w="1407" w:type="dxa"/>
            <w:tcBorders>
              <w:top w:val="nil"/>
            </w:tcBorders>
            <w:shd w:val="solid" w:color="9757A6" w:fill="D9D9D9"/>
            <w:vAlign w:val="center"/>
            <w:hideMark/>
          </w:tcPr>
          <w:p w:rsidR="00A54B0E" w:rsidRPr="005A20A0" w:rsidRDefault="00A54B0E" w:rsidP="00A54B0E">
            <w:pPr>
              <w:pStyle w:val="Tablecolumnheadings"/>
              <w:jc w:val="center"/>
              <w:rPr>
                <w:lang w:eastAsia="en-AU"/>
              </w:rPr>
            </w:pPr>
            <w:r w:rsidRPr="005A20A0">
              <w:rPr>
                <w:lang w:eastAsia="en-AU"/>
              </w:rPr>
              <w:t>Additional life from refurb (years)</w:t>
            </w:r>
          </w:p>
        </w:tc>
      </w:tr>
      <w:tr w:rsidR="00A54B0E" w:rsidRPr="005A20A0" w:rsidTr="00A54B0E">
        <w:trPr>
          <w:cantSplit/>
          <w:trHeight w:val="225"/>
        </w:trPr>
        <w:tc>
          <w:tcPr>
            <w:tcW w:w="1760" w:type="dxa"/>
            <w:shd w:val="clear" w:color="auto" w:fill="auto"/>
            <w:noWrap/>
            <w:vAlign w:val="center"/>
            <w:hideMark/>
          </w:tcPr>
          <w:p w:rsidR="00A54B0E" w:rsidRPr="005A20A0" w:rsidRDefault="00A54B0E" w:rsidP="00A54B0E">
            <w:pPr>
              <w:pStyle w:val="Tabletext"/>
              <w:rPr>
                <w:lang w:eastAsia="en-AU"/>
              </w:rPr>
            </w:pPr>
            <w:r w:rsidRPr="005A20A0">
              <w:rPr>
                <w:lang w:eastAsia="en-AU"/>
              </w:rPr>
              <w:t>CCGT</w:t>
            </w:r>
          </w:p>
        </w:tc>
        <w:tc>
          <w:tcPr>
            <w:tcW w:w="1406"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30</w:t>
            </w:r>
          </w:p>
        </w:tc>
        <w:tc>
          <w:tcPr>
            <w:tcW w:w="1407"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70%</w:t>
            </w:r>
          </w:p>
        </w:tc>
        <w:tc>
          <w:tcPr>
            <w:tcW w:w="1406"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100%</w:t>
            </w:r>
          </w:p>
        </w:tc>
        <w:tc>
          <w:tcPr>
            <w:tcW w:w="1407"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30</w:t>
            </w:r>
          </w:p>
        </w:tc>
      </w:tr>
      <w:tr w:rsidR="00A54B0E" w:rsidRPr="005A20A0" w:rsidTr="00A54B0E">
        <w:trPr>
          <w:cantSplit/>
          <w:trHeight w:val="225"/>
        </w:trPr>
        <w:tc>
          <w:tcPr>
            <w:tcW w:w="1760" w:type="dxa"/>
            <w:shd w:val="clear" w:color="auto" w:fill="auto"/>
            <w:noWrap/>
            <w:vAlign w:val="center"/>
            <w:hideMark/>
          </w:tcPr>
          <w:p w:rsidR="00A54B0E" w:rsidRPr="005A20A0" w:rsidRDefault="00A54B0E" w:rsidP="00A54B0E">
            <w:pPr>
              <w:pStyle w:val="Tabletext"/>
              <w:rPr>
                <w:lang w:eastAsia="en-AU"/>
              </w:rPr>
            </w:pPr>
            <w:r w:rsidRPr="005A20A0">
              <w:rPr>
                <w:lang w:eastAsia="en-AU"/>
              </w:rPr>
              <w:t>Cogeneration</w:t>
            </w:r>
          </w:p>
        </w:tc>
        <w:tc>
          <w:tcPr>
            <w:tcW w:w="1406"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30</w:t>
            </w:r>
          </w:p>
        </w:tc>
        <w:tc>
          <w:tcPr>
            <w:tcW w:w="1407"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70%</w:t>
            </w:r>
          </w:p>
        </w:tc>
        <w:tc>
          <w:tcPr>
            <w:tcW w:w="1406"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100%</w:t>
            </w:r>
          </w:p>
        </w:tc>
        <w:tc>
          <w:tcPr>
            <w:tcW w:w="1407"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30</w:t>
            </w:r>
          </w:p>
        </w:tc>
      </w:tr>
      <w:tr w:rsidR="00A54B0E" w:rsidRPr="005A20A0" w:rsidTr="00A54B0E">
        <w:trPr>
          <w:cantSplit/>
          <w:trHeight w:val="225"/>
        </w:trPr>
        <w:tc>
          <w:tcPr>
            <w:tcW w:w="1760" w:type="dxa"/>
            <w:shd w:val="clear" w:color="auto" w:fill="auto"/>
            <w:noWrap/>
            <w:vAlign w:val="center"/>
            <w:hideMark/>
          </w:tcPr>
          <w:p w:rsidR="00A54B0E" w:rsidRPr="005A20A0" w:rsidRDefault="00A54B0E" w:rsidP="00A54B0E">
            <w:pPr>
              <w:pStyle w:val="Tabletext"/>
              <w:rPr>
                <w:lang w:eastAsia="en-AU"/>
              </w:rPr>
            </w:pPr>
            <w:r w:rsidRPr="005A20A0">
              <w:rPr>
                <w:lang w:eastAsia="en-AU"/>
              </w:rPr>
              <w:t>OCGT</w:t>
            </w:r>
          </w:p>
        </w:tc>
        <w:tc>
          <w:tcPr>
            <w:tcW w:w="1406"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30</w:t>
            </w:r>
          </w:p>
        </w:tc>
        <w:tc>
          <w:tcPr>
            <w:tcW w:w="1407"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85%</w:t>
            </w:r>
          </w:p>
        </w:tc>
        <w:tc>
          <w:tcPr>
            <w:tcW w:w="1406"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100%</w:t>
            </w:r>
          </w:p>
        </w:tc>
        <w:tc>
          <w:tcPr>
            <w:tcW w:w="1407"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30</w:t>
            </w:r>
          </w:p>
        </w:tc>
      </w:tr>
      <w:tr w:rsidR="00A54B0E" w:rsidRPr="005A20A0" w:rsidTr="00A54B0E">
        <w:trPr>
          <w:cantSplit/>
          <w:trHeight w:val="225"/>
        </w:trPr>
        <w:tc>
          <w:tcPr>
            <w:tcW w:w="1760" w:type="dxa"/>
            <w:shd w:val="clear" w:color="auto" w:fill="auto"/>
            <w:noWrap/>
            <w:vAlign w:val="center"/>
            <w:hideMark/>
          </w:tcPr>
          <w:p w:rsidR="00A54B0E" w:rsidRPr="005A20A0" w:rsidRDefault="00A54B0E" w:rsidP="00A54B0E">
            <w:pPr>
              <w:pStyle w:val="Tabletext"/>
              <w:rPr>
                <w:lang w:eastAsia="en-AU"/>
              </w:rPr>
            </w:pPr>
            <w:r w:rsidRPr="005A20A0">
              <w:rPr>
                <w:lang w:eastAsia="en-AU"/>
              </w:rPr>
              <w:t>Solar PV</w:t>
            </w:r>
          </w:p>
        </w:tc>
        <w:tc>
          <w:tcPr>
            <w:tcW w:w="1406"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35</w:t>
            </w:r>
          </w:p>
        </w:tc>
        <w:tc>
          <w:tcPr>
            <w:tcW w:w="1407"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75%</w:t>
            </w:r>
          </w:p>
        </w:tc>
        <w:tc>
          <w:tcPr>
            <w:tcW w:w="1406"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100%</w:t>
            </w:r>
          </w:p>
        </w:tc>
        <w:tc>
          <w:tcPr>
            <w:tcW w:w="1407"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35</w:t>
            </w:r>
          </w:p>
        </w:tc>
      </w:tr>
      <w:tr w:rsidR="00A54B0E" w:rsidRPr="005A20A0" w:rsidTr="00A54B0E">
        <w:trPr>
          <w:cantSplit/>
          <w:trHeight w:val="225"/>
        </w:trPr>
        <w:tc>
          <w:tcPr>
            <w:tcW w:w="1760" w:type="dxa"/>
            <w:shd w:val="clear" w:color="auto" w:fill="auto"/>
            <w:noWrap/>
            <w:vAlign w:val="center"/>
            <w:hideMark/>
          </w:tcPr>
          <w:p w:rsidR="00A54B0E" w:rsidRPr="005A20A0" w:rsidRDefault="00A54B0E" w:rsidP="00A54B0E">
            <w:pPr>
              <w:pStyle w:val="Tabletext"/>
              <w:rPr>
                <w:lang w:eastAsia="en-AU"/>
              </w:rPr>
            </w:pPr>
            <w:r w:rsidRPr="005A20A0">
              <w:rPr>
                <w:lang w:eastAsia="en-AU"/>
              </w:rPr>
              <w:t>Steam turbine</w:t>
            </w:r>
          </w:p>
        </w:tc>
        <w:tc>
          <w:tcPr>
            <w:tcW w:w="1406"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50</w:t>
            </w:r>
          </w:p>
        </w:tc>
        <w:tc>
          <w:tcPr>
            <w:tcW w:w="1407"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25%</w:t>
            </w:r>
          </w:p>
        </w:tc>
        <w:tc>
          <w:tcPr>
            <w:tcW w:w="1406"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30%</w:t>
            </w:r>
          </w:p>
        </w:tc>
        <w:tc>
          <w:tcPr>
            <w:tcW w:w="1407"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15</w:t>
            </w:r>
          </w:p>
        </w:tc>
      </w:tr>
      <w:tr w:rsidR="00A54B0E" w:rsidRPr="005A20A0" w:rsidTr="00A54B0E">
        <w:trPr>
          <w:cantSplit/>
          <w:trHeight w:val="225"/>
        </w:trPr>
        <w:tc>
          <w:tcPr>
            <w:tcW w:w="1760" w:type="dxa"/>
            <w:shd w:val="clear" w:color="auto" w:fill="auto"/>
            <w:noWrap/>
            <w:vAlign w:val="center"/>
            <w:hideMark/>
          </w:tcPr>
          <w:p w:rsidR="00A54B0E" w:rsidRPr="005A20A0" w:rsidRDefault="00A54B0E" w:rsidP="00A54B0E">
            <w:pPr>
              <w:pStyle w:val="Tabletext"/>
              <w:rPr>
                <w:lang w:eastAsia="en-AU"/>
              </w:rPr>
            </w:pPr>
            <w:r w:rsidRPr="005A20A0">
              <w:rPr>
                <w:lang w:eastAsia="en-AU"/>
              </w:rPr>
              <w:t xml:space="preserve">Subcritical </w:t>
            </w:r>
            <w:r>
              <w:rPr>
                <w:lang w:eastAsia="en-AU"/>
              </w:rPr>
              <w:t>pf</w:t>
            </w:r>
          </w:p>
        </w:tc>
        <w:tc>
          <w:tcPr>
            <w:tcW w:w="1406"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50</w:t>
            </w:r>
          </w:p>
        </w:tc>
        <w:tc>
          <w:tcPr>
            <w:tcW w:w="1407"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25%</w:t>
            </w:r>
          </w:p>
        </w:tc>
        <w:tc>
          <w:tcPr>
            <w:tcW w:w="1406"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30%</w:t>
            </w:r>
          </w:p>
        </w:tc>
        <w:tc>
          <w:tcPr>
            <w:tcW w:w="1407" w:type="dxa"/>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15</w:t>
            </w:r>
          </w:p>
        </w:tc>
      </w:tr>
      <w:tr w:rsidR="00A54B0E" w:rsidRPr="005A20A0" w:rsidTr="00A54B0E">
        <w:trPr>
          <w:cantSplit/>
          <w:trHeight w:val="225"/>
        </w:trPr>
        <w:tc>
          <w:tcPr>
            <w:tcW w:w="1760" w:type="dxa"/>
            <w:tcBorders>
              <w:bottom w:val="single" w:sz="2" w:space="0" w:color="C0C0C0"/>
            </w:tcBorders>
            <w:shd w:val="clear" w:color="auto" w:fill="auto"/>
            <w:noWrap/>
            <w:vAlign w:val="center"/>
            <w:hideMark/>
          </w:tcPr>
          <w:p w:rsidR="00A54B0E" w:rsidRPr="005A20A0" w:rsidRDefault="00A54B0E" w:rsidP="00A54B0E">
            <w:pPr>
              <w:pStyle w:val="Tabletext"/>
              <w:rPr>
                <w:lang w:eastAsia="en-AU"/>
              </w:rPr>
            </w:pPr>
            <w:r w:rsidRPr="005A20A0">
              <w:rPr>
                <w:lang w:eastAsia="en-AU"/>
              </w:rPr>
              <w:t>Supercritical pf</w:t>
            </w:r>
          </w:p>
        </w:tc>
        <w:tc>
          <w:tcPr>
            <w:tcW w:w="1406" w:type="dxa"/>
            <w:tcBorders>
              <w:bottom w:val="single" w:sz="2" w:space="0" w:color="C0C0C0"/>
            </w:tcBorders>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50</w:t>
            </w:r>
          </w:p>
        </w:tc>
        <w:tc>
          <w:tcPr>
            <w:tcW w:w="1407" w:type="dxa"/>
            <w:tcBorders>
              <w:bottom w:val="single" w:sz="2" w:space="0" w:color="C0C0C0"/>
            </w:tcBorders>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25%</w:t>
            </w:r>
          </w:p>
        </w:tc>
        <w:tc>
          <w:tcPr>
            <w:tcW w:w="1406" w:type="dxa"/>
            <w:tcBorders>
              <w:bottom w:val="single" w:sz="2" w:space="0" w:color="C0C0C0"/>
            </w:tcBorders>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30%</w:t>
            </w:r>
          </w:p>
        </w:tc>
        <w:tc>
          <w:tcPr>
            <w:tcW w:w="1407" w:type="dxa"/>
            <w:tcBorders>
              <w:bottom w:val="single" w:sz="2" w:space="0" w:color="C0C0C0"/>
            </w:tcBorders>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15</w:t>
            </w:r>
          </w:p>
        </w:tc>
      </w:tr>
      <w:tr w:rsidR="00A54B0E" w:rsidRPr="005A20A0" w:rsidTr="00A54B0E">
        <w:trPr>
          <w:cantSplit/>
          <w:trHeight w:val="225"/>
        </w:trPr>
        <w:tc>
          <w:tcPr>
            <w:tcW w:w="1760" w:type="dxa"/>
            <w:tcBorders>
              <w:top w:val="single" w:sz="2" w:space="0" w:color="C0C0C0"/>
              <w:bottom w:val="single" w:sz="2" w:space="0" w:color="999999"/>
            </w:tcBorders>
            <w:shd w:val="clear" w:color="auto" w:fill="auto"/>
            <w:noWrap/>
            <w:vAlign w:val="center"/>
            <w:hideMark/>
          </w:tcPr>
          <w:p w:rsidR="00A54B0E" w:rsidRPr="005A20A0" w:rsidRDefault="00A54B0E" w:rsidP="00A54B0E">
            <w:pPr>
              <w:pStyle w:val="Tabletext"/>
              <w:rPr>
                <w:lang w:eastAsia="en-AU"/>
              </w:rPr>
            </w:pPr>
            <w:r w:rsidRPr="005A20A0">
              <w:rPr>
                <w:lang w:eastAsia="en-AU"/>
              </w:rPr>
              <w:t>Wind turbine</w:t>
            </w:r>
          </w:p>
        </w:tc>
        <w:tc>
          <w:tcPr>
            <w:tcW w:w="1406" w:type="dxa"/>
            <w:tcBorders>
              <w:top w:val="single" w:sz="2" w:space="0" w:color="C0C0C0"/>
              <w:bottom w:val="single" w:sz="2" w:space="0" w:color="999999"/>
            </w:tcBorders>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25</w:t>
            </w:r>
          </w:p>
        </w:tc>
        <w:tc>
          <w:tcPr>
            <w:tcW w:w="1407" w:type="dxa"/>
            <w:tcBorders>
              <w:top w:val="single" w:sz="2" w:space="0" w:color="C0C0C0"/>
              <w:bottom w:val="single" w:sz="2" w:space="0" w:color="999999"/>
            </w:tcBorders>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50%</w:t>
            </w:r>
          </w:p>
        </w:tc>
        <w:tc>
          <w:tcPr>
            <w:tcW w:w="1406" w:type="dxa"/>
            <w:tcBorders>
              <w:top w:val="single" w:sz="2" w:space="0" w:color="C0C0C0"/>
              <w:bottom w:val="single" w:sz="2" w:space="0" w:color="999999"/>
            </w:tcBorders>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100%</w:t>
            </w:r>
          </w:p>
        </w:tc>
        <w:tc>
          <w:tcPr>
            <w:tcW w:w="1407" w:type="dxa"/>
            <w:tcBorders>
              <w:top w:val="single" w:sz="2" w:space="0" w:color="C0C0C0"/>
              <w:bottom w:val="single" w:sz="2" w:space="0" w:color="999999"/>
            </w:tcBorders>
            <w:shd w:val="clear" w:color="auto" w:fill="auto"/>
            <w:noWrap/>
            <w:vAlign w:val="center"/>
            <w:hideMark/>
          </w:tcPr>
          <w:p w:rsidR="00A54B0E" w:rsidRPr="005A20A0" w:rsidRDefault="00A54B0E" w:rsidP="00A54B0E">
            <w:pPr>
              <w:pStyle w:val="Tabletext"/>
              <w:jc w:val="center"/>
              <w:rPr>
                <w:lang w:eastAsia="en-AU"/>
              </w:rPr>
            </w:pPr>
            <w:r w:rsidRPr="005A20A0">
              <w:rPr>
                <w:lang w:eastAsia="en-AU"/>
              </w:rPr>
              <w:t>25</w:t>
            </w:r>
          </w:p>
        </w:tc>
      </w:tr>
    </w:tbl>
    <w:p w:rsidR="00A54B0E" w:rsidRPr="00A54B0E" w:rsidRDefault="00A54B0E" w:rsidP="00A54B0E">
      <w:pPr>
        <w:pStyle w:val="Source"/>
      </w:pPr>
      <w:r>
        <w:t>Source: ACIL Allen</w:t>
      </w:r>
    </w:p>
    <w:p w:rsidR="00A54B0E" w:rsidRDefault="00A54B0E" w:rsidP="00A54B0E">
      <w:pPr>
        <w:pStyle w:val="Heading2"/>
        <w:pBdr>
          <w:bottom w:val="none" w:sz="0" w:space="0" w:color="auto"/>
        </w:pBdr>
      </w:pPr>
      <w:bookmarkStart w:id="133" w:name="_Toc365474041"/>
      <w:bookmarkStart w:id="134" w:name="_Ref365560785"/>
      <w:bookmarkStart w:id="135" w:name="_Toc370394651"/>
      <w:r>
        <w:t>Embedded and off-grid generation</w:t>
      </w:r>
      <w:bookmarkEnd w:id="133"/>
      <w:bookmarkEnd w:id="134"/>
      <w:bookmarkEnd w:id="135"/>
    </w:p>
    <w:p w:rsidR="00A54B0E" w:rsidRDefault="00A54B0E" w:rsidP="00A54B0E">
      <w:pPr>
        <w:pStyle w:val="BodyText"/>
      </w:pPr>
      <w:r>
        <w:t xml:space="preserve">In addition to electricity supplied by and emissions created by generators that are connected to the major grids of the NEM, SWIS, NWIS, DKIS and Mt Isa, ACIL </w:t>
      </w:r>
      <w:r w:rsidR="004F6D61">
        <w:t>Allen</w:t>
      </w:r>
      <w:r>
        <w:t xml:space="preserve"> incorporated a range of small-scale embedded (i.e. connected to the distribution network), ‘behind the meter’ (i.e. connected on a customer’s premises) and off-grid generation to develop a comprehensive picture of electricity sector emissions. </w:t>
      </w:r>
    </w:p>
    <w:p w:rsidR="00A54B0E" w:rsidRDefault="00A54B0E" w:rsidP="00A54B0E">
      <w:pPr>
        <w:pStyle w:val="BodyText"/>
      </w:pPr>
      <w:r>
        <w:t xml:space="preserve">A key category of ‘behind the meter’ generation is rooftop solar, the overall level of which was estimated for the NEM and SWIS based on AEMO (2013 NEFR) and IMO (2012 forecasting study by NIEIR) forecasts. Beyond 2032-33 (the AEMO forecasting horizon) small-scale solar generation was assumed to hold constant on the assumption that if solar PV was not viable at the wholesale level at that point in time it would have reached an effective saturation point and would not be widely deployed at the small-scale level beyond that time. IMO forecasts were extrapolated to 2032-33 to match the AEMO forecasting horizon. The growth of assumed small-scale PV generation, and subsequent flat-lining, can be seen in </w:t>
      </w:r>
    </w:p>
    <w:p w:rsidR="00A54B0E" w:rsidRDefault="00A54B0E">
      <w:pPr>
        <w:pStyle w:val="Caption"/>
      </w:pPr>
      <w:bookmarkStart w:id="136" w:name="_Toc370394677"/>
      <w:r>
        <w:lastRenderedPageBreak/>
        <w:t xml:space="preserve">Figure </w:t>
      </w:r>
      <w:fldSimple w:instr=" SEQ Figure \* ARABIC ">
        <w:r w:rsidR="00660A8E">
          <w:rPr>
            <w:noProof/>
          </w:rPr>
          <w:t>7</w:t>
        </w:r>
      </w:fldSimple>
      <w:r w:rsidRPr="004E0C91">
        <w:rPr>
          <w:b/>
          <w:color w:val="000080"/>
        </w:rPr>
        <w:tab/>
      </w:r>
      <w:r w:rsidRPr="00A54B0E">
        <w:rPr>
          <w:rStyle w:val="CaptionLabel"/>
        </w:rPr>
        <w:t>Small-scale solar generation output assumptions</w:t>
      </w:r>
      <w:bookmarkEnd w:id="136"/>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54B0E" w:rsidTr="00CE43CE">
        <w:trPr>
          <w:cantSplit/>
        </w:trPr>
        <w:tc>
          <w:tcPr>
            <w:tcW w:w="5000" w:type="pct"/>
          </w:tcPr>
          <w:p w:rsidR="00A54B0E" w:rsidRDefault="00A54B0E" w:rsidP="00CE43CE">
            <w:pPr>
              <w:pStyle w:val="SmallDeltasRightAligned"/>
              <w:keepNext/>
            </w:pPr>
            <w:r>
              <w:rPr>
                <w:noProof/>
                <w:lang w:eastAsia="en-AU"/>
              </w:rPr>
              <w:drawing>
                <wp:inline distT="0" distB="0" distL="0" distR="0" wp14:anchorId="74454800" wp14:editId="20E81639">
                  <wp:extent cx="481585" cy="2346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54B0E" w:rsidTr="00CE43CE">
        <w:trPr>
          <w:cantSplit/>
        </w:trPr>
        <w:tc>
          <w:tcPr>
            <w:tcW w:w="5000" w:type="pct"/>
          </w:tcPr>
          <w:p w:rsidR="00A54B0E" w:rsidRDefault="0062418D" w:rsidP="00CE43CE">
            <w:pPr>
              <w:pStyle w:val="Figure"/>
            </w:pPr>
            <w:r>
              <w:rPr>
                <w:noProof/>
                <w:lang w:eastAsia="en-AU"/>
              </w:rPr>
              <w:drawing>
                <wp:inline distT="0" distB="0" distL="0" distR="0" wp14:anchorId="02A943AE" wp14:editId="32961BD1">
                  <wp:extent cx="4676775" cy="331470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6775" cy="3314700"/>
                          </a:xfrm>
                          <a:prstGeom prst="rect">
                            <a:avLst/>
                          </a:prstGeom>
                          <a:noFill/>
                          <a:ln>
                            <a:noFill/>
                          </a:ln>
                        </pic:spPr>
                      </pic:pic>
                    </a:graphicData>
                  </a:graphic>
                </wp:inline>
              </w:drawing>
            </w:r>
          </w:p>
        </w:tc>
      </w:tr>
    </w:tbl>
    <w:p w:rsidR="00A54B0E" w:rsidRPr="00B50A1B" w:rsidRDefault="00A54B0E" w:rsidP="00CE43CE">
      <w:pPr>
        <w:pStyle w:val="Source"/>
        <w:rPr>
          <w:i/>
        </w:rPr>
      </w:pPr>
      <w:r>
        <w:t>S</w:t>
      </w:r>
      <w:r w:rsidRPr="00B50A1B">
        <w:t>ource:</w:t>
      </w:r>
      <w:r w:rsidRPr="00954EED">
        <w:t xml:space="preserve"> </w:t>
      </w:r>
      <w:r w:rsidRPr="00A54B0E">
        <w:t>AEMO; IMO</w:t>
      </w:r>
    </w:p>
    <w:p w:rsidR="00A54B0E" w:rsidRDefault="00A54B0E" w:rsidP="00A54B0E">
      <w:pPr>
        <w:pStyle w:val="BodyText"/>
      </w:pPr>
      <w:r>
        <w:t xml:space="preserve">With the exception of rooftop PV generation, all other embedded and behind the meter generation was assumed to hold constant with a static technology mix and emissions profile based on estimates of the current mix of this generation. This means that all additional generation was met either by rooftop solar generation or generation selected within the wholesale market modelling discussed above. </w:t>
      </w:r>
    </w:p>
    <w:p w:rsidR="00A54B0E" w:rsidRDefault="00A54B0E" w:rsidP="00A54B0E">
      <w:pPr>
        <w:pStyle w:val="BodyText"/>
      </w:pPr>
      <w:r>
        <w:t xml:space="preserve">Off-grid generation was assumed to have a constant technology profile as the current estimated mix of off-grid generation, but to grow in proportion with the general level of demand growth in each state/territory. Whilst this static technological assumption for non-grid generation represents a stylistic simplification and could, for example, under-estimate the growth in renewable generation in off-grid applications, it only has a small effect in the context of Australia’s total electricity emissions.  </w:t>
      </w:r>
    </w:p>
    <w:p w:rsidR="004F4406" w:rsidRDefault="00A54B0E" w:rsidP="00F25432">
      <w:pPr>
        <w:pStyle w:val="BodyText"/>
      </w:pPr>
      <w:r>
        <w:t>Given estimates of on-grid electricity demand and generation developed as described in section , the overall volume of embedded, behind the meter and off-grid electricity in 2011-12 was calibrated to accord with estimates of total Australian electricity output and emissions from the Australian Government’s Nat</w:t>
      </w:r>
      <w:r w:rsidR="00365BC5">
        <w:t>ional Greenhouse Gas Inventory.</w:t>
      </w:r>
    </w:p>
    <w:p w:rsidR="00365BC5" w:rsidRPr="00365BC5" w:rsidRDefault="00365BC5" w:rsidP="00365BC5">
      <w:pPr>
        <w:pStyle w:val="Heading1"/>
      </w:pPr>
      <w:bookmarkStart w:id="137" w:name="_Ref364255839"/>
      <w:bookmarkStart w:id="138" w:name="_Ref364255852"/>
      <w:bookmarkStart w:id="139" w:name="_Toc365474042"/>
      <w:bookmarkStart w:id="140" w:name="_Toc370394652"/>
      <w:r w:rsidRPr="00365BC5">
        <w:lastRenderedPageBreak/>
        <w:t>Policy and No Carbon Price scenario results</w:t>
      </w:r>
      <w:bookmarkEnd w:id="137"/>
      <w:bookmarkEnd w:id="138"/>
      <w:bookmarkEnd w:id="139"/>
      <w:bookmarkEnd w:id="140"/>
    </w:p>
    <w:p w:rsidR="00365BC5" w:rsidRDefault="00365BC5" w:rsidP="00365BC5">
      <w:pPr>
        <w:pStyle w:val="Heading2"/>
        <w:pBdr>
          <w:bottom w:val="none" w:sz="0" w:space="0" w:color="auto"/>
        </w:pBdr>
      </w:pPr>
      <w:bookmarkStart w:id="141" w:name="_Toc365474043"/>
      <w:bookmarkStart w:id="142" w:name="_Ref365543717"/>
      <w:bookmarkStart w:id="143" w:name="_Toc370394653"/>
      <w:r>
        <w:t>Demand</w:t>
      </w:r>
      <w:bookmarkEnd w:id="141"/>
      <w:bookmarkEnd w:id="142"/>
      <w:bookmarkEnd w:id="143"/>
    </w:p>
    <w:p w:rsidR="00365BC5" w:rsidRDefault="00365BC5" w:rsidP="00365BC5">
      <w:pPr>
        <w:pStyle w:val="BodyText"/>
      </w:pPr>
      <w:r>
        <w:t xml:space="preserve">As discussed in section </w:t>
      </w:r>
      <w:r w:rsidR="00450552">
        <w:fldChar w:fldCharType="begin"/>
      </w:r>
      <w:r w:rsidR="00450552">
        <w:instrText xml:space="preserve"> REF _Ref360623742 \n \h </w:instrText>
      </w:r>
      <w:r w:rsidR="00450552">
        <w:fldChar w:fldCharType="separate"/>
      </w:r>
      <w:r w:rsidR="00660A8E">
        <w:t>3.1</w:t>
      </w:r>
      <w:r w:rsidR="00450552">
        <w:fldChar w:fldCharType="end"/>
      </w:r>
      <w:r>
        <w:t xml:space="preserve">, aggregate demand assumptions vary between the Central Policy and No Carbon scenarios, based on demand growth rates modelled by the Treasury. These assumptions are presented again for completeness in </w:t>
      </w:r>
      <w:r w:rsidR="00450552">
        <w:fldChar w:fldCharType="begin"/>
      </w:r>
      <w:r w:rsidR="00450552">
        <w:instrText xml:space="preserve"> REF _Ref365543488 \h </w:instrText>
      </w:r>
      <w:r w:rsidR="00450552">
        <w:fldChar w:fldCharType="separate"/>
      </w:r>
      <w:r w:rsidR="00660A8E">
        <w:t xml:space="preserve">Figure </w:t>
      </w:r>
      <w:r w:rsidR="00660A8E">
        <w:rPr>
          <w:noProof/>
        </w:rPr>
        <w:t>8</w:t>
      </w:r>
      <w:r w:rsidR="00450552">
        <w:fldChar w:fldCharType="end"/>
      </w:r>
      <w:r>
        <w:t>.</w:t>
      </w:r>
    </w:p>
    <w:p w:rsidR="00365BC5" w:rsidRDefault="00365BC5">
      <w:pPr>
        <w:pStyle w:val="Caption"/>
      </w:pPr>
      <w:bookmarkStart w:id="144" w:name="_Ref365543488"/>
      <w:bookmarkStart w:id="145" w:name="_Toc370394678"/>
      <w:r>
        <w:t xml:space="preserve">Figure </w:t>
      </w:r>
      <w:fldSimple w:instr=" SEQ Figure \* ARABIC ">
        <w:r w:rsidR="00660A8E">
          <w:rPr>
            <w:noProof/>
          </w:rPr>
          <w:t>8</w:t>
        </w:r>
      </w:fldSimple>
      <w:bookmarkEnd w:id="144"/>
      <w:r w:rsidRPr="004E0C91">
        <w:rPr>
          <w:b/>
          <w:color w:val="000080"/>
        </w:rPr>
        <w:tab/>
      </w:r>
      <w:r w:rsidRPr="00365BC5">
        <w:rPr>
          <w:rStyle w:val="CaptionLabel"/>
        </w:rPr>
        <w:t>Aggregate demand</w:t>
      </w:r>
      <w:bookmarkEnd w:id="145"/>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365BC5" w:rsidTr="00CE43CE">
        <w:trPr>
          <w:cantSplit/>
        </w:trPr>
        <w:tc>
          <w:tcPr>
            <w:tcW w:w="5000" w:type="pct"/>
          </w:tcPr>
          <w:p w:rsidR="00365BC5" w:rsidRDefault="00365BC5" w:rsidP="00CE43CE">
            <w:pPr>
              <w:pStyle w:val="SmallDeltasRightAligned"/>
              <w:keepNext/>
            </w:pPr>
            <w:r>
              <w:rPr>
                <w:noProof/>
                <w:lang w:eastAsia="en-AU"/>
              </w:rPr>
              <w:drawing>
                <wp:inline distT="0" distB="0" distL="0" distR="0" wp14:anchorId="43B5DDD8" wp14:editId="330C8BCD">
                  <wp:extent cx="481585" cy="2346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65BC5" w:rsidTr="00CE43CE">
        <w:trPr>
          <w:cantSplit/>
        </w:trPr>
        <w:tc>
          <w:tcPr>
            <w:tcW w:w="5000" w:type="pct"/>
          </w:tcPr>
          <w:p w:rsidR="00365BC5" w:rsidRDefault="00365BC5" w:rsidP="00CE43CE">
            <w:pPr>
              <w:pStyle w:val="Figure"/>
            </w:pPr>
            <w:r>
              <w:rPr>
                <w:noProof/>
                <w:lang w:eastAsia="en-AU"/>
              </w:rPr>
              <w:drawing>
                <wp:inline distT="0" distB="0" distL="0" distR="0" wp14:anchorId="035BF345" wp14:editId="79904F97">
                  <wp:extent cx="4673600" cy="240474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83740E" w:rsidRDefault="0083740E" w:rsidP="0083740E">
      <w:pPr>
        <w:pStyle w:val="Note"/>
      </w:pPr>
      <w:r>
        <w:rPr>
          <w:i/>
        </w:rPr>
        <w:t>Note:</w:t>
      </w:r>
      <w:r>
        <w:t xml:space="preserve"> </w:t>
      </w:r>
      <w:r w:rsidRPr="00CE5AC0">
        <w:t>Estimates include off-grid and embedded generation</w:t>
      </w:r>
    </w:p>
    <w:p w:rsidR="00365BC5" w:rsidRPr="00B50A1B" w:rsidRDefault="00365BC5" w:rsidP="00CE43CE">
      <w:pPr>
        <w:pStyle w:val="Source"/>
        <w:rPr>
          <w:i/>
        </w:rPr>
      </w:pPr>
      <w:r>
        <w:t>S</w:t>
      </w:r>
      <w:r w:rsidRPr="00B50A1B">
        <w:t>ource:</w:t>
      </w:r>
      <w:r w:rsidRPr="00954EED">
        <w:t xml:space="preserve"> </w:t>
      </w:r>
      <w:r w:rsidR="0083740E" w:rsidRPr="00CE5AC0">
        <w:t xml:space="preserve">ACIL </w:t>
      </w:r>
      <w:r w:rsidR="0083740E">
        <w:t>Allen</w:t>
      </w:r>
      <w:r w:rsidR="0083740E" w:rsidRPr="00CE5AC0">
        <w:t xml:space="preserve"> estimates based on Treasury, AEMO, IMO and other sources.</w:t>
      </w:r>
    </w:p>
    <w:p w:rsidR="00365BC5" w:rsidRDefault="00365BC5" w:rsidP="00365BC5">
      <w:pPr>
        <w:pStyle w:val="BodyText"/>
      </w:pPr>
      <w:r>
        <w:t xml:space="preserve">The composition of this demand can be understood more completely by analysing its composition by grid, as in </w:t>
      </w:r>
      <w:r w:rsidR="00450552">
        <w:fldChar w:fldCharType="begin"/>
      </w:r>
      <w:r w:rsidR="00450552">
        <w:instrText xml:space="preserve"> REF _Ref365543496 \h </w:instrText>
      </w:r>
      <w:r w:rsidR="00450552">
        <w:fldChar w:fldCharType="separate"/>
      </w:r>
      <w:r w:rsidR="00660A8E">
        <w:t xml:space="preserve">Figure </w:t>
      </w:r>
      <w:r w:rsidR="00660A8E">
        <w:rPr>
          <w:noProof/>
        </w:rPr>
        <w:t>9</w:t>
      </w:r>
      <w:r w:rsidR="00450552">
        <w:fldChar w:fldCharType="end"/>
      </w:r>
      <w:r>
        <w:t xml:space="preserve"> and </w:t>
      </w:r>
      <w:r w:rsidR="00450552">
        <w:fldChar w:fldCharType="begin"/>
      </w:r>
      <w:r w:rsidR="00450552">
        <w:instrText xml:space="preserve"> REF _Ref365543501 \h </w:instrText>
      </w:r>
      <w:r w:rsidR="00450552">
        <w:fldChar w:fldCharType="separate"/>
      </w:r>
      <w:r w:rsidR="00660A8E">
        <w:t xml:space="preserve">Figure </w:t>
      </w:r>
      <w:r w:rsidR="00660A8E">
        <w:rPr>
          <w:noProof/>
        </w:rPr>
        <w:t>10</w:t>
      </w:r>
      <w:r w:rsidR="00450552">
        <w:fldChar w:fldCharType="end"/>
      </w:r>
      <w:r>
        <w:t xml:space="preserve">. </w:t>
      </w:r>
    </w:p>
    <w:p w:rsidR="00365BC5" w:rsidRDefault="00365BC5">
      <w:pPr>
        <w:pStyle w:val="Caption"/>
      </w:pPr>
      <w:bookmarkStart w:id="146" w:name="_Ref365543496"/>
      <w:bookmarkStart w:id="147" w:name="_Toc370394679"/>
      <w:r>
        <w:lastRenderedPageBreak/>
        <w:t xml:space="preserve">Figure </w:t>
      </w:r>
      <w:fldSimple w:instr=" SEQ Figure \* ARABIC ">
        <w:r w:rsidR="00660A8E">
          <w:rPr>
            <w:noProof/>
          </w:rPr>
          <w:t>9</w:t>
        </w:r>
      </w:fldSimple>
      <w:bookmarkEnd w:id="146"/>
      <w:r w:rsidRPr="004E0C91">
        <w:rPr>
          <w:b/>
          <w:color w:val="000080"/>
        </w:rPr>
        <w:tab/>
      </w:r>
      <w:r w:rsidRPr="00365BC5">
        <w:rPr>
          <w:rStyle w:val="CaptionLabel"/>
        </w:rPr>
        <w:t>Demand by grid – No Carbon Price scenario</w:t>
      </w:r>
      <w:bookmarkEnd w:id="147"/>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365BC5" w:rsidTr="00CE43CE">
        <w:trPr>
          <w:cantSplit/>
        </w:trPr>
        <w:tc>
          <w:tcPr>
            <w:tcW w:w="5000" w:type="pct"/>
          </w:tcPr>
          <w:p w:rsidR="00365BC5" w:rsidRDefault="00365BC5" w:rsidP="00CE43CE">
            <w:pPr>
              <w:pStyle w:val="SmallDeltasRightAligned"/>
              <w:keepNext/>
            </w:pPr>
            <w:r>
              <w:rPr>
                <w:noProof/>
                <w:lang w:eastAsia="en-AU"/>
              </w:rPr>
              <w:drawing>
                <wp:inline distT="0" distB="0" distL="0" distR="0" wp14:anchorId="304A5688" wp14:editId="2EE670DB">
                  <wp:extent cx="481585" cy="2346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65BC5" w:rsidTr="00CE43CE">
        <w:trPr>
          <w:cantSplit/>
        </w:trPr>
        <w:tc>
          <w:tcPr>
            <w:tcW w:w="5000" w:type="pct"/>
          </w:tcPr>
          <w:p w:rsidR="00365BC5" w:rsidRDefault="00365BC5" w:rsidP="00CE43CE">
            <w:pPr>
              <w:pStyle w:val="Figure"/>
            </w:pPr>
            <w:r>
              <w:rPr>
                <w:noProof/>
                <w:lang w:eastAsia="en-AU"/>
              </w:rPr>
              <w:drawing>
                <wp:inline distT="0" distB="0" distL="0" distR="0" wp14:anchorId="5984460B" wp14:editId="427FEE96">
                  <wp:extent cx="4673600" cy="2494915"/>
                  <wp:effectExtent l="0" t="0" r="0"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3600" cy="2494915"/>
                          </a:xfrm>
                          <a:prstGeom prst="rect">
                            <a:avLst/>
                          </a:prstGeom>
                          <a:noFill/>
                          <a:ln>
                            <a:noFill/>
                          </a:ln>
                        </pic:spPr>
                      </pic:pic>
                    </a:graphicData>
                  </a:graphic>
                </wp:inline>
              </w:drawing>
            </w:r>
          </w:p>
        </w:tc>
      </w:tr>
    </w:tbl>
    <w:p w:rsidR="00365BC5" w:rsidRPr="00B50A1B" w:rsidRDefault="00365BC5" w:rsidP="00CE43CE">
      <w:pPr>
        <w:pStyle w:val="Source"/>
        <w:rPr>
          <w:i/>
        </w:rPr>
      </w:pPr>
      <w:r>
        <w:t>S</w:t>
      </w:r>
      <w:r w:rsidRPr="00B50A1B">
        <w:t>ource:</w:t>
      </w:r>
      <w:r w:rsidRPr="00954EED">
        <w:t xml:space="preserve"> </w:t>
      </w:r>
      <w:r w:rsidRPr="00365BC5">
        <w:t xml:space="preserve">ACIL </w:t>
      </w:r>
      <w:r>
        <w:t>Allen</w:t>
      </w:r>
      <w:r w:rsidRPr="00365BC5">
        <w:t xml:space="preserve"> based on Treasury</w:t>
      </w:r>
      <w:r w:rsidR="00652324">
        <w:t>, AEMO, IMO and other sources</w:t>
      </w:r>
    </w:p>
    <w:p w:rsidR="00365BC5" w:rsidRDefault="00365BC5">
      <w:pPr>
        <w:pStyle w:val="Caption"/>
      </w:pPr>
      <w:bookmarkStart w:id="148" w:name="_Ref365543501"/>
      <w:bookmarkStart w:id="149" w:name="_Toc370394680"/>
      <w:r>
        <w:t xml:space="preserve">Figure </w:t>
      </w:r>
      <w:fldSimple w:instr=" SEQ Figure \* ARABIC ">
        <w:r w:rsidR="00660A8E">
          <w:rPr>
            <w:noProof/>
          </w:rPr>
          <w:t>10</w:t>
        </w:r>
      </w:fldSimple>
      <w:bookmarkEnd w:id="148"/>
      <w:r w:rsidRPr="004E0C91">
        <w:rPr>
          <w:b/>
          <w:color w:val="000080"/>
        </w:rPr>
        <w:tab/>
      </w:r>
      <w:r w:rsidRPr="00365BC5">
        <w:rPr>
          <w:rStyle w:val="CaptionLabel"/>
        </w:rPr>
        <w:t>Demand by grid – Central Policy scenario</w:t>
      </w:r>
      <w:bookmarkEnd w:id="14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365BC5" w:rsidTr="00CE43CE">
        <w:trPr>
          <w:cantSplit/>
        </w:trPr>
        <w:tc>
          <w:tcPr>
            <w:tcW w:w="5000" w:type="pct"/>
          </w:tcPr>
          <w:p w:rsidR="00365BC5" w:rsidRDefault="00365BC5" w:rsidP="00CE43CE">
            <w:pPr>
              <w:pStyle w:val="SmallDeltasRightAligned"/>
              <w:keepNext/>
            </w:pPr>
            <w:r>
              <w:rPr>
                <w:noProof/>
                <w:lang w:eastAsia="en-AU"/>
              </w:rPr>
              <w:drawing>
                <wp:inline distT="0" distB="0" distL="0" distR="0" wp14:anchorId="40F0BB1F" wp14:editId="6E476ACD">
                  <wp:extent cx="481585" cy="2346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65BC5" w:rsidTr="00CE43CE">
        <w:trPr>
          <w:cantSplit/>
        </w:trPr>
        <w:tc>
          <w:tcPr>
            <w:tcW w:w="5000" w:type="pct"/>
          </w:tcPr>
          <w:p w:rsidR="00365BC5" w:rsidRDefault="00365BC5" w:rsidP="00CE43CE">
            <w:pPr>
              <w:pStyle w:val="Figure"/>
            </w:pPr>
            <w:r>
              <w:rPr>
                <w:noProof/>
                <w:lang w:eastAsia="en-AU"/>
              </w:rPr>
              <w:drawing>
                <wp:inline distT="0" distB="0" distL="0" distR="0" wp14:anchorId="44D932CF" wp14:editId="5B7EFE19">
                  <wp:extent cx="4685030" cy="2528570"/>
                  <wp:effectExtent l="0" t="0" r="1270" b="508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5030" cy="2528570"/>
                          </a:xfrm>
                          <a:prstGeom prst="rect">
                            <a:avLst/>
                          </a:prstGeom>
                          <a:noFill/>
                          <a:ln>
                            <a:noFill/>
                          </a:ln>
                        </pic:spPr>
                      </pic:pic>
                    </a:graphicData>
                  </a:graphic>
                </wp:inline>
              </w:drawing>
            </w:r>
          </w:p>
        </w:tc>
      </w:tr>
    </w:tbl>
    <w:p w:rsidR="00365BC5" w:rsidRPr="00B50A1B" w:rsidRDefault="00365BC5" w:rsidP="00CE43CE">
      <w:pPr>
        <w:pStyle w:val="Source"/>
        <w:rPr>
          <w:i/>
        </w:rPr>
      </w:pPr>
      <w:r>
        <w:t>S</w:t>
      </w:r>
      <w:r w:rsidRPr="00B50A1B">
        <w:t>ource:</w:t>
      </w:r>
      <w:r w:rsidRPr="00954EED">
        <w:t xml:space="preserve"> </w:t>
      </w:r>
      <w:r w:rsidRPr="00365BC5">
        <w:t xml:space="preserve">ACIL </w:t>
      </w:r>
      <w:r>
        <w:t>Allen</w:t>
      </w:r>
      <w:r w:rsidRPr="00365BC5">
        <w:t xml:space="preserve"> based on Treasury</w:t>
      </w:r>
      <w:r w:rsidR="00652324">
        <w:t>, AEMO, IMO and other sources</w:t>
      </w:r>
    </w:p>
    <w:p w:rsidR="00365BC5" w:rsidRDefault="00365BC5" w:rsidP="00365BC5">
      <w:pPr>
        <w:pStyle w:val="Heading2"/>
        <w:pBdr>
          <w:bottom w:val="none" w:sz="0" w:space="0" w:color="auto"/>
        </w:pBdr>
      </w:pPr>
      <w:bookmarkStart w:id="150" w:name="_Toc365474044"/>
      <w:bookmarkStart w:id="151" w:name="_Toc370394654"/>
      <w:r>
        <w:t>Emissions and generation outcomes</w:t>
      </w:r>
      <w:bookmarkEnd w:id="150"/>
      <w:bookmarkEnd w:id="151"/>
    </w:p>
    <w:p w:rsidR="00365BC5" w:rsidRDefault="00365BC5" w:rsidP="00365BC5">
      <w:pPr>
        <w:pStyle w:val="BodyText"/>
      </w:pPr>
      <w:r>
        <w:t xml:space="preserve">The introduction of a carbon price in the Central Policy scenario results in a substantial reduction in emissions relative to the No Carbon Price scenario, as illustrated in </w:t>
      </w:r>
      <w:r w:rsidR="00450552">
        <w:fldChar w:fldCharType="begin"/>
      </w:r>
      <w:r w:rsidR="00450552">
        <w:instrText xml:space="preserve"> REF _Ref365543512 \h </w:instrText>
      </w:r>
      <w:r w:rsidR="00450552">
        <w:fldChar w:fldCharType="separate"/>
      </w:r>
      <w:r w:rsidR="00660A8E">
        <w:t xml:space="preserve">Figure </w:t>
      </w:r>
      <w:r w:rsidR="00660A8E">
        <w:rPr>
          <w:noProof/>
        </w:rPr>
        <w:t>11</w:t>
      </w:r>
      <w:r w:rsidR="00450552">
        <w:fldChar w:fldCharType="end"/>
      </w:r>
      <w:r>
        <w:t>. In both scenarios, emissions are relatively flat in the period to around 2020, due to muted demand growth and increasing penetration of large-scale renewables and rooftop solar generation. However, the path of emissions increasingly diverges from that point as demand growth and ongoing use of coal-fired generation sees substantial growth in emissions in the No Carbon Price scenario. Emissions rise from just over 200 Mt CO</w:t>
      </w:r>
      <w:r w:rsidRPr="00367724">
        <w:rPr>
          <w:vertAlign w:val="subscript"/>
        </w:rPr>
        <w:t>2</w:t>
      </w:r>
      <w:r>
        <w:t>-e to 248Mt CO</w:t>
      </w:r>
      <w:r w:rsidRPr="00367724">
        <w:rPr>
          <w:vertAlign w:val="subscript"/>
        </w:rPr>
        <w:t>2</w:t>
      </w:r>
      <w:r>
        <w:t>-e in 2029-30, and 337 Mt CO</w:t>
      </w:r>
      <w:r w:rsidRPr="00367724">
        <w:rPr>
          <w:vertAlign w:val="subscript"/>
        </w:rPr>
        <w:t>2</w:t>
      </w:r>
      <w:r>
        <w:t xml:space="preserve">-e in 2049-50. </w:t>
      </w:r>
    </w:p>
    <w:p w:rsidR="00365BC5" w:rsidRDefault="00365BC5" w:rsidP="00365BC5">
      <w:pPr>
        <w:pStyle w:val="BodyText"/>
      </w:pPr>
      <w:r>
        <w:t>By contrast, emissions in the Central Policy scenario are essentially flat to 2029-30, reaching 195 Mt CO</w:t>
      </w:r>
      <w:r w:rsidRPr="00367724">
        <w:rPr>
          <w:vertAlign w:val="subscript"/>
        </w:rPr>
        <w:t>2</w:t>
      </w:r>
      <w:r>
        <w:t>-e in that year (53Mt CO</w:t>
      </w:r>
      <w:r w:rsidRPr="00367724">
        <w:rPr>
          <w:vertAlign w:val="subscript"/>
        </w:rPr>
        <w:t>2</w:t>
      </w:r>
      <w:r>
        <w:t xml:space="preserve">-e lower than the No Carbon Price scenario) </w:t>
      </w:r>
      <w:r>
        <w:lastRenderedPageBreak/>
        <w:t xml:space="preserve">as the carbon price motivates a move towards lower-emissions generators, offsetting the effect of (slowly) growing electricity demand. </w:t>
      </w:r>
    </w:p>
    <w:p w:rsidR="00365BC5" w:rsidRDefault="00365BC5" w:rsidP="00365BC5">
      <w:pPr>
        <w:pStyle w:val="BodyText"/>
      </w:pPr>
      <w:r>
        <w:t>After 2029-30, particularly from around 2033-34, the scenarios diverge even more dramatically. Emissions under the Central Policy scenario reduce substantially as the higher carbon price and reductions in costs for technologies such as solar PV motivate large-scale adoption of low emissions generation technologies. The associated reduction in the emissions-intensity of electricity supply sees Australia’s electricity sector emissions reduce to 108 Mt CO</w:t>
      </w:r>
      <w:r w:rsidRPr="00367724">
        <w:rPr>
          <w:vertAlign w:val="subscript"/>
        </w:rPr>
        <w:t>2</w:t>
      </w:r>
      <w:r>
        <w:t>-e by 2049-50, or around 229 Mt CO</w:t>
      </w:r>
      <w:r w:rsidRPr="00367724">
        <w:rPr>
          <w:vertAlign w:val="subscript"/>
        </w:rPr>
        <w:t>2</w:t>
      </w:r>
      <w:r>
        <w:t>-e lower than in the No Carbon Price scenario.</w:t>
      </w:r>
    </w:p>
    <w:p w:rsidR="00365BC5" w:rsidRDefault="00365BC5">
      <w:pPr>
        <w:pStyle w:val="Caption"/>
      </w:pPr>
      <w:bookmarkStart w:id="152" w:name="_Ref365543512"/>
      <w:bookmarkStart w:id="153" w:name="_Toc370394681"/>
      <w:r>
        <w:t xml:space="preserve">Figure </w:t>
      </w:r>
      <w:fldSimple w:instr=" SEQ Figure \* ARABIC ">
        <w:r w:rsidR="00660A8E">
          <w:rPr>
            <w:noProof/>
          </w:rPr>
          <w:t>11</w:t>
        </w:r>
      </w:fldSimple>
      <w:bookmarkEnd w:id="152"/>
      <w:r w:rsidRPr="004E0C91">
        <w:rPr>
          <w:b/>
          <w:color w:val="000080"/>
        </w:rPr>
        <w:tab/>
      </w:r>
      <w:r w:rsidRPr="00365BC5">
        <w:rPr>
          <w:rStyle w:val="CaptionLabel"/>
        </w:rPr>
        <w:t xml:space="preserve">Aggregate emissions – </w:t>
      </w:r>
      <w:r w:rsidR="00D373A7">
        <w:rPr>
          <w:rStyle w:val="CaptionLabel"/>
        </w:rPr>
        <w:t>No Carbon Price</w:t>
      </w:r>
      <w:r w:rsidRPr="00365BC5">
        <w:rPr>
          <w:rStyle w:val="CaptionLabel"/>
        </w:rPr>
        <w:t xml:space="preserve"> and Central Policy scenarios</w:t>
      </w:r>
      <w:bookmarkEnd w:id="15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365BC5" w:rsidTr="00CE43CE">
        <w:trPr>
          <w:cantSplit/>
        </w:trPr>
        <w:tc>
          <w:tcPr>
            <w:tcW w:w="5000" w:type="pct"/>
          </w:tcPr>
          <w:p w:rsidR="00365BC5" w:rsidRDefault="00365BC5" w:rsidP="00CE43CE">
            <w:pPr>
              <w:pStyle w:val="SmallDeltasRightAligned"/>
              <w:keepNext/>
            </w:pPr>
            <w:r>
              <w:rPr>
                <w:noProof/>
                <w:lang w:eastAsia="en-AU"/>
              </w:rPr>
              <w:drawing>
                <wp:inline distT="0" distB="0" distL="0" distR="0" wp14:anchorId="31E6E930" wp14:editId="028CA3B1">
                  <wp:extent cx="481585" cy="2346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65BC5" w:rsidTr="00CE43CE">
        <w:trPr>
          <w:cantSplit/>
        </w:trPr>
        <w:tc>
          <w:tcPr>
            <w:tcW w:w="5000" w:type="pct"/>
          </w:tcPr>
          <w:p w:rsidR="00365BC5" w:rsidRDefault="00365BC5" w:rsidP="00CE43CE">
            <w:pPr>
              <w:pStyle w:val="Figure"/>
            </w:pPr>
            <w:r>
              <w:rPr>
                <w:noProof/>
                <w:lang w:eastAsia="en-AU"/>
              </w:rPr>
              <w:drawing>
                <wp:inline distT="0" distB="0" distL="0" distR="0" wp14:anchorId="68707B30" wp14:editId="3E32E1FE">
                  <wp:extent cx="4673600" cy="240474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365BC5" w:rsidRPr="00B50A1B" w:rsidRDefault="00365BC5" w:rsidP="00CE43CE">
      <w:pPr>
        <w:pStyle w:val="Source"/>
        <w:rPr>
          <w:i/>
        </w:rPr>
      </w:pPr>
      <w:r>
        <w:t>S</w:t>
      </w:r>
      <w:r w:rsidRPr="00B50A1B">
        <w:t>ource:</w:t>
      </w:r>
      <w:r w:rsidRPr="00954EED">
        <w:t xml:space="preserve"> </w:t>
      </w:r>
      <w:r>
        <w:t>ACIL Allen</w:t>
      </w:r>
    </w:p>
    <w:p w:rsidR="00365BC5" w:rsidRDefault="00365BC5" w:rsidP="00365BC5">
      <w:pPr>
        <w:pStyle w:val="BodyText"/>
      </w:pPr>
      <w:r>
        <w:t xml:space="preserve">The carbon price has two key effects on emissions. Firstly, it reduces electricity demand relative to the No Carbon Price scenario (see </w:t>
      </w:r>
      <w:r w:rsidR="00450552">
        <w:fldChar w:fldCharType="begin"/>
      </w:r>
      <w:r w:rsidR="00450552">
        <w:instrText xml:space="preserve"> REF _Ref365543488 \h </w:instrText>
      </w:r>
      <w:r w:rsidR="00450552">
        <w:fldChar w:fldCharType="separate"/>
      </w:r>
      <w:r w:rsidR="00660A8E">
        <w:t xml:space="preserve">Figure </w:t>
      </w:r>
      <w:r w:rsidR="00660A8E">
        <w:rPr>
          <w:noProof/>
        </w:rPr>
        <w:t>8</w:t>
      </w:r>
      <w:r w:rsidR="00450552">
        <w:fldChar w:fldCharType="end"/>
      </w:r>
      <w:r>
        <w:t xml:space="preserve">). Secondly, and in the long-run more significantly, it changes the mix of generation technologies employed towards lower-emissions technologies. Whereas in the No Carbon Price scenario the ongoing growth in electricity demand is largely met by coal-fired generation, in the Central Policy scenario gas, wind, solar, geothermal and CCS technologies are employed to a greater extent. This occurs because the carbon price changes the relative price of high- and low-emissions technologies, encouraging substitution towards the latter. </w:t>
      </w:r>
    </w:p>
    <w:p w:rsidR="00365BC5" w:rsidRDefault="00365BC5" w:rsidP="00365BC5">
      <w:pPr>
        <w:pStyle w:val="BodyText"/>
      </w:pPr>
      <w:r>
        <w:t xml:space="preserve">This can be seen by examining the generation trends by fuel type in the </w:t>
      </w:r>
      <w:r w:rsidR="00D373A7">
        <w:t>No Carbon Price</w:t>
      </w:r>
      <w:r>
        <w:t xml:space="preserve"> and Central Policy scenarios separately.</w:t>
      </w:r>
    </w:p>
    <w:p w:rsidR="00365BC5" w:rsidRDefault="00365BC5" w:rsidP="00365BC5">
      <w:pPr>
        <w:pStyle w:val="BodyText"/>
      </w:pPr>
      <w:r>
        <w:t xml:space="preserve">As </w:t>
      </w:r>
      <w:r w:rsidR="00450552">
        <w:fldChar w:fldCharType="begin"/>
      </w:r>
      <w:r w:rsidR="00450552">
        <w:instrText xml:space="preserve"> REF _Ref365543537 \h </w:instrText>
      </w:r>
      <w:r w:rsidR="00450552">
        <w:fldChar w:fldCharType="separate"/>
      </w:r>
      <w:r w:rsidR="00660A8E">
        <w:t xml:space="preserve">Figure </w:t>
      </w:r>
      <w:r w:rsidR="00660A8E">
        <w:rPr>
          <w:noProof/>
        </w:rPr>
        <w:t>12</w:t>
      </w:r>
      <w:r w:rsidR="00450552">
        <w:fldChar w:fldCharType="end"/>
      </w:r>
      <w:r>
        <w:t xml:space="preserve"> shows, the predominant trend in generation in the No Carbon Price scenario is ongoing growth in black and brown coal. Whilst growth in wind occurs until around 2020, and there is some growth in solar (largely rooftop) generation, the technology shares remain largely unchanged from the initial supply mix. This in turn implies growing emissions, as shown in </w:t>
      </w:r>
      <w:r w:rsidR="00450552">
        <w:fldChar w:fldCharType="begin"/>
      </w:r>
      <w:r w:rsidR="00450552">
        <w:instrText xml:space="preserve"> REF _Ref365543546 \h </w:instrText>
      </w:r>
      <w:r w:rsidR="00450552">
        <w:fldChar w:fldCharType="separate"/>
      </w:r>
      <w:r w:rsidR="00660A8E">
        <w:t xml:space="preserve">Figure </w:t>
      </w:r>
      <w:r w:rsidR="00660A8E">
        <w:rPr>
          <w:noProof/>
        </w:rPr>
        <w:t>13</w:t>
      </w:r>
      <w:r w:rsidR="00450552">
        <w:fldChar w:fldCharType="end"/>
      </w:r>
      <w:r>
        <w:t xml:space="preserve"> (by fuel) or </w:t>
      </w:r>
      <w:r w:rsidR="00450552">
        <w:fldChar w:fldCharType="begin"/>
      </w:r>
      <w:r w:rsidR="00450552">
        <w:instrText xml:space="preserve"> REF _Ref365543552 \h </w:instrText>
      </w:r>
      <w:r w:rsidR="00450552">
        <w:fldChar w:fldCharType="separate"/>
      </w:r>
      <w:r w:rsidR="00660A8E">
        <w:t xml:space="preserve">Figure </w:t>
      </w:r>
      <w:r w:rsidR="00660A8E">
        <w:rPr>
          <w:noProof/>
        </w:rPr>
        <w:t>14</w:t>
      </w:r>
      <w:r w:rsidR="00450552">
        <w:fldChar w:fldCharType="end"/>
      </w:r>
      <w:r>
        <w:t xml:space="preserve"> (by major grid).</w:t>
      </w:r>
    </w:p>
    <w:p w:rsidR="00365BC5" w:rsidRDefault="00365BC5">
      <w:pPr>
        <w:pStyle w:val="Caption"/>
      </w:pPr>
      <w:bookmarkStart w:id="154" w:name="_Ref365543537"/>
      <w:bookmarkStart w:id="155" w:name="_Toc370394682"/>
      <w:r>
        <w:lastRenderedPageBreak/>
        <w:t xml:space="preserve">Figure </w:t>
      </w:r>
      <w:fldSimple w:instr=" SEQ Figure \* ARABIC ">
        <w:r w:rsidR="00660A8E">
          <w:rPr>
            <w:noProof/>
          </w:rPr>
          <w:t>12</w:t>
        </w:r>
      </w:fldSimple>
      <w:bookmarkEnd w:id="154"/>
      <w:r w:rsidRPr="004E0C91">
        <w:rPr>
          <w:b/>
          <w:color w:val="000080"/>
        </w:rPr>
        <w:tab/>
      </w:r>
      <w:r w:rsidRPr="00365BC5">
        <w:rPr>
          <w:rStyle w:val="CaptionLabel"/>
        </w:rPr>
        <w:t>Generation by fuel type – No Carbon Price scenario</w:t>
      </w:r>
      <w:bookmarkEnd w:id="155"/>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365BC5" w:rsidTr="00CE43CE">
        <w:trPr>
          <w:cantSplit/>
        </w:trPr>
        <w:tc>
          <w:tcPr>
            <w:tcW w:w="5000" w:type="pct"/>
          </w:tcPr>
          <w:p w:rsidR="00365BC5" w:rsidRDefault="00365BC5" w:rsidP="00CE43CE">
            <w:pPr>
              <w:pStyle w:val="SmallDeltasRightAligned"/>
              <w:keepNext/>
            </w:pPr>
            <w:r>
              <w:rPr>
                <w:noProof/>
                <w:lang w:eastAsia="en-AU"/>
              </w:rPr>
              <w:drawing>
                <wp:inline distT="0" distB="0" distL="0" distR="0" wp14:anchorId="411499ED" wp14:editId="4E61EBF8">
                  <wp:extent cx="481585" cy="2346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365BC5" w:rsidTr="00CE43CE">
        <w:trPr>
          <w:cantSplit/>
        </w:trPr>
        <w:tc>
          <w:tcPr>
            <w:tcW w:w="5000" w:type="pct"/>
          </w:tcPr>
          <w:p w:rsidR="00365BC5" w:rsidRDefault="00365BC5" w:rsidP="00CE43CE">
            <w:pPr>
              <w:pStyle w:val="Figure"/>
            </w:pPr>
            <w:r>
              <w:rPr>
                <w:noProof/>
                <w:lang w:eastAsia="en-AU"/>
              </w:rPr>
              <w:drawing>
                <wp:inline distT="0" distB="0" distL="0" distR="0" wp14:anchorId="1DA65EE4" wp14:editId="1293037C">
                  <wp:extent cx="4673600" cy="331914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3600" cy="3319145"/>
                          </a:xfrm>
                          <a:prstGeom prst="rect">
                            <a:avLst/>
                          </a:prstGeom>
                          <a:noFill/>
                          <a:ln>
                            <a:noFill/>
                          </a:ln>
                        </pic:spPr>
                      </pic:pic>
                    </a:graphicData>
                  </a:graphic>
                </wp:inline>
              </w:drawing>
            </w:r>
          </w:p>
        </w:tc>
      </w:tr>
    </w:tbl>
    <w:p w:rsidR="00365BC5" w:rsidRPr="00B50A1B" w:rsidRDefault="00C31AFF" w:rsidP="00CE43CE">
      <w:pPr>
        <w:pStyle w:val="Source"/>
        <w:rPr>
          <w:i/>
        </w:rPr>
      </w:pPr>
      <w:r>
        <w:t>S</w:t>
      </w:r>
      <w:r w:rsidRPr="00B50A1B">
        <w:t>ource:</w:t>
      </w:r>
      <w:r w:rsidRPr="00954EED">
        <w:t xml:space="preserve"> </w:t>
      </w:r>
      <w:r>
        <w:t>ACIL Allen</w:t>
      </w:r>
    </w:p>
    <w:p w:rsidR="00C31AFF" w:rsidRDefault="00C31AFF">
      <w:pPr>
        <w:pStyle w:val="Caption"/>
      </w:pPr>
      <w:bookmarkStart w:id="156" w:name="_Ref365543546"/>
      <w:bookmarkStart w:id="157" w:name="_Toc370394683"/>
      <w:r>
        <w:t xml:space="preserve">Figure </w:t>
      </w:r>
      <w:fldSimple w:instr=" SEQ Figure \* ARABIC ">
        <w:r w:rsidR="00660A8E">
          <w:rPr>
            <w:noProof/>
          </w:rPr>
          <w:t>13</w:t>
        </w:r>
      </w:fldSimple>
      <w:bookmarkEnd w:id="156"/>
      <w:r w:rsidRPr="004E0C91">
        <w:rPr>
          <w:b/>
          <w:color w:val="000080"/>
        </w:rPr>
        <w:tab/>
      </w:r>
      <w:r w:rsidRPr="00C31AFF">
        <w:rPr>
          <w:rStyle w:val="CaptionLabel"/>
        </w:rPr>
        <w:t>Emissions by fuel type – No Carbon Price scenario</w:t>
      </w:r>
      <w:bookmarkEnd w:id="157"/>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C31AFF" w:rsidTr="00CE43CE">
        <w:trPr>
          <w:cantSplit/>
        </w:trPr>
        <w:tc>
          <w:tcPr>
            <w:tcW w:w="5000" w:type="pct"/>
          </w:tcPr>
          <w:p w:rsidR="00C31AFF" w:rsidRDefault="00C31AFF" w:rsidP="00CE43CE">
            <w:pPr>
              <w:pStyle w:val="SmallDeltasRightAligned"/>
              <w:keepNext/>
            </w:pPr>
            <w:r>
              <w:rPr>
                <w:noProof/>
                <w:lang w:eastAsia="en-AU"/>
              </w:rPr>
              <w:drawing>
                <wp:inline distT="0" distB="0" distL="0" distR="0" wp14:anchorId="2CF9576F" wp14:editId="749BF751">
                  <wp:extent cx="481585" cy="2346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31AFF" w:rsidTr="00CE43CE">
        <w:trPr>
          <w:cantSplit/>
        </w:trPr>
        <w:tc>
          <w:tcPr>
            <w:tcW w:w="5000" w:type="pct"/>
          </w:tcPr>
          <w:p w:rsidR="00C31AFF" w:rsidRDefault="00C31AFF" w:rsidP="00CE43CE">
            <w:pPr>
              <w:pStyle w:val="Figure"/>
            </w:pPr>
            <w:r>
              <w:rPr>
                <w:noProof/>
                <w:lang w:eastAsia="en-AU"/>
              </w:rPr>
              <w:drawing>
                <wp:inline distT="0" distB="0" distL="0" distR="0" wp14:anchorId="1E6BCEE5" wp14:editId="28ECF365">
                  <wp:extent cx="4673600" cy="331914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73600" cy="3319145"/>
                          </a:xfrm>
                          <a:prstGeom prst="rect">
                            <a:avLst/>
                          </a:prstGeom>
                          <a:noFill/>
                          <a:ln>
                            <a:noFill/>
                          </a:ln>
                        </pic:spPr>
                      </pic:pic>
                    </a:graphicData>
                  </a:graphic>
                </wp:inline>
              </w:drawing>
            </w:r>
          </w:p>
        </w:tc>
      </w:tr>
    </w:tbl>
    <w:p w:rsidR="00C31AFF" w:rsidRPr="00B50A1B" w:rsidRDefault="00C31AFF" w:rsidP="00CE43CE">
      <w:pPr>
        <w:pStyle w:val="Source"/>
        <w:rPr>
          <w:i/>
        </w:rPr>
      </w:pPr>
      <w:r>
        <w:t>S</w:t>
      </w:r>
      <w:r w:rsidRPr="00B50A1B">
        <w:t>ource:</w:t>
      </w:r>
      <w:r w:rsidRPr="00954EED">
        <w:t xml:space="preserve"> </w:t>
      </w:r>
      <w:r>
        <w:t>ACIL Allen</w:t>
      </w:r>
    </w:p>
    <w:p w:rsidR="00C31AFF" w:rsidRDefault="00C31AFF">
      <w:pPr>
        <w:pStyle w:val="Caption"/>
      </w:pPr>
      <w:bookmarkStart w:id="158" w:name="_Ref365543552"/>
      <w:bookmarkStart w:id="159" w:name="_Toc370394684"/>
      <w:r>
        <w:lastRenderedPageBreak/>
        <w:t xml:space="preserve">Figure </w:t>
      </w:r>
      <w:fldSimple w:instr=" SEQ Figure \* ARABIC ">
        <w:r w:rsidR="00660A8E">
          <w:rPr>
            <w:noProof/>
          </w:rPr>
          <w:t>14</w:t>
        </w:r>
      </w:fldSimple>
      <w:bookmarkEnd w:id="158"/>
      <w:r w:rsidRPr="004E0C91">
        <w:rPr>
          <w:b/>
          <w:color w:val="000080"/>
        </w:rPr>
        <w:tab/>
      </w:r>
      <w:r w:rsidRPr="00C31AFF">
        <w:rPr>
          <w:rStyle w:val="CaptionLabel"/>
        </w:rPr>
        <w:t>Emissions by grid – No Carbon Price scenario</w:t>
      </w:r>
      <w:bookmarkEnd w:id="15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C31AFF" w:rsidTr="00CE43CE">
        <w:trPr>
          <w:cantSplit/>
        </w:trPr>
        <w:tc>
          <w:tcPr>
            <w:tcW w:w="5000" w:type="pct"/>
          </w:tcPr>
          <w:p w:rsidR="00C31AFF" w:rsidRDefault="00C31AFF" w:rsidP="00CE43CE">
            <w:pPr>
              <w:pStyle w:val="SmallDeltasRightAligned"/>
              <w:keepNext/>
            </w:pPr>
            <w:r>
              <w:rPr>
                <w:noProof/>
                <w:lang w:eastAsia="en-AU"/>
              </w:rPr>
              <w:drawing>
                <wp:inline distT="0" distB="0" distL="0" distR="0" wp14:anchorId="2542391E" wp14:editId="7895FC0D">
                  <wp:extent cx="481585" cy="2346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31AFF" w:rsidTr="00CE43CE">
        <w:trPr>
          <w:cantSplit/>
        </w:trPr>
        <w:tc>
          <w:tcPr>
            <w:tcW w:w="5000" w:type="pct"/>
          </w:tcPr>
          <w:p w:rsidR="00C31AFF" w:rsidRDefault="00C31AFF" w:rsidP="00CE43CE">
            <w:pPr>
              <w:pStyle w:val="Figure"/>
            </w:pPr>
            <w:r>
              <w:rPr>
                <w:noProof/>
                <w:lang w:eastAsia="en-AU"/>
              </w:rPr>
              <w:drawing>
                <wp:inline distT="0" distB="0" distL="0" distR="0" wp14:anchorId="2CF37BDB" wp14:editId="13E34113">
                  <wp:extent cx="4678680" cy="3063240"/>
                  <wp:effectExtent l="0" t="0" r="762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78680" cy="3063240"/>
                          </a:xfrm>
                          <a:prstGeom prst="rect">
                            <a:avLst/>
                          </a:prstGeom>
                          <a:noFill/>
                          <a:ln>
                            <a:noFill/>
                          </a:ln>
                        </pic:spPr>
                      </pic:pic>
                    </a:graphicData>
                  </a:graphic>
                </wp:inline>
              </w:drawing>
            </w:r>
          </w:p>
        </w:tc>
      </w:tr>
    </w:tbl>
    <w:p w:rsidR="00C31AFF" w:rsidRPr="00B50A1B" w:rsidRDefault="00C31AFF" w:rsidP="00CE43CE">
      <w:pPr>
        <w:pStyle w:val="Source"/>
        <w:rPr>
          <w:i/>
        </w:rPr>
      </w:pPr>
      <w:r>
        <w:t>S</w:t>
      </w:r>
      <w:r w:rsidRPr="00B50A1B">
        <w:t>ource:</w:t>
      </w:r>
      <w:r w:rsidRPr="00954EED">
        <w:t xml:space="preserve"> </w:t>
      </w:r>
      <w:r>
        <w:t>ACIL Allen</w:t>
      </w:r>
    </w:p>
    <w:p w:rsidR="00C31AFF" w:rsidRDefault="00C31AFF" w:rsidP="00C31AFF">
      <w:pPr>
        <w:pStyle w:val="BodyText"/>
      </w:pPr>
      <w:r>
        <w:t xml:space="preserve">By contrast, the Central Policy scenario sees a growing share for baseload gas generation (consisting of new CCGT generation and some incumbent gas plant) after 2019-20, and substantial growth in both wind (up to 2019-20) and solar (after 2034-35). Wind continues to grow beyond the levels required to satisfy the LRET, driven by rising wholesale prices and ongoing cost reductions. Solar initially grows predominantly through rooftop installations, but beyond 2030 dramatic cost reductions see it meet a large share of demand through the wholesale market. Geothermal generation also takes an increasing share of supply, particularly beyond 2040. These trends are illustrated in </w:t>
      </w:r>
      <w:r w:rsidR="00450552">
        <w:fldChar w:fldCharType="begin"/>
      </w:r>
      <w:r w:rsidR="00450552">
        <w:instrText xml:space="preserve"> REF _Ref365543566 \h </w:instrText>
      </w:r>
      <w:r w:rsidR="00450552">
        <w:fldChar w:fldCharType="separate"/>
      </w:r>
      <w:r w:rsidR="00660A8E">
        <w:t xml:space="preserve">Figure </w:t>
      </w:r>
      <w:r w:rsidR="00660A8E">
        <w:rPr>
          <w:noProof/>
        </w:rPr>
        <w:t>15</w:t>
      </w:r>
      <w:r w:rsidR="00450552">
        <w:fldChar w:fldCharType="end"/>
      </w:r>
      <w:r>
        <w:t>.</w:t>
      </w:r>
    </w:p>
    <w:p w:rsidR="00C31AFF" w:rsidRDefault="00C31AFF">
      <w:pPr>
        <w:pStyle w:val="Caption"/>
      </w:pPr>
      <w:bookmarkStart w:id="160" w:name="_Ref365543566"/>
      <w:bookmarkStart w:id="161" w:name="_Toc370394685"/>
      <w:r>
        <w:lastRenderedPageBreak/>
        <w:t xml:space="preserve">Figure </w:t>
      </w:r>
      <w:fldSimple w:instr=" SEQ Figure \* ARABIC ">
        <w:r w:rsidR="00660A8E">
          <w:rPr>
            <w:noProof/>
          </w:rPr>
          <w:t>15</w:t>
        </w:r>
      </w:fldSimple>
      <w:bookmarkEnd w:id="160"/>
      <w:r w:rsidRPr="004E0C91">
        <w:rPr>
          <w:b/>
          <w:color w:val="000080"/>
        </w:rPr>
        <w:tab/>
      </w:r>
      <w:r w:rsidRPr="00C31AFF">
        <w:rPr>
          <w:rStyle w:val="CaptionLabel"/>
        </w:rPr>
        <w:t>Generation by fuel type – Central Policy scenario</w:t>
      </w:r>
      <w:bookmarkEnd w:id="16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C31AFF" w:rsidTr="00CE43CE">
        <w:trPr>
          <w:cantSplit/>
        </w:trPr>
        <w:tc>
          <w:tcPr>
            <w:tcW w:w="5000" w:type="pct"/>
          </w:tcPr>
          <w:p w:rsidR="00C31AFF" w:rsidRDefault="00C31AFF" w:rsidP="00CE43CE">
            <w:pPr>
              <w:pStyle w:val="SmallDeltasRightAligned"/>
              <w:keepNext/>
            </w:pPr>
            <w:r>
              <w:rPr>
                <w:noProof/>
                <w:lang w:eastAsia="en-AU"/>
              </w:rPr>
              <w:drawing>
                <wp:inline distT="0" distB="0" distL="0" distR="0" wp14:anchorId="10443871" wp14:editId="243605EB">
                  <wp:extent cx="481585" cy="2346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31AFF" w:rsidTr="00CE43CE">
        <w:trPr>
          <w:cantSplit/>
        </w:trPr>
        <w:tc>
          <w:tcPr>
            <w:tcW w:w="5000" w:type="pct"/>
          </w:tcPr>
          <w:p w:rsidR="00C31AFF" w:rsidRDefault="00C31AFF" w:rsidP="00CE43CE">
            <w:pPr>
              <w:pStyle w:val="Figure"/>
            </w:pPr>
            <w:r>
              <w:rPr>
                <w:noProof/>
                <w:lang w:eastAsia="en-AU"/>
              </w:rPr>
              <w:drawing>
                <wp:inline distT="0" distB="0" distL="0" distR="0" wp14:anchorId="478DCB0F" wp14:editId="25B3CB41">
                  <wp:extent cx="4673600" cy="331914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3600" cy="3319145"/>
                          </a:xfrm>
                          <a:prstGeom prst="rect">
                            <a:avLst/>
                          </a:prstGeom>
                          <a:noFill/>
                          <a:ln>
                            <a:noFill/>
                          </a:ln>
                        </pic:spPr>
                      </pic:pic>
                    </a:graphicData>
                  </a:graphic>
                </wp:inline>
              </w:drawing>
            </w:r>
          </w:p>
        </w:tc>
      </w:tr>
    </w:tbl>
    <w:p w:rsidR="00C31AFF" w:rsidRPr="00B50A1B" w:rsidRDefault="00C31AFF" w:rsidP="00CE43CE">
      <w:pPr>
        <w:pStyle w:val="Source"/>
        <w:rPr>
          <w:i/>
        </w:rPr>
      </w:pPr>
      <w:r>
        <w:t>S</w:t>
      </w:r>
      <w:r w:rsidRPr="00B50A1B">
        <w:t>ource:</w:t>
      </w:r>
      <w:r w:rsidRPr="00954EED">
        <w:t xml:space="preserve"> </w:t>
      </w:r>
      <w:r>
        <w:t>ACIL Allen</w:t>
      </w:r>
    </w:p>
    <w:p w:rsidR="00C31AFF" w:rsidRDefault="00C31AFF" w:rsidP="00C31AFF">
      <w:pPr>
        <w:pStyle w:val="BodyText"/>
      </w:pPr>
      <w:r>
        <w:t xml:space="preserve">Broadly, this scenario illustrates three distinct periods in terms of emissions trends. Initially, flat electricity demand and the requirements of the LRET cause a slight decline in aggregate emissions, until the early 2020s. For approximately the subsequent decade, the influence of the LRET reduces (as its target is fully met) and the carbon price is insufficient to significantly change the supply mix, resulting in a slight increase in emissions. However, commencing around 2033-34, emissions begin rapidly declining due to increases in baseload gas and solar generation, with wind, black coal with CCS and geothermal also making smaller contributions to the emissions reduction task. This pattern is illustrated in </w:t>
      </w:r>
      <w:r w:rsidR="00450552">
        <w:fldChar w:fldCharType="begin"/>
      </w:r>
      <w:r w:rsidR="00450552">
        <w:instrText xml:space="preserve"> REF _Ref365543577 \h </w:instrText>
      </w:r>
      <w:r w:rsidR="00450552">
        <w:fldChar w:fldCharType="separate"/>
      </w:r>
      <w:r w:rsidR="00660A8E">
        <w:t xml:space="preserve">Figure </w:t>
      </w:r>
      <w:r w:rsidR="00660A8E">
        <w:rPr>
          <w:noProof/>
        </w:rPr>
        <w:t>16</w:t>
      </w:r>
      <w:r w:rsidR="00450552">
        <w:fldChar w:fldCharType="end"/>
      </w:r>
      <w:r w:rsidR="00870E54">
        <w:t xml:space="preserve"> (with emissions broken down by fuel) and </w:t>
      </w:r>
      <w:r w:rsidR="00870E54">
        <w:fldChar w:fldCharType="begin"/>
      </w:r>
      <w:r w:rsidR="00870E54">
        <w:instrText xml:space="preserve"> REF _Ref365647566 \h </w:instrText>
      </w:r>
      <w:r w:rsidR="00870E54">
        <w:fldChar w:fldCharType="separate"/>
      </w:r>
      <w:r w:rsidR="00660A8E">
        <w:t xml:space="preserve">Figure </w:t>
      </w:r>
      <w:r w:rsidR="00660A8E">
        <w:rPr>
          <w:noProof/>
        </w:rPr>
        <w:t>17</w:t>
      </w:r>
      <w:r w:rsidR="00870E54">
        <w:fldChar w:fldCharType="end"/>
      </w:r>
      <w:r w:rsidR="00870E54">
        <w:t xml:space="preserve"> (with emissions broken down by grid).</w:t>
      </w:r>
    </w:p>
    <w:p w:rsidR="00C31AFF" w:rsidRDefault="00C31AFF">
      <w:pPr>
        <w:pStyle w:val="Caption"/>
      </w:pPr>
      <w:bookmarkStart w:id="162" w:name="_Ref365543577"/>
      <w:bookmarkStart w:id="163" w:name="_Toc370394686"/>
      <w:r>
        <w:lastRenderedPageBreak/>
        <w:t xml:space="preserve">Figure </w:t>
      </w:r>
      <w:fldSimple w:instr=" SEQ Figure \* ARABIC ">
        <w:r w:rsidR="00660A8E">
          <w:rPr>
            <w:noProof/>
          </w:rPr>
          <w:t>16</w:t>
        </w:r>
      </w:fldSimple>
      <w:bookmarkEnd w:id="162"/>
      <w:r w:rsidRPr="004E0C91">
        <w:rPr>
          <w:b/>
          <w:color w:val="000080"/>
        </w:rPr>
        <w:tab/>
      </w:r>
      <w:r w:rsidRPr="00C31AFF">
        <w:rPr>
          <w:rStyle w:val="CaptionLabel"/>
        </w:rPr>
        <w:t>Emissions by fuel type – Central Policy scenario</w:t>
      </w:r>
      <w:bookmarkEnd w:id="16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C31AFF" w:rsidTr="00CE43CE">
        <w:trPr>
          <w:cantSplit/>
        </w:trPr>
        <w:tc>
          <w:tcPr>
            <w:tcW w:w="5000" w:type="pct"/>
          </w:tcPr>
          <w:p w:rsidR="00C31AFF" w:rsidRDefault="00C31AFF" w:rsidP="00CE43CE">
            <w:pPr>
              <w:pStyle w:val="SmallDeltasRightAligned"/>
              <w:keepNext/>
            </w:pPr>
            <w:r>
              <w:rPr>
                <w:noProof/>
                <w:lang w:eastAsia="en-AU"/>
              </w:rPr>
              <w:drawing>
                <wp:inline distT="0" distB="0" distL="0" distR="0" wp14:anchorId="7D89370E" wp14:editId="14120801">
                  <wp:extent cx="481585" cy="2346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31AFF" w:rsidTr="00CE43CE">
        <w:trPr>
          <w:cantSplit/>
        </w:trPr>
        <w:tc>
          <w:tcPr>
            <w:tcW w:w="5000" w:type="pct"/>
          </w:tcPr>
          <w:p w:rsidR="00C31AFF" w:rsidRDefault="00C31AFF" w:rsidP="00CE43CE">
            <w:pPr>
              <w:pStyle w:val="Figure"/>
            </w:pPr>
            <w:r>
              <w:rPr>
                <w:noProof/>
                <w:lang w:eastAsia="en-AU"/>
              </w:rPr>
              <w:drawing>
                <wp:inline distT="0" distB="0" distL="0" distR="0" wp14:anchorId="12C9C1D8" wp14:editId="611E26C7">
                  <wp:extent cx="4673600" cy="331914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73600" cy="3319145"/>
                          </a:xfrm>
                          <a:prstGeom prst="rect">
                            <a:avLst/>
                          </a:prstGeom>
                          <a:noFill/>
                          <a:ln>
                            <a:noFill/>
                          </a:ln>
                        </pic:spPr>
                      </pic:pic>
                    </a:graphicData>
                  </a:graphic>
                </wp:inline>
              </w:drawing>
            </w:r>
          </w:p>
        </w:tc>
      </w:tr>
    </w:tbl>
    <w:p w:rsidR="00C31AFF" w:rsidRPr="00B50A1B" w:rsidRDefault="00C31AFF" w:rsidP="00CE43CE">
      <w:pPr>
        <w:pStyle w:val="Source"/>
        <w:rPr>
          <w:i/>
        </w:rPr>
      </w:pPr>
      <w:r>
        <w:t>S</w:t>
      </w:r>
      <w:r w:rsidRPr="00B50A1B">
        <w:t>ource:</w:t>
      </w:r>
      <w:r w:rsidRPr="00954EED">
        <w:t xml:space="preserve"> </w:t>
      </w:r>
      <w:r>
        <w:t>ACIL Allen</w:t>
      </w:r>
    </w:p>
    <w:p w:rsidR="00C31AFF" w:rsidRDefault="00C31AFF">
      <w:pPr>
        <w:pStyle w:val="Caption"/>
      </w:pPr>
      <w:bookmarkStart w:id="164" w:name="_Ref365647566"/>
      <w:bookmarkStart w:id="165" w:name="_Toc370394687"/>
      <w:r>
        <w:t xml:space="preserve">Figure </w:t>
      </w:r>
      <w:fldSimple w:instr=" SEQ Figure \* ARABIC ">
        <w:r w:rsidR="00660A8E">
          <w:rPr>
            <w:noProof/>
          </w:rPr>
          <w:t>17</w:t>
        </w:r>
      </w:fldSimple>
      <w:bookmarkEnd w:id="164"/>
      <w:r w:rsidRPr="004E0C91">
        <w:rPr>
          <w:b/>
          <w:color w:val="000080"/>
        </w:rPr>
        <w:tab/>
      </w:r>
      <w:r w:rsidRPr="00C31AFF">
        <w:rPr>
          <w:rStyle w:val="CaptionLabel"/>
        </w:rPr>
        <w:t>Emissions by grid – Central Policy scenario</w:t>
      </w:r>
      <w:bookmarkEnd w:id="165"/>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C31AFF" w:rsidTr="00CE43CE">
        <w:trPr>
          <w:cantSplit/>
        </w:trPr>
        <w:tc>
          <w:tcPr>
            <w:tcW w:w="5000" w:type="pct"/>
          </w:tcPr>
          <w:p w:rsidR="00C31AFF" w:rsidRDefault="00C31AFF" w:rsidP="00CE43CE">
            <w:pPr>
              <w:pStyle w:val="SmallDeltasRightAligned"/>
              <w:keepNext/>
            </w:pPr>
            <w:r>
              <w:rPr>
                <w:noProof/>
                <w:lang w:eastAsia="en-AU"/>
              </w:rPr>
              <w:drawing>
                <wp:inline distT="0" distB="0" distL="0" distR="0" wp14:anchorId="5CC279AE" wp14:editId="2BC2FCCD">
                  <wp:extent cx="481585" cy="2346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31AFF" w:rsidTr="00CE43CE">
        <w:trPr>
          <w:cantSplit/>
        </w:trPr>
        <w:tc>
          <w:tcPr>
            <w:tcW w:w="5000" w:type="pct"/>
          </w:tcPr>
          <w:p w:rsidR="00C31AFF" w:rsidRDefault="00C31AFF" w:rsidP="00CE43CE">
            <w:pPr>
              <w:pStyle w:val="Figure"/>
            </w:pPr>
            <w:r>
              <w:rPr>
                <w:noProof/>
                <w:lang w:eastAsia="en-AU"/>
              </w:rPr>
              <w:drawing>
                <wp:inline distT="0" distB="0" distL="0" distR="0" wp14:anchorId="72691039" wp14:editId="43A04D0C">
                  <wp:extent cx="4678680" cy="3002280"/>
                  <wp:effectExtent l="0" t="0" r="762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78680" cy="3002280"/>
                          </a:xfrm>
                          <a:prstGeom prst="rect">
                            <a:avLst/>
                          </a:prstGeom>
                          <a:noFill/>
                          <a:ln>
                            <a:noFill/>
                          </a:ln>
                        </pic:spPr>
                      </pic:pic>
                    </a:graphicData>
                  </a:graphic>
                </wp:inline>
              </w:drawing>
            </w:r>
          </w:p>
        </w:tc>
      </w:tr>
    </w:tbl>
    <w:p w:rsidR="00C31AFF" w:rsidRPr="00B50A1B" w:rsidRDefault="00C31AFF" w:rsidP="00CE43CE">
      <w:pPr>
        <w:pStyle w:val="Source"/>
        <w:rPr>
          <w:i/>
        </w:rPr>
      </w:pPr>
      <w:r>
        <w:t>S</w:t>
      </w:r>
      <w:r w:rsidRPr="00B50A1B">
        <w:t>ource:</w:t>
      </w:r>
      <w:r w:rsidRPr="00954EED">
        <w:t xml:space="preserve"> </w:t>
      </w:r>
      <w:r>
        <w:t>ACIL Allen</w:t>
      </w:r>
    </w:p>
    <w:p w:rsidR="00C31AFF" w:rsidRDefault="00450552" w:rsidP="00C31AFF">
      <w:pPr>
        <w:pStyle w:val="BodyText"/>
      </w:pPr>
      <w:r>
        <w:fldChar w:fldCharType="begin"/>
      </w:r>
      <w:r>
        <w:instrText xml:space="preserve"> REF _Ref365543600 \h </w:instrText>
      </w:r>
      <w:r>
        <w:fldChar w:fldCharType="separate"/>
      </w:r>
      <w:r w:rsidR="00660A8E">
        <w:t xml:space="preserve">Figure </w:t>
      </w:r>
      <w:r w:rsidR="00660A8E">
        <w:rPr>
          <w:noProof/>
        </w:rPr>
        <w:t>18</w:t>
      </w:r>
      <w:r>
        <w:fldChar w:fldCharType="end"/>
      </w:r>
      <w:r w:rsidR="00C31AFF">
        <w:t xml:space="preserve"> and </w:t>
      </w:r>
      <w:r>
        <w:fldChar w:fldCharType="begin"/>
      </w:r>
      <w:r>
        <w:instrText xml:space="preserve"> REF _Ref365543604 \h </w:instrText>
      </w:r>
      <w:r>
        <w:fldChar w:fldCharType="separate"/>
      </w:r>
      <w:r w:rsidR="00660A8E">
        <w:t xml:space="preserve">Figure </w:t>
      </w:r>
      <w:r w:rsidR="00660A8E">
        <w:rPr>
          <w:noProof/>
        </w:rPr>
        <w:t>19</w:t>
      </w:r>
      <w:r>
        <w:fldChar w:fldCharType="end"/>
      </w:r>
      <w:r w:rsidR="00C31AFF">
        <w:t xml:space="preserve"> illustrate the emissions trends by state in the No Carbon Price and Central Policy scenarios respectively. In the No Carbon Price scenario emissions in each state grow broadly in proportion to each other, reflecting the relatively stable supply mix in each state. By contrast the Central Policy scenario sees a dramatic reduction in Victorian emissions, particularly from 2033-34, as high emissions brown coal generation is displaced by lower emissions </w:t>
      </w:r>
      <w:r w:rsidR="00870E54">
        <w:t>alternatives</w:t>
      </w:r>
      <w:r w:rsidR="00C31AFF">
        <w:t>.</w:t>
      </w:r>
    </w:p>
    <w:p w:rsidR="00C31AFF" w:rsidRDefault="00C31AFF">
      <w:pPr>
        <w:pStyle w:val="Caption"/>
      </w:pPr>
      <w:bookmarkStart w:id="166" w:name="_Ref365543600"/>
      <w:bookmarkStart w:id="167" w:name="_Toc370394688"/>
      <w:r>
        <w:lastRenderedPageBreak/>
        <w:t xml:space="preserve">Figure </w:t>
      </w:r>
      <w:fldSimple w:instr=" SEQ Figure \* ARABIC ">
        <w:r w:rsidR="00660A8E">
          <w:rPr>
            <w:noProof/>
          </w:rPr>
          <w:t>18</w:t>
        </w:r>
      </w:fldSimple>
      <w:bookmarkEnd w:id="166"/>
      <w:r w:rsidRPr="004E0C91">
        <w:rPr>
          <w:b/>
          <w:color w:val="000080"/>
        </w:rPr>
        <w:tab/>
      </w:r>
      <w:r w:rsidRPr="00C31AFF">
        <w:rPr>
          <w:rStyle w:val="CaptionLabel"/>
        </w:rPr>
        <w:t>Emissions by state – No Carbon Price scenario</w:t>
      </w:r>
      <w:bookmarkEnd w:id="167"/>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C31AFF" w:rsidTr="00CE43CE">
        <w:trPr>
          <w:cantSplit/>
        </w:trPr>
        <w:tc>
          <w:tcPr>
            <w:tcW w:w="5000" w:type="pct"/>
          </w:tcPr>
          <w:p w:rsidR="00C31AFF" w:rsidRDefault="00C31AFF" w:rsidP="00CE43CE">
            <w:pPr>
              <w:pStyle w:val="SmallDeltasRightAligned"/>
              <w:keepNext/>
            </w:pPr>
            <w:r>
              <w:rPr>
                <w:noProof/>
                <w:lang w:eastAsia="en-AU"/>
              </w:rPr>
              <w:drawing>
                <wp:inline distT="0" distB="0" distL="0" distR="0" wp14:anchorId="77B8A63D" wp14:editId="01CE6D0C">
                  <wp:extent cx="481585" cy="2346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31AFF" w:rsidTr="00CE43CE">
        <w:trPr>
          <w:cantSplit/>
        </w:trPr>
        <w:tc>
          <w:tcPr>
            <w:tcW w:w="5000" w:type="pct"/>
          </w:tcPr>
          <w:p w:rsidR="00C31AFF" w:rsidRDefault="00652324" w:rsidP="00CE43CE">
            <w:pPr>
              <w:pStyle w:val="Figure"/>
            </w:pPr>
            <w:r>
              <w:rPr>
                <w:noProof/>
                <w:lang w:eastAsia="en-AU"/>
              </w:rPr>
              <w:drawing>
                <wp:inline distT="0" distB="0" distL="0" distR="0" wp14:anchorId="673A14A3" wp14:editId="3A36A2A9">
                  <wp:extent cx="4673600" cy="2698115"/>
                  <wp:effectExtent l="0" t="0" r="0"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73600" cy="2698115"/>
                          </a:xfrm>
                          <a:prstGeom prst="rect">
                            <a:avLst/>
                          </a:prstGeom>
                          <a:noFill/>
                          <a:ln>
                            <a:noFill/>
                          </a:ln>
                        </pic:spPr>
                      </pic:pic>
                    </a:graphicData>
                  </a:graphic>
                </wp:inline>
              </w:drawing>
            </w:r>
          </w:p>
        </w:tc>
      </w:tr>
    </w:tbl>
    <w:p w:rsidR="00C31AFF" w:rsidRPr="00B50A1B" w:rsidRDefault="00C31AFF" w:rsidP="00CE43CE">
      <w:pPr>
        <w:pStyle w:val="Source"/>
        <w:rPr>
          <w:i/>
        </w:rPr>
      </w:pPr>
      <w:r>
        <w:t>S</w:t>
      </w:r>
      <w:r w:rsidRPr="00B50A1B">
        <w:t>ource:</w:t>
      </w:r>
      <w:r w:rsidRPr="00954EED">
        <w:t xml:space="preserve"> </w:t>
      </w:r>
      <w:r>
        <w:t>ACIL Allen</w:t>
      </w:r>
    </w:p>
    <w:p w:rsidR="00C31AFF" w:rsidRDefault="00C31AFF">
      <w:pPr>
        <w:pStyle w:val="Caption"/>
      </w:pPr>
      <w:bookmarkStart w:id="168" w:name="_Ref365543604"/>
      <w:bookmarkStart w:id="169" w:name="_Toc370394689"/>
      <w:r>
        <w:t xml:space="preserve">Figure </w:t>
      </w:r>
      <w:fldSimple w:instr=" SEQ Figure \* ARABIC ">
        <w:r w:rsidR="00660A8E">
          <w:rPr>
            <w:noProof/>
          </w:rPr>
          <w:t>19</w:t>
        </w:r>
      </w:fldSimple>
      <w:bookmarkEnd w:id="168"/>
      <w:r w:rsidRPr="004E0C91">
        <w:rPr>
          <w:b/>
          <w:color w:val="000080"/>
        </w:rPr>
        <w:tab/>
      </w:r>
      <w:r w:rsidRPr="00C31AFF">
        <w:rPr>
          <w:rStyle w:val="CaptionLabel"/>
        </w:rPr>
        <w:t>Emissions by state – Central Policy scenario</w:t>
      </w:r>
      <w:bookmarkEnd w:id="16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C31AFF" w:rsidTr="00CE43CE">
        <w:trPr>
          <w:cantSplit/>
        </w:trPr>
        <w:tc>
          <w:tcPr>
            <w:tcW w:w="5000" w:type="pct"/>
          </w:tcPr>
          <w:p w:rsidR="00C31AFF" w:rsidRDefault="00C31AFF" w:rsidP="00CE43CE">
            <w:pPr>
              <w:pStyle w:val="SmallDeltasRightAligned"/>
              <w:keepNext/>
            </w:pPr>
            <w:r>
              <w:rPr>
                <w:noProof/>
                <w:lang w:eastAsia="en-AU"/>
              </w:rPr>
              <w:drawing>
                <wp:inline distT="0" distB="0" distL="0" distR="0" wp14:anchorId="5D0AF806" wp14:editId="08D9D4BA">
                  <wp:extent cx="481585" cy="2346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31AFF" w:rsidTr="00CE43CE">
        <w:trPr>
          <w:cantSplit/>
        </w:trPr>
        <w:tc>
          <w:tcPr>
            <w:tcW w:w="5000" w:type="pct"/>
          </w:tcPr>
          <w:p w:rsidR="00C31AFF" w:rsidRDefault="00652324" w:rsidP="00CE43CE">
            <w:pPr>
              <w:pStyle w:val="Figure"/>
            </w:pPr>
            <w:r>
              <w:rPr>
                <w:noProof/>
                <w:lang w:eastAsia="en-AU"/>
              </w:rPr>
              <w:drawing>
                <wp:inline distT="0" distB="0" distL="0" distR="0" wp14:anchorId="27C28F2E" wp14:editId="6DFBA69C">
                  <wp:extent cx="4673600" cy="268668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73600" cy="2686685"/>
                          </a:xfrm>
                          <a:prstGeom prst="rect">
                            <a:avLst/>
                          </a:prstGeom>
                          <a:noFill/>
                          <a:ln>
                            <a:noFill/>
                          </a:ln>
                        </pic:spPr>
                      </pic:pic>
                    </a:graphicData>
                  </a:graphic>
                </wp:inline>
              </w:drawing>
            </w:r>
          </w:p>
        </w:tc>
      </w:tr>
    </w:tbl>
    <w:p w:rsidR="00C31AFF" w:rsidRPr="00B50A1B" w:rsidRDefault="00C31AFF" w:rsidP="00CE43CE">
      <w:pPr>
        <w:pStyle w:val="Source"/>
        <w:rPr>
          <w:i/>
        </w:rPr>
      </w:pPr>
      <w:r>
        <w:t>S</w:t>
      </w:r>
      <w:r w:rsidRPr="00B50A1B">
        <w:t>ource:</w:t>
      </w:r>
      <w:r w:rsidRPr="00954EED">
        <w:t xml:space="preserve"> </w:t>
      </w:r>
      <w:r>
        <w:t>ACIL Allen</w:t>
      </w:r>
    </w:p>
    <w:p w:rsidR="00C31AFF" w:rsidRDefault="00C31AFF" w:rsidP="00C31AFF">
      <w:pPr>
        <w:pStyle w:val="BodyText"/>
      </w:pPr>
      <w:r>
        <w:t xml:space="preserve">A further illustration of the drivers of differences in emissions between the scenarios can be seen by examining trends in emissions intensity. </w:t>
      </w:r>
      <w:r w:rsidR="00450552">
        <w:fldChar w:fldCharType="begin"/>
      </w:r>
      <w:r w:rsidR="00450552">
        <w:instrText xml:space="preserve"> REF _Ref365543616 \h </w:instrText>
      </w:r>
      <w:r w:rsidR="00450552">
        <w:fldChar w:fldCharType="separate"/>
      </w:r>
      <w:r w:rsidR="00660A8E">
        <w:t xml:space="preserve">Figure </w:t>
      </w:r>
      <w:r w:rsidR="00660A8E">
        <w:rPr>
          <w:noProof/>
        </w:rPr>
        <w:t>20</w:t>
      </w:r>
      <w:r w:rsidR="00450552">
        <w:fldChar w:fldCharType="end"/>
      </w:r>
      <w:r>
        <w:t xml:space="preserve"> and </w:t>
      </w:r>
      <w:r w:rsidR="00450552">
        <w:fldChar w:fldCharType="begin"/>
      </w:r>
      <w:r w:rsidR="00450552">
        <w:instrText xml:space="preserve"> REF _Ref365543620 \h </w:instrText>
      </w:r>
      <w:r w:rsidR="00450552">
        <w:fldChar w:fldCharType="separate"/>
      </w:r>
      <w:r w:rsidR="00660A8E">
        <w:t xml:space="preserve">Figure </w:t>
      </w:r>
      <w:r w:rsidR="00660A8E">
        <w:rPr>
          <w:noProof/>
        </w:rPr>
        <w:t>21</w:t>
      </w:r>
      <w:r w:rsidR="00450552">
        <w:fldChar w:fldCharType="end"/>
      </w:r>
      <w:r>
        <w:t xml:space="preserve"> demonstrate these trends (on a ‘sent out’ basis) for each state, for the </w:t>
      </w:r>
      <w:r w:rsidR="00D373A7">
        <w:t>No Carbon Price</w:t>
      </w:r>
      <w:r>
        <w:t xml:space="preserve"> and Central Policy scenarios respectively. In the No Carbon Price scenario there is an initial decline in most states, due predominantly to growth in renewable generation under the LRET and growth in rooftop solar. Further, new entrant thermal (fossil fuel fired) generators are generally more efficient than the incumbent plant, working to reduce emissions over time. However, this slight decline in emissions intensity largely stops by the mid-2020s, meaning that demand growth after this time directly translates into emissions growth. </w:t>
      </w:r>
    </w:p>
    <w:p w:rsidR="00C31AFF" w:rsidRDefault="00C31AFF" w:rsidP="00C31AFF">
      <w:pPr>
        <w:pStyle w:val="BodyText"/>
      </w:pPr>
      <w:r>
        <w:t xml:space="preserve">Conversely, the Central Policy scenario sees more consistent and substantial declines in emissions intensity. Initially, trends are similar to the No Carbon Price scenario, except there </w:t>
      </w:r>
      <w:r>
        <w:lastRenderedPageBreak/>
        <w:t xml:space="preserve">is a more substantial decline in Victoria as the least efficient and most emissions-intensive brown coal generators lose market share, reinforcing the effect of the LRET and rooftop solar. Importantly, the Central Policy scenario also sees a dramatic decline from around 2033-34 onwards as gas, solar, wind, geothermal and CCS generation begin to displace traditional coal-fired generation. In particular, there is a dramatic fall in the emissions intensity of generation in Victoria as the remaining brown coal generators retire and are replaced with lower emissions sources. </w:t>
      </w:r>
    </w:p>
    <w:p w:rsidR="00C31AFF" w:rsidRDefault="00C31AFF">
      <w:pPr>
        <w:pStyle w:val="Caption"/>
      </w:pPr>
      <w:bookmarkStart w:id="170" w:name="_Ref365543616"/>
      <w:bookmarkStart w:id="171" w:name="_Toc370394690"/>
      <w:r>
        <w:t xml:space="preserve">Figure </w:t>
      </w:r>
      <w:fldSimple w:instr=" SEQ Figure \* ARABIC ">
        <w:r w:rsidR="00660A8E">
          <w:rPr>
            <w:noProof/>
          </w:rPr>
          <w:t>20</w:t>
        </w:r>
      </w:fldSimple>
      <w:bookmarkEnd w:id="170"/>
      <w:r w:rsidRPr="004E0C91">
        <w:rPr>
          <w:b/>
          <w:color w:val="000080"/>
        </w:rPr>
        <w:tab/>
      </w:r>
      <w:r w:rsidRPr="00C31AFF">
        <w:rPr>
          <w:rStyle w:val="CaptionLabel"/>
        </w:rPr>
        <w:t>Emissions intensity by state (sent out) – No Carbon Price scenario</w:t>
      </w:r>
      <w:bookmarkEnd w:id="17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C31AFF" w:rsidTr="00CE43CE">
        <w:trPr>
          <w:cantSplit/>
        </w:trPr>
        <w:tc>
          <w:tcPr>
            <w:tcW w:w="5000" w:type="pct"/>
          </w:tcPr>
          <w:p w:rsidR="00C31AFF" w:rsidRDefault="00C31AFF" w:rsidP="00CE43CE">
            <w:pPr>
              <w:pStyle w:val="SmallDeltasRightAligned"/>
              <w:keepNext/>
            </w:pPr>
            <w:r>
              <w:rPr>
                <w:noProof/>
                <w:lang w:eastAsia="en-AU"/>
              </w:rPr>
              <w:drawing>
                <wp:inline distT="0" distB="0" distL="0" distR="0" wp14:anchorId="6A3392C6" wp14:editId="5792A98B">
                  <wp:extent cx="481585" cy="2346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31AFF" w:rsidTr="00CE43CE">
        <w:trPr>
          <w:cantSplit/>
        </w:trPr>
        <w:tc>
          <w:tcPr>
            <w:tcW w:w="5000" w:type="pct"/>
          </w:tcPr>
          <w:p w:rsidR="00C31AFF" w:rsidRDefault="00711C24" w:rsidP="00CE43CE">
            <w:pPr>
              <w:pStyle w:val="Figure"/>
            </w:pPr>
            <w:r>
              <w:rPr>
                <w:noProof/>
                <w:lang w:eastAsia="en-AU"/>
              </w:rPr>
              <w:drawing>
                <wp:inline distT="0" distB="0" distL="0" distR="0" wp14:anchorId="307F1DC0" wp14:editId="17A529F1">
                  <wp:extent cx="4676775" cy="31527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76775" cy="3152775"/>
                          </a:xfrm>
                          <a:prstGeom prst="rect">
                            <a:avLst/>
                          </a:prstGeom>
                          <a:noFill/>
                          <a:ln>
                            <a:noFill/>
                          </a:ln>
                        </pic:spPr>
                      </pic:pic>
                    </a:graphicData>
                  </a:graphic>
                </wp:inline>
              </w:drawing>
            </w:r>
          </w:p>
        </w:tc>
      </w:tr>
    </w:tbl>
    <w:p w:rsidR="00C31AFF" w:rsidRPr="00B50A1B" w:rsidRDefault="00C31AFF" w:rsidP="00CE43CE">
      <w:pPr>
        <w:pStyle w:val="Source"/>
        <w:rPr>
          <w:i/>
        </w:rPr>
      </w:pPr>
      <w:r>
        <w:t>S</w:t>
      </w:r>
      <w:r w:rsidRPr="00B50A1B">
        <w:t>ource:</w:t>
      </w:r>
      <w:r w:rsidRPr="00954EED">
        <w:t xml:space="preserve"> </w:t>
      </w:r>
      <w:r>
        <w:t>ACIL Allen</w:t>
      </w:r>
    </w:p>
    <w:p w:rsidR="00C31AFF" w:rsidRDefault="00C31AFF">
      <w:pPr>
        <w:pStyle w:val="Caption"/>
      </w:pPr>
      <w:bookmarkStart w:id="172" w:name="_Ref365543620"/>
      <w:bookmarkStart w:id="173" w:name="_Toc370394691"/>
      <w:r>
        <w:lastRenderedPageBreak/>
        <w:t xml:space="preserve">Figure </w:t>
      </w:r>
      <w:fldSimple w:instr=" SEQ Figure \* ARABIC ">
        <w:r w:rsidR="00660A8E">
          <w:rPr>
            <w:noProof/>
          </w:rPr>
          <w:t>21</w:t>
        </w:r>
      </w:fldSimple>
      <w:bookmarkEnd w:id="172"/>
      <w:r w:rsidRPr="004E0C91">
        <w:rPr>
          <w:b/>
          <w:color w:val="000080"/>
        </w:rPr>
        <w:tab/>
      </w:r>
      <w:r w:rsidRPr="00C31AFF">
        <w:rPr>
          <w:rStyle w:val="CaptionLabel"/>
        </w:rPr>
        <w:t>Emissions intensity by state (sent out) – Central Policy scenario</w:t>
      </w:r>
      <w:bookmarkEnd w:id="17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C31AFF" w:rsidTr="00CE43CE">
        <w:trPr>
          <w:cantSplit/>
        </w:trPr>
        <w:tc>
          <w:tcPr>
            <w:tcW w:w="5000" w:type="pct"/>
          </w:tcPr>
          <w:p w:rsidR="00C31AFF" w:rsidRDefault="00C31AFF" w:rsidP="00CE43CE">
            <w:pPr>
              <w:pStyle w:val="SmallDeltasRightAligned"/>
              <w:keepNext/>
            </w:pPr>
            <w:r>
              <w:rPr>
                <w:noProof/>
                <w:lang w:eastAsia="en-AU"/>
              </w:rPr>
              <w:drawing>
                <wp:inline distT="0" distB="0" distL="0" distR="0" wp14:anchorId="3646B833" wp14:editId="52155877">
                  <wp:extent cx="481585" cy="2346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C31AFF" w:rsidTr="00CE43CE">
        <w:trPr>
          <w:cantSplit/>
        </w:trPr>
        <w:tc>
          <w:tcPr>
            <w:tcW w:w="5000" w:type="pct"/>
          </w:tcPr>
          <w:p w:rsidR="00C31AFF" w:rsidRDefault="00711C24" w:rsidP="00CE43CE">
            <w:pPr>
              <w:pStyle w:val="Figure"/>
            </w:pPr>
            <w:r>
              <w:rPr>
                <w:noProof/>
                <w:lang w:eastAsia="en-AU"/>
              </w:rPr>
              <w:drawing>
                <wp:inline distT="0" distB="0" distL="0" distR="0" wp14:anchorId="17EFA234" wp14:editId="5F2E579E">
                  <wp:extent cx="4676775" cy="315277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6775" cy="3152775"/>
                          </a:xfrm>
                          <a:prstGeom prst="rect">
                            <a:avLst/>
                          </a:prstGeom>
                          <a:noFill/>
                          <a:ln>
                            <a:noFill/>
                          </a:ln>
                        </pic:spPr>
                      </pic:pic>
                    </a:graphicData>
                  </a:graphic>
                </wp:inline>
              </w:drawing>
            </w:r>
          </w:p>
        </w:tc>
      </w:tr>
    </w:tbl>
    <w:p w:rsidR="00C31AFF" w:rsidRPr="00B50A1B" w:rsidRDefault="00C31AFF" w:rsidP="00CE43CE">
      <w:pPr>
        <w:pStyle w:val="Source"/>
        <w:rPr>
          <w:i/>
        </w:rPr>
      </w:pPr>
      <w:r>
        <w:t>S</w:t>
      </w:r>
      <w:r w:rsidRPr="00B50A1B">
        <w:t>ource:</w:t>
      </w:r>
      <w:r w:rsidRPr="00954EED">
        <w:t xml:space="preserve"> </w:t>
      </w:r>
      <w:r>
        <w:t>ACIL Allen</w:t>
      </w:r>
    </w:p>
    <w:p w:rsidR="00C31AFF" w:rsidRDefault="00C31AFF" w:rsidP="00C31AFF">
      <w:pPr>
        <w:pStyle w:val="BodyText"/>
      </w:pPr>
      <w:r>
        <w:t xml:space="preserve">The relative effects of differences in demand across the scenarios and of changes in the supply mix and emissions intensity can be examined through counter-factual simulations. Specifically, </w:t>
      </w:r>
      <w:r w:rsidR="00450552">
        <w:fldChar w:fldCharType="begin"/>
      </w:r>
      <w:r w:rsidR="00450552">
        <w:instrText xml:space="preserve"> REF _Ref365543642 \h </w:instrText>
      </w:r>
      <w:r w:rsidR="00450552">
        <w:fldChar w:fldCharType="separate"/>
      </w:r>
      <w:r w:rsidR="00660A8E">
        <w:t xml:space="preserve">Figure </w:t>
      </w:r>
      <w:r w:rsidR="00660A8E">
        <w:rPr>
          <w:noProof/>
        </w:rPr>
        <w:t>22</w:t>
      </w:r>
      <w:r w:rsidR="00450552">
        <w:fldChar w:fldCharType="end"/>
      </w:r>
      <w:r>
        <w:t xml:space="preserve"> below augments the previously presented </w:t>
      </w:r>
      <w:r w:rsidR="00450552">
        <w:fldChar w:fldCharType="begin"/>
      </w:r>
      <w:r w:rsidR="00450552">
        <w:instrText xml:space="preserve"> REF _Ref365543512 \h </w:instrText>
      </w:r>
      <w:r w:rsidR="00450552">
        <w:fldChar w:fldCharType="separate"/>
      </w:r>
      <w:r w:rsidR="00660A8E">
        <w:t xml:space="preserve">Figure </w:t>
      </w:r>
      <w:r w:rsidR="00660A8E">
        <w:rPr>
          <w:noProof/>
        </w:rPr>
        <w:t>11</w:t>
      </w:r>
      <w:r w:rsidR="00450552">
        <w:fldChar w:fldCharType="end"/>
      </w:r>
      <w:r>
        <w:t xml:space="preserve"> by adding two counter-factuals: a simulation where electricity demand grows as in the No Carbon Price scenario, but emissions intensity changes in line with the Central Policy scenario; and a simulation where demand grows along the lower Central Policy scenario path, but emissions intensity is the same as in the No Carbon Price scenario. </w:t>
      </w:r>
    </w:p>
    <w:p w:rsidR="00C31AFF" w:rsidRDefault="00C31AFF" w:rsidP="00C31AFF">
      <w:pPr>
        <w:pStyle w:val="BodyText"/>
      </w:pPr>
      <w:r>
        <w:t xml:space="preserve">These counter-factuals illustrate broadly that demand reductions and changes in the supply mix have an effect of similar magnitude in the early decades of the simulation. However, from around 2033-34, the carbon price begins to have a dramatic effect on the supply mix and results in a substantial fall in emissions intensity. It is this effect which dominates the long-run emissions trajectory under the Central Policy scenario. Conversely, in the simulation where emissions intensity is held the same as in the No Carbon Price scenario emissions grow in absolute terms through the 2030s and 2040s resulting in emissions substantially above today’s level. </w:t>
      </w:r>
    </w:p>
    <w:p w:rsidR="00C31AFF" w:rsidRDefault="00C31AFF" w:rsidP="00C31AFF">
      <w:pPr>
        <w:pStyle w:val="BodyText"/>
      </w:pPr>
      <w:r>
        <w:t xml:space="preserve">Readers should interpret the results of these simulations with caution as the rate of demand growth affects the rate of investment in new generation and hence the emissions intensity of the generation mix. Hence the two trends are, in practice, inter-related. Nevertheless, disaggregating the two effects here can illustrate the broad demand- and supply-side effects of a carbon pricing mechanism in a stylistic way.  </w:t>
      </w:r>
    </w:p>
    <w:p w:rsidR="00FC4F7D" w:rsidRDefault="00FC4F7D">
      <w:pPr>
        <w:pStyle w:val="Caption"/>
      </w:pPr>
      <w:bookmarkStart w:id="174" w:name="_Ref365543642"/>
      <w:bookmarkStart w:id="175" w:name="_Toc370394692"/>
      <w:r>
        <w:lastRenderedPageBreak/>
        <w:t xml:space="preserve">Figure </w:t>
      </w:r>
      <w:fldSimple w:instr=" SEQ Figure \* ARABIC ">
        <w:r w:rsidR="00660A8E">
          <w:rPr>
            <w:noProof/>
          </w:rPr>
          <w:t>22</w:t>
        </w:r>
      </w:fldSimple>
      <w:bookmarkEnd w:id="174"/>
      <w:r w:rsidRPr="004E0C91">
        <w:rPr>
          <w:b/>
          <w:color w:val="000080"/>
        </w:rPr>
        <w:tab/>
      </w:r>
      <w:r w:rsidRPr="00FC4F7D">
        <w:rPr>
          <w:rStyle w:val="CaptionLabel"/>
        </w:rPr>
        <w:t>Emissions trends under core scenarios and with counter-factual simulations</w:t>
      </w:r>
      <w:bookmarkEnd w:id="175"/>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FC4F7D" w:rsidTr="00CE43CE">
        <w:trPr>
          <w:cantSplit/>
        </w:trPr>
        <w:tc>
          <w:tcPr>
            <w:tcW w:w="5000" w:type="pct"/>
          </w:tcPr>
          <w:p w:rsidR="00FC4F7D" w:rsidRDefault="00FC4F7D" w:rsidP="00CE43CE">
            <w:pPr>
              <w:pStyle w:val="SmallDeltasRightAligned"/>
              <w:keepNext/>
            </w:pPr>
            <w:r>
              <w:rPr>
                <w:noProof/>
                <w:lang w:eastAsia="en-AU"/>
              </w:rPr>
              <w:drawing>
                <wp:inline distT="0" distB="0" distL="0" distR="0" wp14:anchorId="0FE4211E" wp14:editId="3DD731C6">
                  <wp:extent cx="481585" cy="2346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FC4F7D" w:rsidTr="00CE43CE">
        <w:trPr>
          <w:cantSplit/>
        </w:trPr>
        <w:tc>
          <w:tcPr>
            <w:tcW w:w="5000" w:type="pct"/>
          </w:tcPr>
          <w:p w:rsidR="00FC4F7D" w:rsidRDefault="00FC4F7D" w:rsidP="00CE43CE">
            <w:pPr>
              <w:pStyle w:val="Figure"/>
            </w:pPr>
            <w:r>
              <w:rPr>
                <w:noProof/>
                <w:lang w:eastAsia="en-AU"/>
              </w:rPr>
              <w:drawing>
                <wp:inline distT="0" distB="0" distL="0" distR="0" wp14:anchorId="039D436A" wp14:editId="432FDBC0">
                  <wp:extent cx="4673600" cy="27432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73600" cy="2743200"/>
                          </a:xfrm>
                          <a:prstGeom prst="rect">
                            <a:avLst/>
                          </a:prstGeom>
                          <a:noFill/>
                          <a:ln>
                            <a:noFill/>
                          </a:ln>
                        </pic:spPr>
                      </pic:pic>
                    </a:graphicData>
                  </a:graphic>
                </wp:inline>
              </w:drawing>
            </w:r>
          </w:p>
        </w:tc>
      </w:tr>
    </w:tbl>
    <w:p w:rsidR="00FC4F7D" w:rsidRPr="00B50A1B" w:rsidRDefault="00FC4F7D" w:rsidP="00CE43CE">
      <w:pPr>
        <w:pStyle w:val="Source"/>
        <w:rPr>
          <w:i/>
        </w:rPr>
      </w:pPr>
      <w:r>
        <w:t>S</w:t>
      </w:r>
      <w:r w:rsidRPr="00B50A1B">
        <w:t>ource:</w:t>
      </w:r>
      <w:r w:rsidRPr="00954EED">
        <w:t xml:space="preserve"> </w:t>
      </w:r>
      <w:r>
        <w:t>ACIL Allen</w:t>
      </w:r>
    </w:p>
    <w:p w:rsidR="00FC4F7D" w:rsidRDefault="00FC4F7D" w:rsidP="00FC4F7D">
      <w:pPr>
        <w:pStyle w:val="Heading2"/>
        <w:pBdr>
          <w:bottom w:val="none" w:sz="0" w:space="0" w:color="auto"/>
        </w:pBdr>
      </w:pPr>
      <w:bookmarkStart w:id="176" w:name="_Toc365474045"/>
      <w:bookmarkStart w:id="177" w:name="_Toc370394655"/>
      <w:r>
        <w:t>Investment and capacity</w:t>
      </w:r>
      <w:bookmarkEnd w:id="176"/>
      <w:bookmarkEnd w:id="177"/>
    </w:p>
    <w:p w:rsidR="00FC4F7D" w:rsidRDefault="00FC4F7D" w:rsidP="00FC4F7D">
      <w:pPr>
        <w:pStyle w:val="BodyText"/>
      </w:pPr>
      <w:r>
        <w:t xml:space="preserve">Reflecting the trends in generation described in </w:t>
      </w:r>
      <w:r w:rsidR="00450552">
        <w:t>S</w:t>
      </w:r>
      <w:r>
        <w:t xml:space="preserve">ection </w:t>
      </w:r>
      <w:r w:rsidR="00450552">
        <w:fldChar w:fldCharType="begin"/>
      </w:r>
      <w:r w:rsidR="00450552">
        <w:instrText xml:space="preserve"> REF _Ref365543717 \n \h </w:instrText>
      </w:r>
      <w:r w:rsidR="00450552">
        <w:fldChar w:fldCharType="separate"/>
      </w:r>
      <w:r w:rsidR="00660A8E">
        <w:t>4.1</w:t>
      </w:r>
      <w:r w:rsidR="00450552">
        <w:fldChar w:fldCharType="end"/>
      </w:r>
      <w:r>
        <w:t xml:space="preserve">, </w:t>
      </w:r>
      <w:r w:rsidR="00450552">
        <w:fldChar w:fldCharType="begin"/>
      </w:r>
      <w:r w:rsidR="00450552">
        <w:instrText xml:space="preserve"> REF _Ref365543681 \h </w:instrText>
      </w:r>
      <w:r w:rsidR="00450552">
        <w:fldChar w:fldCharType="separate"/>
      </w:r>
      <w:r w:rsidR="00660A8E">
        <w:t xml:space="preserve">Figure </w:t>
      </w:r>
      <w:r w:rsidR="00660A8E">
        <w:rPr>
          <w:noProof/>
        </w:rPr>
        <w:t>23</w:t>
      </w:r>
      <w:r w:rsidR="00450552">
        <w:fldChar w:fldCharType="end"/>
      </w:r>
      <w:r>
        <w:t xml:space="preserve"> and </w:t>
      </w:r>
      <w:r w:rsidR="00450552">
        <w:fldChar w:fldCharType="begin"/>
      </w:r>
      <w:r w:rsidR="00450552">
        <w:instrText xml:space="preserve"> REF _Ref365543687 \h </w:instrText>
      </w:r>
      <w:r w:rsidR="00450552">
        <w:fldChar w:fldCharType="separate"/>
      </w:r>
      <w:r w:rsidR="00660A8E">
        <w:t xml:space="preserve">Figure </w:t>
      </w:r>
      <w:r w:rsidR="00660A8E">
        <w:rPr>
          <w:noProof/>
        </w:rPr>
        <w:t>24</w:t>
      </w:r>
      <w:r w:rsidR="00450552">
        <w:fldChar w:fldCharType="end"/>
      </w:r>
      <w:r>
        <w:t xml:space="preserve"> illustrate the share of installed capacity in the </w:t>
      </w:r>
      <w:r w:rsidR="00D373A7">
        <w:t>No Carbon Price</w:t>
      </w:r>
      <w:r>
        <w:t xml:space="preserve"> and Central Policy scenarios respectively. Coal and gas retain a dominant share of generation capacity in the No Carbon Price scenario, although wind and solar achieve significant penetration increases by the end of the model horizon. However, given the low capacity factors of peaking gas, wind and solar in particular, their capacity shares greatly over-state their contribution to overall output, as can be seen through a comparison with </w:t>
      </w:r>
      <w:r w:rsidR="00450552">
        <w:fldChar w:fldCharType="begin"/>
      </w:r>
      <w:r w:rsidR="00450552">
        <w:instrText xml:space="preserve"> REF _Ref365543537 \h </w:instrText>
      </w:r>
      <w:r w:rsidR="00450552">
        <w:fldChar w:fldCharType="separate"/>
      </w:r>
      <w:r w:rsidR="00660A8E">
        <w:t xml:space="preserve">Figure </w:t>
      </w:r>
      <w:r w:rsidR="00660A8E">
        <w:rPr>
          <w:noProof/>
        </w:rPr>
        <w:t>12</w:t>
      </w:r>
      <w:r w:rsidR="00450552">
        <w:fldChar w:fldCharType="end"/>
      </w:r>
      <w:r>
        <w:t>. By comparison, the Central Policy scenario sees a gradual decline in coal capacity, with small increases in peaking and baseload gas capacity, and dramatic increases in solar capacity. In both scenarios the growth in wind capacity occurs primarily prior to 2020 in response to the LRET policy, although there is some ongoing growth in wind later in the model horizon und</w:t>
      </w:r>
      <w:r w:rsidR="00450552">
        <w:t>er the Central Policy scenario.</w:t>
      </w:r>
    </w:p>
    <w:p w:rsidR="00FC4F7D" w:rsidRDefault="00FC4F7D">
      <w:pPr>
        <w:pStyle w:val="Caption"/>
      </w:pPr>
      <w:bookmarkStart w:id="178" w:name="_Ref365543681"/>
      <w:bookmarkStart w:id="179" w:name="_Toc370394693"/>
      <w:r>
        <w:lastRenderedPageBreak/>
        <w:t xml:space="preserve">Figure </w:t>
      </w:r>
      <w:fldSimple w:instr=" SEQ Figure \* ARABIC ">
        <w:r w:rsidR="00660A8E">
          <w:rPr>
            <w:noProof/>
          </w:rPr>
          <w:t>23</w:t>
        </w:r>
      </w:fldSimple>
      <w:bookmarkEnd w:id="178"/>
      <w:r w:rsidRPr="004E0C91">
        <w:rPr>
          <w:b/>
          <w:color w:val="000080"/>
        </w:rPr>
        <w:tab/>
      </w:r>
      <w:r w:rsidRPr="00FC4F7D">
        <w:rPr>
          <w:rStyle w:val="CaptionLabel"/>
        </w:rPr>
        <w:t>Generation capacity – No Carbon Price scenario</w:t>
      </w:r>
      <w:bookmarkEnd w:id="17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FC4F7D" w:rsidTr="00CE43CE">
        <w:trPr>
          <w:cantSplit/>
        </w:trPr>
        <w:tc>
          <w:tcPr>
            <w:tcW w:w="5000" w:type="pct"/>
          </w:tcPr>
          <w:p w:rsidR="00FC4F7D" w:rsidRDefault="00FC4F7D" w:rsidP="00CE43CE">
            <w:pPr>
              <w:pStyle w:val="SmallDeltasRightAligned"/>
              <w:keepNext/>
            </w:pPr>
            <w:r>
              <w:rPr>
                <w:noProof/>
                <w:lang w:eastAsia="en-AU"/>
              </w:rPr>
              <w:drawing>
                <wp:inline distT="0" distB="0" distL="0" distR="0" wp14:anchorId="1E0E2EF7" wp14:editId="212C87E2">
                  <wp:extent cx="481585" cy="23469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FC4F7D" w:rsidTr="00CE43CE">
        <w:trPr>
          <w:cantSplit/>
        </w:trPr>
        <w:tc>
          <w:tcPr>
            <w:tcW w:w="5000" w:type="pct"/>
          </w:tcPr>
          <w:p w:rsidR="00FC4F7D" w:rsidRDefault="00FC4F7D" w:rsidP="00CE43CE">
            <w:pPr>
              <w:pStyle w:val="Figure"/>
            </w:pPr>
            <w:r>
              <w:rPr>
                <w:noProof/>
                <w:lang w:eastAsia="en-AU"/>
              </w:rPr>
              <w:drawing>
                <wp:inline distT="0" distB="0" distL="0" distR="0" wp14:anchorId="4465ADE3" wp14:editId="0BCCAD91">
                  <wp:extent cx="4673600" cy="331914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73600" cy="3319145"/>
                          </a:xfrm>
                          <a:prstGeom prst="rect">
                            <a:avLst/>
                          </a:prstGeom>
                          <a:noFill/>
                          <a:ln>
                            <a:noFill/>
                          </a:ln>
                        </pic:spPr>
                      </pic:pic>
                    </a:graphicData>
                  </a:graphic>
                </wp:inline>
              </w:drawing>
            </w:r>
          </w:p>
        </w:tc>
      </w:tr>
    </w:tbl>
    <w:p w:rsidR="00FC4F7D" w:rsidRDefault="00FC4F7D">
      <w:pPr>
        <w:pStyle w:val="Note"/>
      </w:pPr>
      <w:r>
        <w:rPr>
          <w:i/>
        </w:rPr>
        <w:t>Note:</w:t>
      </w:r>
      <w:r>
        <w:t xml:space="preserve"> </w:t>
      </w:r>
      <w:r w:rsidRPr="00FC4F7D">
        <w:t>Generation capacity presented on same scale as Central Policy scenario for clarity.</w:t>
      </w:r>
    </w:p>
    <w:p w:rsidR="00FC4F7D" w:rsidRPr="00B50A1B" w:rsidRDefault="00FC4F7D" w:rsidP="00CE43CE">
      <w:pPr>
        <w:pStyle w:val="Source"/>
        <w:rPr>
          <w:i/>
        </w:rPr>
      </w:pPr>
      <w:r>
        <w:t>S</w:t>
      </w:r>
      <w:r w:rsidRPr="00B50A1B">
        <w:t>ource:</w:t>
      </w:r>
      <w:r w:rsidRPr="00954EED">
        <w:t xml:space="preserve"> </w:t>
      </w:r>
      <w:r>
        <w:t>ACIL Allen</w:t>
      </w:r>
    </w:p>
    <w:p w:rsidR="00FC4F7D" w:rsidRDefault="00FC4F7D">
      <w:pPr>
        <w:pStyle w:val="Caption"/>
      </w:pPr>
      <w:bookmarkStart w:id="180" w:name="_Ref365543687"/>
      <w:bookmarkStart w:id="181" w:name="_Toc370394694"/>
      <w:r>
        <w:t xml:space="preserve">Figure </w:t>
      </w:r>
      <w:fldSimple w:instr=" SEQ Figure \* ARABIC ">
        <w:r w:rsidR="00660A8E">
          <w:rPr>
            <w:noProof/>
          </w:rPr>
          <w:t>24</w:t>
        </w:r>
      </w:fldSimple>
      <w:bookmarkEnd w:id="180"/>
      <w:r w:rsidRPr="004E0C91">
        <w:rPr>
          <w:b/>
          <w:color w:val="000080"/>
        </w:rPr>
        <w:tab/>
      </w:r>
      <w:r w:rsidRPr="00FC4F7D">
        <w:rPr>
          <w:rStyle w:val="CaptionLabel"/>
        </w:rPr>
        <w:t>Generation capacity – Central Policy scenario</w:t>
      </w:r>
      <w:bookmarkEnd w:id="18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FC4F7D" w:rsidTr="00CE43CE">
        <w:trPr>
          <w:cantSplit/>
        </w:trPr>
        <w:tc>
          <w:tcPr>
            <w:tcW w:w="5000" w:type="pct"/>
          </w:tcPr>
          <w:p w:rsidR="00FC4F7D" w:rsidRDefault="00FC4F7D" w:rsidP="00CE43CE">
            <w:pPr>
              <w:pStyle w:val="SmallDeltasRightAligned"/>
              <w:keepNext/>
            </w:pPr>
            <w:r>
              <w:rPr>
                <w:noProof/>
                <w:lang w:eastAsia="en-AU"/>
              </w:rPr>
              <w:drawing>
                <wp:inline distT="0" distB="0" distL="0" distR="0" wp14:anchorId="462B4DD2" wp14:editId="06554955">
                  <wp:extent cx="481585" cy="23469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FC4F7D" w:rsidTr="00CE43CE">
        <w:trPr>
          <w:cantSplit/>
        </w:trPr>
        <w:tc>
          <w:tcPr>
            <w:tcW w:w="5000" w:type="pct"/>
          </w:tcPr>
          <w:p w:rsidR="00FC4F7D" w:rsidRDefault="00FC4F7D" w:rsidP="00CE43CE">
            <w:pPr>
              <w:pStyle w:val="Figure"/>
            </w:pPr>
            <w:r>
              <w:rPr>
                <w:noProof/>
                <w:lang w:eastAsia="en-AU"/>
              </w:rPr>
              <w:drawing>
                <wp:inline distT="0" distB="0" distL="0" distR="0" wp14:anchorId="10EB05C4" wp14:editId="2348F969">
                  <wp:extent cx="4673600" cy="331914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3600" cy="3319145"/>
                          </a:xfrm>
                          <a:prstGeom prst="rect">
                            <a:avLst/>
                          </a:prstGeom>
                          <a:noFill/>
                          <a:ln>
                            <a:noFill/>
                          </a:ln>
                        </pic:spPr>
                      </pic:pic>
                    </a:graphicData>
                  </a:graphic>
                </wp:inline>
              </w:drawing>
            </w:r>
          </w:p>
        </w:tc>
      </w:tr>
    </w:tbl>
    <w:p w:rsidR="00FC4F7D" w:rsidRPr="00B50A1B" w:rsidRDefault="00FC4F7D" w:rsidP="00CE43CE">
      <w:pPr>
        <w:pStyle w:val="Source"/>
        <w:rPr>
          <w:i/>
        </w:rPr>
      </w:pPr>
      <w:r>
        <w:t>S</w:t>
      </w:r>
      <w:r w:rsidRPr="00B50A1B">
        <w:t>ource:</w:t>
      </w:r>
      <w:r w:rsidRPr="00954EED">
        <w:t xml:space="preserve"> </w:t>
      </w:r>
      <w:r>
        <w:t>ACIL Allen</w:t>
      </w:r>
    </w:p>
    <w:p w:rsidR="00FC4F7D" w:rsidRDefault="00FC4F7D" w:rsidP="00FC4F7D">
      <w:pPr>
        <w:pStyle w:val="BodyText"/>
      </w:pPr>
      <w:r>
        <w:t xml:space="preserve">Changes in generation capacity can be more readily analysed by looking at newly installed generation capacity, this being any capacity selected by the model as opposed to being included in the model to represent specific existing or committed generators. </w:t>
      </w:r>
      <w:r w:rsidR="00450552">
        <w:fldChar w:fldCharType="begin"/>
      </w:r>
      <w:r w:rsidR="00450552">
        <w:instrText xml:space="preserve"> REF _Ref365543742 \h </w:instrText>
      </w:r>
      <w:r w:rsidR="00450552">
        <w:fldChar w:fldCharType="separate"/>
      </w:r>
      <w:r w:rsidR="00660A8E">
        <w:t xml:space="preserve">Figure </w:t>
      </w:r>
      <w:r w:rsidR="00660A8E">
        <w:rPr>
          <w:noProof/>
        </w:rPr>
        <w:t>25</w:t>
      </w:r>
      <w:r w:rsidR="00450552">
        <w:fldChar w:fldCharType="end"/>
      </w:r>
      <w:r>
        <w:t xml:space="preserve"> shows that while solar represents a surprisingly large share of installed capacity, there is </w:t>
      </w:r>
      <w:r>
        <w:lastRenderedPageBreak/>
        <w:t xml:space="preserve">ongoing growth in both brown and black coal generation under the No Carbon Price scenario. Peaking gas also grows strongly in that scenario. By contrast, </w:t>
      </w:r>
      <w:r w:rsidR="00450552">
        <w:fldChar w:fldCharType="begin"/>
      </w:r>
      <w:r w:rsidR="00450552">
        <w:instrText xml:space="preserve"> REF _Ref365543747 \h </w:instrText>
      </w:r>
      <w:r w:rsidR="00450552">
        <w:fldChar w:fldCharType="separate"/>
      </w:r>
      <w:r w:rsidR="00660A8E">
        <w:t xml:space="preserve">Figure </w:t>
      </w:r>
      <w:r w:rsidR="00660A8E">
        <w:rPr>
          <w:noProof/>
        </w:rPr>
        <w:t>26</w:t>
      </w:r>
      <w:r w:rsidR="00450552">
        <w:fldChar w:fldCharType="end"/>
      </w:r>
      <w:r>
        <w:t xml:space="preserve"> sees only very low (approximately 2,500 MW) volumes of black coal installation, with greater volumes of baseload gas, wind and, particularly, solar. Over the period from 2033-34 to 2049-50 there is remarkable growth in solar capacity in the Central Policy scenario, from around 15,000 MW to over 50,000 MW. </w:t>
      </w:r>
    </w:p>
    <w:p w:rsidR="00FC4F7D" w:rsidRDefault="00FC4F7D">
      <w:pPr>
        <w:pStyle w:val="Caption"/>
      </w:pPr>
      <w:bookmarkStart w:id="182" w:name="_Ref365543742"/>
      <w:bookmarkStart w:id="183" w:name="_Toc370394695"/>
      <w:r>
        <w:t xml:space="preserve">Figure </w:t>
      </w:r>
      <w:fldSimple w:instr=" SEQ Figure \* ARABIC ">
        <w:r w:rsidR="00660A8E">
          <w:rPr>
            <w:noProof/>
          </w:rPr>
          <w:t>25</w:t>
        </w:r>
      </w:fldSimple>
      <w:bookmarkEnd w:id="182"/>
      <w:r w:rsidRPr="004E0C91">
        <w:rPr>
          <w:b/>
          <w:color w:val="000080"/>
        </w:rPr>
        <w:tab/>
      </w:r>
      <w:r w:rsidRPr="00FC4F7D">
        <w:rPr>
          <w:rStyle w:val="CaptionLabel"/>
        </w:rPr>
        <w:t>Installed generation capacity – No Carbon Price scenario</w:t>
      </w:r>
      <w:bookmarkEnd w:id="18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FC4F7D" w:rsidTr="00CE43CE">
        <w:trPr>
          <w:cantSplit/>
        </w:trPr>
        <w:tc>
          <w:tcPr>
            <w:tcW w:w="5000" w:type="pct"/>
          </w:tcPr>
          <w:p w:rsidR="00FC4F7D" w:rsidRDefault="00FC4F7D" w:rsidP="00CE43CE">
            <w:pPr>
              <w:pStyle w:val="SmallDeltasRightAligned"/>
              <w:keepNext/>
            </w:pPr>
            <w:r>
              <w:rPr>
                <w:noProof/>
                <w:lang w:eastAsia="en-AU"/>
              </w:rPr>
              <w:drawing>
                <wp:inline distT="0" distB="0" distL="0" distR="0" wp14:anchorId="4194F661" wp14:editId="0ABCBAC9">
                  <wp:extent cx="481585" cy="23469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FC4F7D" w:rsidTr="00CE43CE">
        <w:trPr>
          <w:cantSplit/>
        </w:trPr>
        <w:tc>
          <w:tcPr>
            <w:tcW w:w="5000" w:type="pct"/>
          </w:tcPr>
          <w:p w:rsidR="00FC4F7D" w:rsidRDefault="00711C24" w:rsidP="00CE43CE">
            <w:pPr>
              <w:pStyle w:val="Figure"/>
            </w:pPr>
            <w:r>
              <w:rPr>
                <w:noProof/>
                <w:lang w:eastAsia="en-AU"/>
              </w:rPr>
              <w:drawing>
                <wp:inline distT="0" distB="0" distL="0" distR="0" wp14:anchorId="055678CE" wp14:editId="61652AC2">
                  <wp:extent cx="4676775" cy="331470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76775" cy="3314700"/>
                          </a:xfrm>
                          <a:prstGeom prst="rect">
                            <a:avLst/>
                          </a:prstGeom>
                          <a:noFill/>
                          <a:ln>
                            <a:noFill/>
                          </a:ln>
                        </pic:spPr>
                      </pic:pic>
                    </a:graphicData>
                  </a:graphic>
                </wp:inline>
              </w:drawing>
            </w:r>
          </w:p>
        </w:tc>
      </w:tr>
    </w:tbl>
    <w:p w:rsidR="00FC4F7D" w:rsidRDefault="00FC4F7D">
      <w:pPr>
        <w:pStyle w:val="Note"/>
      </w:pPr>
      <w:r>
        <w:rPr>
          <w:i/>
        </w:rPr>
        <w:t>Note:</w:t>
      </w:r>
      <w:r>
        <w:t xml:space="preserve"> </w:t>
      </w:r>
      <w:r w:rsidRPr="00FC4F7D">
        <w:t>‘Installed’ generation capacity refers to new generation capacity that was selected by the model rather than being included in the model to represent actual operating or committed generation plant. Installed capacity presented on the same scale as for the Central Policy scenario for clarity.</w:t>
      </w:r>
    </w:p>
    <w:p w:rsidR="00FC4F7D" w:rsidRPr="00B50A1B" w:rsidRDefault="00FC4F7D" w:rsidP="00CE43CE">
      <w:pPr>
        <w:pStyle w:val="Source"/>
        <w:rPr>
          <w:i/>
        </w:rPr>
      </w:pPr>
      <w:r>
        <w:t>S</w:t>
      </w:r>
      <w:r w:rsidRPr="00B50A1B">
        <w:t>ource:</w:t>
      </w:r>
      <w:r w:rsidRPr="00954EED">
        <w:t xml:space="preserve"> </w:t>
      </w:r>
      <w:r>
        <w:t>ACIL Allen</w:t>
      </w:r>
    </w:p>
    <w:p w:rsidR="00FC4F7D" w:rsidRDefault="00FC4F7D">
      <w:pPr>
        <w:pStyle w:val="Caption"/>
      </w:pPr>
      <w:bookmarkStart w:id="184" w:name="_Ref365543747"/>
      <w:bookmarkStart w:id="185" w:name="_Toc370394696"/>
      <w:r>
        <w:lastRenderedPageBreak/>
        <w:t xml:space="preserve">Figure </w:t>
      </w:r>
      <w:fldSimple w:instr=" SEQ Figure \* ARABIC ">
        <w:r w:rsidR="00660A8E">
          <w:rPr>
            <w:noProof/>
          </w:rPr>
          <w:t>26</w:t>
        </w:r>
      </w:fldSimple>
      <w:bookmarkEnd w:id="184"/>
      <w:r w:rsidRPr="004E0C91">
        <w:rPr>
          <w:b/>
          <w:color w:val="000080"/>
        </w:rPr>
        <w:tab/>
      </w:r>
      <w:r w:rsidRPr="00FC4F7D">
        <w:rPr>
          <w:rStyle w:val="CaptionLabel"/>
        </w:rPr>
        <w:t>Installed generation capacity – Central Policy scenario</w:t>
      </w:r>
      <w:bookmarkEnd w:id="185"/>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FC4F7D" w:rsidTr="00CE43CE">
        <w:trPr>
          <w:cantSplit/>
        </w:trPr>
        <w:tc>
          <w:tcPr>
            <w:tcW w:w="5000" w:type="pct"/>
          </w:tcPr>
          <w:p w:rsidR="00FC4F7D" w:rsidRDefault="00FC4F7D" w:rsidP="00CE43CE">
            <w:pPr>
              <w:pStyle w:val="SmallDeltasRightAligned"/>
              <w:keepNext/>
            </w:pPr>
            <w:r>
              <w:rPr>
                <w:noProof/>
                <w:lang w:eastAsia="en-AU"/>
              </w:rPr>
              <w:drawing>
                <wp:inline distT="0" distB="0" distL="0" distR="0" wp14:anchorId="01264FF6" wp14:editId="35D65108">
                  <wp:extent cx="481585" cy="23469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FC4F7D" w:rsidTr="00CE43CE">
        <w:trPr>
          <w:cantSplit/>
        </w:trPr>
        <w:tc>
          <w:tcPr>
            <w:tcW w:w="5000" w:type="pct"/>
          </w:tcPr>
          <w:p w:rsidR="00FC4F7D" w:rsidRDefault="00FC4F7D" w:rsidP="00CE43CE">
            <w:pPr>
              <w:pStyle w:val="Figure"/>
            </w:pPr>
            <w:r>
              <w:rPr>
                <w:noProof/>
                <w:lang w:eastAsia="en-AU"/>
              </w:rPr>
              <w:drawing>
                <wp:inline distT="0" distB="0" distL="0" distR="0" wp14:anchorId="79EF7061" wp14:editId="71B721B0">
                  <wp:extent cx="4673600" cy="331914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73600" cy="3319145"/>
                          </a:xfrm>
                          <a:prstGeom prst="rect">
                            <a:avLst/>
                          </a:prstGeom>
                          <a:noFill/>
                          <a:ln>
                            <a:noFill/>
                          </a:ln>
                        </pic:spPr>
                      </pic:pic>
                    </a:graphicData>
                  </a:graphic>
                </wp:inline>
              </w:drawing>
            </w:r>
          </w:p>
        </w:tc>
      </w:tr>
    </w:tbl>
    <w:p w:rsidR="00FC4F7D" w:rsidRDefault="00FC4F7D">
      <w:pPr>
        <w:pStyle w:val="Note"/>
      </w:pPr>
      <w:r>
        <w:rPr>
          <w:i/>
        </w:rPr>
        <w:t>Note:</w:t>
      </w:r>
      <w:r>
        <w:t xml:space="preserve"> </w:t>
      </w:r>
      <w:r w:rsidRPr="00FC4F7D">
        <w:t>‘Installed’ generation capacity refers to new generation capacity that was selected by the model rather than being included in the model to represent actual operating or committed generation plant</w:t>
      </w:r>
    </w:p>
    <w:p w:rsidR="00FC4F7D" w:rsidRPr="00B50A1B" w:rsidRDefault="00FC4F7D" w:rsidP="00CE43CE">
      <w:pPr>
        <w:pStyle w:val="Source"/>
        <w:rPr>
          <w:i/>
        </w:rPr>
      </w:pPr>
      <w:r>
        <w:t>S</w:t>
      </w:r>
      <w:r w:rsidRPr="00B50A1B">
        <w:t>ource:</w:t>
      </w:r>
      <w:r w:rsidRPr="00954EED">
        <w:t xml:space="preserve"> </w:t>
      </w:r>
      <w:r>
        <w:t>ACIL Allen</w:t>
      </w:r>
    </w:p>
    <w:p w:rsidR="00FC4F7D" w:rsidRDefault="00FC4F7D" w:rsidP="00FC4F7D">
      <w:pPr>
        <w:pStyle w:val="Heading2"/>
        <w:pBdr>
          <w:bottom w:val="none" w:sz="0" w:space="0" w:color="auto"/>
        </w:pBdr>
      </w:pPr>
      <w:bookmarkStart w:id="186" w:name="_Toc365474046"/>
      <w:bookmarkStart w:id="187" w:name="_Toc370394656"/>
      <w:r>
        <w:t>Electricity prices</w:t>
      </w:r>
      <w:bookmarkEnd w:id="186"/>
      <w:bookmarkEnd w:id="187"/>
    </w:p>
    <w:p w:rsidR="00FC4F7D" w:rsidRDefault="00FC4F7D" w:rsidP="00FC4F7D">
      <w:pPr>
        <w:pStyle w:val="BodyText"/>
      </w:pPr>
      <w:r>
        <w:t xml:space="preserve">This modelling included analysis of electricity price trends with and without a carbon price at both the wholesale and retail level. </w:t>
      </w:r>
    </w:p>
    <w:p w:rsidR="00FC4F7D" w:rsidRDefault="00450552" w:rsidP="00FC4F7D">
      <w:pPr>
        <w:pStyle w:val="BodyText"/>
      </w:pPr>
      <w:r>
        <w:fldChar w:fldCharType="begin"/>
      </w:r>
      <w:r>
        <w:instrText xml:space="preserve"> REF _Ref365543761 \h </w:instrText>
      </w:r>
      <w:r>
        <w:fldChar w:fldCharType="separate"/>
      </w:r>
      <w:r w:rsidR="00660A8E">
        <w:t xml:space="preserve">Figure </w:t>
      </w:r>
      <w:r w:rsidR="00660A8E">
        <w:rPr>
          <w:noProof/>
        </w:rPr>
        <w:t>27</w:t>
      </w:r>
      <w:r>
        <w:fldChar w:fldCharType="end"/>
      </w:r>
      <w:r w:rsidR="00FC4F7D">
        <w:t xml:space="preserve"> and </w:t>
      </w:r>
      <w:r>
        <w:fldChar w:fldCharType="begin"/>
      </w:r>
      <w:r>
        <w:instrText xml:space="preserve"> REF _Ref365543766 \h </w:instrText>
      </w:r>
      <w:r>
        <w:fldChar w:fldCharType="separate"/>
      </w:r>
      <w:r w:rsidR="00660A8E">
        <w:t xml:space="preserve">Figure </w:t>
      </w:r>
      <w:r w:rsidR="00660A8E">
        <w:rPr>
          <w:noProof/>
        </w:rPr>
        <w:t>28</w:t>
      </w:r>
      <w:r>
        <w:fldChar w:fldCharType="end"/>
      </w:r>
      <w:r w:rsidR="00FC4F7D">
        <w:t xml:space="preserve"> illustrate wholesale price trends in the </w:t>
      </w:r>
      <w:r w:rsidR="00D373A7">
        <w:t>No Carbon Price</w:t>
      </w:r>
      <w:r w:rsidR="00FC4F7D">
        <w:t xml:space="preserve"> and Central Policy scenario respectively. As can be seen, the prices in the No Carbon Price scenario stabilise in the long-run reflecting relatively stable costs of new entrant thermal generation technologies. Queensland has the cheapest (black coal) new entrant, and hence lower electricity prices than NSW, Victoria and other NEM regions. The Northern Territory has the highest prices, reflecting the absence of coal new entry to compete with gas, which is in turn </w:t>
      </w:r>
      <w:r w:rsidR="00870E54">
        <w:t>means that</w:t>
      </w:r>
      <w:r w:rsidR="00FC4F7D">
        <w:t xml:space="preserve"> rising gas prices</w:t>
      </w:r>
      <w:r w:rsidR="00870E54">
        <w:t xml:space="preserve"> flow through into wholesale electricity prices</w:t>
      </w:r>
      <w:r w:rsidR="00FC4F7D">
        <w:t>. The fall in electricity prices in the NT around 2020 reflects the emergence of efficient new entrant CCGT generation with lower costs than the incumbent plant. However, costs and prices subsequently rise with gas prices. The late decline in prices in the SWIS reflects the emergence of competitive solar generation.</w:t>
      </w:r>
    </w:p>
    <w:p w:rsidR="00FC4F7D" w:rsidRDefault="00FC4F7D">
      <w:pPr>
        <w:pStyle w:val="Caption"/>
      </w:pPr>
      <w:bookmarkStart w:id="188" w:name="_Ref365543761"/>
      <w:bookmarkStart w:id="189" w:name="_Toc370394697"/>
      <w:r>
        <w:lastRenderedPageBreak/>
        <w:t xml:space="preserve">Figure </w:t>
      </w:r>
      <w:fldSimple w:instr=" SEQ Figure \* ARABIC ">
        <w:r w:rsidR="00660A8E">
          <w:rPr>
            <w:noProof/>
          </w:rPr>
          <w:t>27</w:t>
        </w:r>
      </w:fldSimple>
      <w:bookmarkEnd w:id="188"/>
      <w:r w:rsidRPr="004E0C91">
        <w:rPr>
          <w:b/>
          <w:color w:val="000080"/>
        </w:rPr>
        <w:tab/>
      </w:r>
      <w:r w:rsidRPr="00FC4F7D">
        <w:rPr>
          <w:rStyle w:val="CaptionLabel"/>
        </w:rPr>
        <w:t>Wholesale electricity prices</w:t>
      </w:r>
      <w:r w:rsidR="00085E29">
        <w:rPr>
          <w:rStyle w:val="CaptionLabel"/>
        </w:rPr>
        <w:t xml:space="preserve"> </w:t>
      </w:r>
      <w:r w:rsidRPr="00FC4F7D">
        <w:rPr>
          <w:rStyle w:val="CaptionLabel"/>
        </w:rPr>
        <w:t>– No Carbon Price scenario</w:t>
      </w:r>
      <w:bookmarkEnd w:id="18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FC4F7D" w:rsidTr="00CE43CE">
        <w:trPr>
          <w:cantSplit/>
        </w:trPr>
        <w:tc>
          <w:tcPr>
            <w:tcW w:w="5000" w:type="pct"/>
          </w:tcPr>
          <w:p w:rsidR="00FC4F7D" w:rsidRDefault="00FC4F7D" w:rsidP="00CE43CE">
            <w:pPr>
              <w:pStyle w:val="SmallDeltasRightAligned"/>
              <w:keepNext/>
            </w:pPr>
            <w:r>
              <w:rPr>
                <w:noProof/>
                <w:lang w:eastAsia="en-AU"/>
              </w:rPr>
              <w:drawing>
                <wp:inline distT="0" distB="0" distL="0" distR="0" wp14:anchorId="19943EB9" wp14:editId="6736F454">
                  <wp:extent cx="481585" cy="234696"/>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FC4F7D" w:rsidTr="00CE43CE">
        <w:trPr>
          <w:cantSplit/>
        </w:trPr>
        <w:tc>
          <w:tcPr>
            <w:tcW w:w="5000" w:type="pct"/>
          </w:tcPr>
          <w:p w:rsidR="00FC4F7D" w:rsidRDefault="009F6AB5" w:rsidP="00CE43CE">
            <w:pPr>
              <w:pStyle w:val="Figure"/>
            </w:pPr>
            <w:r>
              <w:rPr>
                <w:noProof/>
                <w:lang w:eastAsia="en-AU"/>
              </w:rPr>
              <w:drawing>
                <wp:inline distT="0" distB="0" distL="0" distR="0" wp14:anchorId="42483267" wp14:editId="66C264DE">
                  <wp:extent cx="4675505" cy="264858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75505" cy="2648585"/>
                          </a:xfrm>
                          <a:prstGeom prst="rect">
                            <a:avLst/>
                          </a:prstGeom>
                          <a:noFill/>
                          <a:ln>
                            <a:noFill/>
                          </a:ln>
                        </pic:spPr>
                      </pic:pic>
                    </a:graphicData>
                  </a:graphic>
                </wp:inline>
              </w:drawing>
            </w:r>
          </w:p>
        </w:tc>
      </w:tr>
    </w:tbl>
    <w:p w:rsidR="00FC4F7D" w:rsidRDefault="00FC4F7D">
      <w:pPr>
        <w:pStyle w:val="Note"/>
      </w:pPr>
      <w:r>
        <w:rPr>
          <w:i/>
        </w:rPr>
        <w:t>Note:</w:t>
      </w:r>
      <w:r>
        <w:t xml:space="preserve"> </w:t>
      </w:r>
      <w:r w:rsidRPr="00FC4F7D">
        <w:t>Wholesale prices presented on the same scale as for the Central Policy scenario for clarity.</w:t>
      </w:r>
    </w:p>
    <w:p w:rsidR="00FC4F7D" w:rsidRPr="00B50A1B" w:rsidRDefault="00FC4F7D" w:rsidP="00CE43CE">
      <w:pPr>
        <w:pStyle w:val="Source"/>
        <w:rPr>
          <w:i/>
        </w:rPr>
      </w:pPr>
      <w:r>
        <w:t>S</w:t>
      </w:r>
      <w:r w:rsidRPr="00B50A1B">
        <w:t>ource:</w:t>
      </w:r>
      <w:r w:rsidRPr="00954EED">
        <w:t xml:space="preserve"> </w:t>
      </w:r>
      <w:r>
        <w:t>ACIL Allen</w:t>
      </w:r>
    </w:p>
    <w:p w:rsidR="00FC4F7D" w:rsidRPr="000A2B3A" w:rsidRDefault="00FC4F7D" w:rsidP="00FC4F7D">
      <w:pPr>
        <w:pStyle w:val="BodyText"/>
      </w:pPr>
      <w:r>
        <w:t xml:space="preserve">The price path in the Central Policy scenario involves higher initial increases in most regions as the carbon price is passed through into wholesale generation costs. However, in the longer-run, the wholesale price stabilises around a level determined by a mix of low emissions new entrants. In most regions this is a combination of solar, a relatively low cost ‘non-intermittent’ technology and some flexible gas-fired generation: in Victoria and the SWIS the low cost non-intermittent technology is geothermal, whilst in Queensland it is black coal with CCS. NSW relies on interconnection with other regions to complement increasing solar generation. SA employs a combination of solar, wind, gas-fired generation and interconnection with Victoria. NT is heavily reliant on gas-fired generation to complement intermittent solar generation, and therefore sees electricity prices continue to rise as gas and carbon prices rise.  </w:t>
      </w:r>
    </w:p>
    <w:p w:rsidR="00FC4F7D" w:rsidRDefault="00FC4F7D">
      <w:pPr>
        <w:pStyle w:val="Caption"/>
      </w:pPr>
      <w:bookmarkStart w:id="190" w:name="_Ref365543766"/>
      <w:bookmarkStart w:id="191" w:name="_Toc370394698"/>
      <w:r>
        <w:t xml:space="preserve">Figure </w:t>
      </w:r>
      <w:fldSimple w:instr=" SEQ Figure \* ARABIC ">
        <w:r w:rsidR="00660A8E">
          <w:rPr>
            <w:noProof/>
          </w:rPr>
          <w:t>28</w:t>
        </w:r>
      </w:fldSimple>
      <w:bookmarkEnd w:id="190"/>
      <w:r w:rsidRPr="004E0C91">
        <w:rPr>
          <w:b/>
          <w:color w:val="000080"/>
        </w:rPr>
        <w:tab/>
      </w:r>
      <w:r w:rsidR="004349FA" w:rsidRPr="004349FA">
        <w:rPr>
          <w:rStyle w:val="CaptionLabel"/>
        </w:rPr>
        <w:t>Wholesale electricity prices – Central Policy scenario</w:t>
      </w:r>
      <w:bookmarkEnd w:id="19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FC4F7D" w:rsidTr="00CE43CE">
        <w:trPr>
          <w:cantSplit/>
        </w:trPr>
        <w:tc>
          <w:tcPr>
            <w:tcW w:w="5000" w:type="pct"/>
          </w:tcPr>
          <w:p w:rsidR="00FC4F7D" w:rsidRDefault="00FC4F7D" w:rsidP="00CE43CE">
            <w:pPr>
              <w:pStyle w:val="SmallDeltasRightAligned"/>
              <w:keepNext/>
            </w:pPr>
            <w:r>
              <w:rPr>
                <w:noProof/>
                <w:lang w:eastAsia="en-AU"/>
              </w:rPr>
              <w:drawing>
                <wp:inline distT="0" distB="0" distL="0" distR="0" wp14:anchorId="4AA4957B" wp14:editId="27075AB0">
                  <wp:extent cx="481585" cy="234696"/>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FC4F7D" w:rsidTr="00CE43CE">
        <w:trPr>
          <w:cantSplit/>
        </w:trPr>
        <w:tc>
          <w:tcPr>
            <w:tcW w:w="5000" w:type="pct"/>
          </w:tcPr>
          <w:p w:rsidR="00FC4F7D" w:rsidRDefault="009F6AB5" w:rsidP="00CE43CE">
            <w:pPr>
              <w:pStyle w:val="Figure"/>
            </w:pPr>
            <w:r>
              <w:rPr>
                <w:noProof/>
                <w:lang w:eastAsia="en-AU"/>
              </w:rPr>
              <w:drawing>
                <wp:inline distT="0" distB="0" distL="0" distR="0" wp14:anchorId="602EE4F5" wp14:editId="02126EBD">
                  <wp:extent cx="4675505" cy="238950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75505" cy="2389505"/>
                          </a:xfrm>
                          <a:prstGeom prst="rect">
                            <a:avLst/>
                          </a:prstGeom>
                          <a:noFill/>
                          <a:ln>
                            <a:noFill/>
                          </a:ln>
                        </pic:spPr>
                      </pic:pic>
                    </a:graphicData>
                  </a:graphic>
                </wp:inline>
              </w:drawing>
            </w:r>
          </w:p>
        </w:tc>
      </w:tr>
    </w:tbl>
    <w:p w:rsidR="00FC4F7D" w:rsidRPr="00B50A1B" w:rsidRDefault="00FC4F7D" w:rsidP="00CE43CE">
      <w:pPr>
        <w:pStyle w:val="Source"/>
        <w:rPr>
          <w:i/>
        </w:rPr>
      </w:pPr>
      <w:r>
        <w:t>S</w:t>
      </w:r>
      <w:r w:rsidRPr="00B50A1B">
        <w:t>ource:</w:t>
      </w:r>
      <w:r w:rsidRPr="00954EED">
        <w:t xml:space="preserve"> </w:t>
      </w:r>
      <w:r w:rsidR="004349FA">
        <w:t>ACIL Allen</w:t>
      </w:r>
    </w:p>
    <w:p w:rsidR="004349FA" w:rsidRDefault="00450552" w:rsidP="004349FA">
      <w:pPr>
        <w:pStyle w:val="BodyText"/>
      </w:pPr>
      <w:r>
        <w:lastRenderedPageBreak/>
        <w:fldChar w:fldCharType="begin"/>
      </w:r>
      <w:r>
        <w:instrText xml:space="preserve"> REF _Ref365543781 \h </w:instrText>
      </w:r>
      <w:r>
        <w:fldChar w:fldCharType="separate"/>
      </w:r>
      <w:r w:rsidR="00660A8E">
        <w:t xml:space="preserve">Figure </w:t>
      </w:r>
      <w:r w:rsidR="00660A8E">
        <w:rPr>
          <w:noProof/>
        </w:rPr>
        <w:t>29</w:t>
      </w:r>
      <w:r>
        <w:fldChar w:fldCharType="end"/>
      </w:r>
      <w:r w:rsidR="004349FA">
        <w:t xml:space="preserve"> and </w:t>
      </w:r>
      <w:r>
        <w:fldChar w:fldCharType="begin"/>
      </w:r>
      <w:r>
        <w:instrText xml:space="preserve"> REF _Ref365543786 \h </w:instrText>
      </w:r>
      <w:r>
        <w:fldChar w:fldCharType="separate"/>
      </w:r>
      <w:r w:rsidR="00660A8E">
        <w:t xml:space="preserve">Figure </w:t>
      </w:r>
      <w:r w:rsidR="00660A8E">
        <w:rPr>
          <w:noProof/>
        </w:rPr>
        <w:t>30</w:t>
      </w:r>
      <w:r>
        <w:fldChar w:fldCharType="end"/>
      </w:r>
      <w:r w:rsidR="004349FA">
        <w:t xml:space="preserve"> illustrate retail electricity price trends for residential customers. These prices include a range of components other than the wholesale costs described above, including a load shape and hedging component that reflects the volatile and positively price-correlated nature of residential demand, network costs (which are </w:t>
      </w:r>
      <w:r w:rsidR="00870E54">
        <w:t>generally</w:t>
      </w:r>
      <w:r w:rsidR="004349FA">
        <w:t xml:space="preserve"> a greater portion of residential retail tariffs than wholesale costs), green scheme costs (principally the LRET and SRES, but also GGAS, QGAS and ‘white certificate’ energy efficiency schemes in Victoria, NSW and South Australia) and retail operating costs. With these other cost components, residential retail electricity tariffs tend to be relatively stable in both scenarios, and the difference between the two (driven by the carbon price) generally increases over time but rarely exceeds 40% (see </w:t>
      </w:r>
      <w:r>
        <w:fldChar w:fldCharType="begin"/>
      </w:r>
      <w:r>
        <w:instrText xml:space="preserve"> REF _Ref365543793 \h </w:instrText>
      </w:r>
      <w:r>
        <w:fldChar w:fldCharType="separate"/>
      </w:r>
      <w:r w:rsidR="00660A8E">
        <w:t xml:space="preserve">Figure </w:t>
      </w:r>
      <w:r w:rsidR="00660A8E">
        <w:rPr>
          <w:noProof/>
        </w:rPr>
        <w:t>31</w:t>
      </w:r>
      <w:r>
        <w:fldChar w:fldCharType="end"/>
      </w:r>
      <w:r>
        <w:t>).</w:t>
      </w:r>
    </w:p>
    <w:p w:rsidR="004349FA" w:rsidRDefault="004349FA">
      <w:pPr>
        <w:pStyle w:val="Caption"/>
      </w:pPr>
      <w:bookmarkStart w:id="192" w:name="_Ref365543781"/>
      <w:bookmarkStart w:id="193" w:name="_Toc370394699"/>
      <w:r>
        <w:t xml:space="preserve">Figure </w:t>
      </w:r>
      <w:fldSimple w:instr=" SEQ Figure \* ARABIC ">
        <w:r w:rsidR="00660A8E">
          <w:rPr>
            <w:noProof/>
          </w:rPr>
          <w:t>29</w:t>
        </w:r>
      </w:fldSimple>
      <w:bookmarkEnd w:id="192"/>
      <w:r w:rsidRPr="004E0C91">
        <w:rPr>
          <w:b/>
          <w:color w:val="000080"/>
        </w:rPr>
        <w:tab/>
      </w:r>
      <w:r w:rsidRPr="004349FA">
        <w:rPr>
          <w:rStyle w:val="CaptionLabel"/>
        </w:rPr>
        <w:t>Residential retail electricity prices – No Carbon Price scenario</w:t>
      </w:r>
      <w:bookmarkEnd w:id="19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349FA" w:rsidTr="00CE43CE">
        <w:trPr>
          <w:cantSplit/>
        </w:trPr>
        <w:tc>
          <w:tcPr>
            <w:tcW w:w="5000" w:type="pct"/>
          </w:tcPr>
          <w:p w:rsidR="004349FA" w:rsidRDefault="004349FA" w:rsidP="00CE43CE">
            <w:pPr>
              <w:pStyle w:val="SmallDeltasRightAligned"/>
              <w:keepNext/>
            </w:pPr>
            <w:r>
              <w:rPr>
                <w:noProof/>
                <w:lang w:eastAsia="en-AU"/>
              </w:rPr>
              <w:drawing>
                <wp:inline distT="0" distB="0" distL="0" distR="0" wp14:anchorId="182EF313" wp14:editId="5C2FCC09">
                  <wp:extent cx="481585" cy="234696"/>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349FA" w:rsidTr="00CE43CE">
        <w:trPr>
          <w:cantSplit/>
        </w:trPr>
        <w:tc>
          <w:tcPr>
            <w:tcW w:w="5000" w:type="pct"/>
          </w:tcPr>
          <w:p w:rsidR="004349FA" w:rsidRDefault="009F6AB5" w:rsidP="00CE43CE">
            <w:pPr>
              <w:pStyle w:val="Figure"/>
            </w:pPr>
            <w:r>
              <w:rPr>
                <w:noProof/>
                <w:lang w:eastAsia="en-AU"/>
              </w:rPr>
              <w:drawing>
                <wp:inline distT="0" distB="0" distL="0" distR="0" wp14:anchorId="30B36597" wp14:editId="6D4D100B">
                  <wp:extent cx="4675505" cy="245872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75505" cy="2458720"/>
                          </a:xfrm>
                          <a:prstGeom prst="rect">
                            <a:avLst/>
                          </a:prstGeom>
                          <a:noFill/>
                          <a:ln>
                            <a:noFill/>
                          </a:ln>
                        </pic:spPr>
                      </pic:pic>
                    </a:graphicData>
                  </a:graphic>
                </wp:inline>
              </w:drawing>
            </w:r>
          </w:p>
        </w:tc>
      </w:tr>
    </w:tbl>
    <w:p w:rsidR="004349FA" w:rsidRPr="00B50A1B" w:rsidRDefault="004349FA" w:rsidP="00CE43CE">
      <w:pPr>
        <w:pStyle w:val="Source"/>
        <w:rPr>
          <w:i/>
        </w:rPr>
      </w:pPr>
      <w:r>
        <w:t>S</w:t>
      </w:r>
      <w:r w:rsidRPr="00B50A1B">
        <w:t>ource:</w:t>
      </w:r>
      <w:r w:rsidRPr="00954EED">
        <w:t xml:space="preserve"> </w:t>
      </w:r>
      <w:r>
        <w:t>ACIL Allen</w:t>
      </w:r>
    </w:p>
    <w:p w:rsidR="004349FA" w:rsidRDefault="004349FA">
      <w:pPr>
        <w:pStyle w:val="Caption"/>
      </w:pPr>
      <w:bookmarkStart w:id="194" w:name="_Ref365543786"/>
      <w:bookmarkStart w:id="195" w:name="_Toc370394700"/>
      <w:r>
        <w:t xml:space="preserve">Figure </w:t>
      </w:r>
      <w:fldSimple w:instr=" SEQ Figure \* ARABIC ">
        <w:r w:rsidR="00660A8E">
          <w:rPr>
            <w:noProof/>
          </w:rPr>
          <w:t>30</w:t>
        </w:r>
      </w:fldSimple>
      <w:bookmarkEnd w:id="194"/>
      <w:r w:rsidRPr="004E0C91">
        <w:rPr>
          <w:b/>
          <w:color w:val="000080"/>
        </w:rPr>
        <w:tab/>
      </w:r>
      <w:r w:rsidRPr="004349FA">
        <w:rPr>
          <w:rStyle w:val="CaptionLabel"/>
        </w:rPr>
        <w:t>Residential retail electricity prices – Central Policy scenario</w:t>
      </w:r>
      <w:bookmarkEnd w:id="195"/>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349FA" w:rsidTr="00CE43CE">
        <w:trPr>
          <w:cantSplit/>
        </w:trPr>
        <w:tc>
          <w:tcPr>
            <w:tcW w:w="5000" w:type="pct"/>
          </w:tcPr>
          <w:p w:rsidR="004349FA" w:rsidRDefault="004349FA" w:rsidP="00CE43CE">
            <w:pPr>
              <w:pStyle w:val="SmallDeltasRightAligned"/>
              <w:keepNext/>
            </w:pPr>
            <w:r>
              <w:rPr>
                <w:noProof/>
                <w:lang w:eastAsia="en-AU"/>
              </w:rPr>
              <w:drawing>
                <wp:inline distT="0" distB="0" distL="0" distR="0" wp14:anchorId="406D6D0F" wp14:editId="40FDA40D">
                  <wp:extent cx="481585" cy="234696"/>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349FA" w:rsidTr="00CE43CE">
        <w:trPr>
          <w:cantSplit/>
        </w:trPr>
        <w:tc>
          <w:tcPr>
            <w:tcW w:w="5000" w:type="pct"/>
          </w:tcPr>
          <w:p w:rsidR="004349FA" w:rsidRDefault="009F6AB5" w:rsidP="00CE43CE">
            <w:pPr>
              <w:pStyle w:val="Figure"/>
            </w:pPr>
            <w:r>
              <w:rPr>
                <w:noProof/>
                <w:lang w:eastAsia="en-AU"/>
              </w:rPr>
              <w:drawing>
                <wp:inline distT="0" distB="0" distL="0" distR="0" wp14:anchorId="5D8B6B20" wp14:editId="489993C0">
                  <wp:extent cx="4675505" cy="24066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5505" cy="2406650"/>
                          </a:xfrm>
                          <a:prstGeom prst="rect">
                            <a:avLst/>
                          </a:prstGeom>
                          <a:noFill/>
                          <a:ln>
                            <a:noFill/>
                          </a:ln>
                        </pic:spPr>
                      </pic:pic>
                    </a:graphicData>
                  </a:graphic>
                </wp:inline>
              </w:drawing>
            </w:r>
          </w:p>
        </w:tc>
      </w:tr>
    </w:tbl>
    <w:p w:rsidR="004349FA" w:rsidRPr="00B50A1B" w:rsidRDefault="004349FA" w:rsidP="00CE43CE">
      <w:pPr>
        <w:pStyle w:val="Source"/>
        <w:rPr>
          <w:i/>
        </w:rPr>
      </w:pPr>
      <w:r>
        <w:t>S</w:t>
      </w:r>
      <w:r w:rsidRPr="00B50A1B">
        <w:t>ource:</w:t>
      </w:r>
      <w:r w:rsidRPr="00954EED">
        <w:t xml:space="preserve"> </w:t>
      </w:r>
      <w:r>
        <w:t>ACIL Allen</w:t>
      </w:r>
    </w:p>
    <w:p w:rsidR="004349FA" w:rsidRDefault="004349FA">
      <w:pPr>
        <w:pStyle w:val="Caption"/>
      </w:pPr>
      <w:bookmarkStart w:id="196" w:name="_Ref365543793"/>
      <w:bookmarkStart w:id="197" w:name="_Toc370394701"/>
      <w:r>
        <w:lastRenderedPageBreak/>
        <w:t xml:space="preserve">Figure </w:t>
      </w:r>
      <w:fldSimple w:instr=" SEQ Figure \* ARABIC ">
        <w:r w:rsidR="00660A8E">
          <w:rPr>
            <w:noProof/>
          </w:rPr>
          <w:t>31</w:t>
        </w:r>
      </w:fldSimple>
      <w:bookmarkEnd w:id="196"/>
      <w:r w:rsidRPr="004E0C91">
        <w:rPr>
          <w:b/>
          <w:color w:val="000080"/>
        </w:rPr>
        <w:tab/>
      </w:r>
      <w:r w:rsidRPr="004349FA">
        <w:rPr>
          <w:rStyle w:val="CaptionLabel"/>
        </w:rPr>
        <w:t>Percentage change in residential retail tariffs – No Carbon Price scenario to Central Policy scenario</w:t>
      </w:r>
      <w:bookmarkEnd w:id="197"/>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349FA" w:rsidTr="00CE43CE">
        <w:trPr>
          <w:cantSplit/>
        </w:trPr>
        <w:tc>
          <w:tcPr>
            <w:tcW w:w="5000" w:type="pct"/>
          </w:tcPr>
          <w:p w:rsidR="004349FA" w:rsidRDefault="004349FA" w:rsidP="00CE43CE">
            <w:pPr>
              <w:pStyle w:val="SmallDeltasRightAligned"/>
              <w:keepNext/>
            </w:pPr>
            <w:r>
              <w:rPr>
                <w:noProof/>
                <w:lang w:eastAsia="en-AU"/>
              </w:rPr>
              <w:drawing>
                <wp:inline distT="0" distB="0" distL="0" distR="0" wp14:anchorId="46C60085" wp14:editId="350ECB01">
                  <wp:extent cx="481585" cy="234696"/>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349FA" w:rsidTr="00CE43CE">
        <w:trPr>
          <w:cantSplit/>
        </w:trPr>
        <w:tc>
          <w:tcPr>
            <w:tcW w:w="5000" w:type="pct"/>
          </w:tcPr>
          <w:p w:rsidR="004349FA" w:rsidRDefault="0083740E" w:rsidP="00CE43CE">
            <w:pPr>
              <w:pStyle w:val="Figure"/>
            </w:pPr>
            <w:r>
              <w:rPr>
                <w:noProof/>
                <w:lang w:eastAsia="en-AU"/>
              </w:rPr>
              <w:drawing>
                <wp:inline distT="0" distB="0" distL="0" distR="0" wp14:anchorId="138EB34B" wp14:editId="6480F420">
                  <wp:extent cx="4673600" cy="2359660"/>
                  <wp:effectExtent l="0" t="0" r="0"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3600" cy="2359660"/>
                          </a:xfrm>
                          <a:prstGeom prst="rect">
                            <a:avLst/>
                          </a:prstGeom>
                          <a:noFill/>
                          <a:ln>
                            <a:noFill/>
                          </a:ln>
                        </pic:spPr>
                      </pic:pic>
                    </a:graphicData>
                  </a:graphic>
                </wp:inline>
              </w:drawing>
            </w:r>
          </w:p>
        </w:tc>
      </w:tr>
    </w:tbl>
    <w:p w:rsidR="004349FA" w:rsidRDefault="004349FA" w:rsidP="00CE43CE">
      <w:pPr>
        <w:pStyle w:val="Source"/>
      </w:pPr>
      <w:r>
        <w:t>S</w:t>
      </w:r>
      <w:r w:rsidRPr="00B50A1B">
        <w:t>ource:</w:t>
      </w:r>
      <w:r w:rsidRPr="00954EED">
        <w:t xml:space="preserve"> </w:t>
      </w:r>
      <w:r w:rsidR="00CE43CE">
        <w:t>ACIL Allen</w:t>
      </w:r>
    </w:p>
    <w:p w:rsidR="00085E29" w:rsidRDefault="008B6237" w:rsidP="001B52A9">
      <w:pPr>
        <w:pStyle w:val="BodyText"/>
      </w:pPr>
      <w:r>
        <w:fldChar w:fldCharType="begin"/>
      </w:r>
      <w:r>
        <w:instrText xml:space="preserve"> REF _Ref365556457 \h </w:instrText>
      </w:r>
      <w:r>
        <w:fldChar w:fldCharType="separate"/>
      </w:r>
      <w:r w:rsidR="00660A8E">
        <w:t xml:space="preserve">Figure </w:t>
      </w:r>
      <w:r w:rsidR="00660A8E">
        <w:rPr>
          <w:noProof/>
        </w:rPr>
        <w:t>32</w:t>
      </w:r>
      <w:r>
        <w:fldChar w:fldCharType="end"/>
      </w:r>
      <w:r>
        <w:t xml:space="preserve"> and </w:t>
      </w:r>
      <w:r>
        <w:fldChar w:fldCharType="begin"/>
      </w:r>
      <w:r>
        <w:instrText xml:space="preserve"> REF _Ref365556459 \h </w:instrText>
      </w:r>
      <w:r>
        <w:fldChar w:fldCharType="separate"/>
      </w:r>
      <w:r w:rsidR="00660A8E">
        <w:t xml:space="preserve">Figure </w:t>
      </w:r>
      <w:r w:rsidR="00660A8E">
        <w:rPr>
          <w:noProof/>
        </w:rPr>
        <w:t>33</w:t>
      </w:r>
      <w:r>
        <w:fldChar w:fldCharType="end"/>
      </w:r>
      <w:r>
        <w:t xml:space="preserve"> present retail electricity tariffs (inclusive of wholesale, network, green scheme and retail cost components) for an indicative industrial electricity consumer. These prices are typically lower than for residential users as larger energy users typically pay lower network charges (due to receiving electricity at higher voltages) and have ‘flatter’ load shapes that are less correlated with price spikes in the wholesale market. The industrial users modelled here are not assumed to receive any partial exemptions from the LRET or any specific assistance to offset the effect of the carbon price on their electricity prices. </w:t>
      </w:r>
    </w:p>
    <w:p w:rsidR="00085E29" w:rsidRDefault="00085E29">
      <w:pPr>
        <w:pStyle w:val="Caption"/>
      </w:pPr>
      <w:bookmarkStart w:id="198" w:name="_Ref365556457"/>
      <w:bookmarkStart w:id="199" w:name="_Toc370394702"/>
      <w:r>
        <w:t xml:space="preserve">Figure </w:t>
      </w:r>
      <w:fldSimple w:instr=" SEQ Figure \* ARABIC ">
        <w:r w:rsidR="00660A8E">
          <w:rPr>
            <w:noProof/>
          </w:rPr>
          <w:t>32</w:t>
        </w:r>
      </w:fldSimple>
      <w:bookmarkEnd w:id="198"/>
      <w:r w:rsidRPr="004E0C91">
        <w:rPr>
          <w:b/>
          <w:color w:val="000080"/>
        </w:rPr>
        <w:tab/>
      </w:r>
      <w:r w:rsidR="008B6237">
        <w:rPr>
          <w:rStyle w:val="CaptionLabel"/>
        </w:rPr>
        <w:t>Industrial customer</w:t>
      </w:r>
      <w:r w:rsidRPr="004349FA">
        <w:rPr>
          <w:rStyle w:val="CaptionLabel"/>
        </w:rPr>
        <w:t xml:space="preserve"> electricity prices – No Carbon Price scenario</w:t>
      </w:r>
      <w:bookmarkEnd w:id="19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085E29" w:rsidTr="00631C08">
        <w:trPr>
          <w:cantSplit/>
        </w:trPr>
        <w:tc>
          <w:tcPr>
            <w:tcW w:w="5000" w:type="pct"/>
          </w:tcPr>
          <w:p w:rsidR="00085E29" w:rsidRDefault="00085E29" w:rsidP="00631C08">
            <w:pPr>
              <w:pStyle w:val="SmallDeltasRightAligned"/>
              <w:keepNext/>
            </w:pPr>
            <w:r>
              <w:rPr>
                <w:noProof/>
                <w:lang w:eastAsia="en-AU"/>
              </w:rPr>
              <w:drawing>
                <wp:inline distT="0" distB="0" distL="0" distR="0" wp14:anchorId="42224C16" wp14:editId="38CDC760">
                  <wp:extent cx="481585" cy="23469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085E29" w:rsidTr="00631C08">
        <w:trPr>
          <w:cantSplit/>
        </w:trPr>
        <w:tc>
          <w:tcPr>
            <w:tcW w:w="5000" w:type="pct"/>
          </w:tcPr>
          <w:p w:rsidR="00085E29" w:rsidRDefault="009F6AB5" w:rsidP="00631C08">
            <w:pPr>
              <w:pStyle w:val="Figure"/>
            </w:pPr>
            <w:r>
              <w:rPr>
                <w:noProof/>
                <w:lang w:eastAsia="en-AU"/>
              </w:rPr>
              <w:drawing>
                <wp:inline distT="0" distB="0" distL="0" distR="0" wp14:anchorId="4966907B" wp14:editId="7EC19A05">
                  <wp:extent cx="4675505" cy="245872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5505" cy="2458720"/>
                          </a:xfrm>
                          <a:prstGeom prst="rect">
                            <a:avLst/>
                          </a:prstGeom>
                          <a:noFill/>
                          <a:ln>
                            <a:noFill/>
                          </a:ln>
                        </pic:spPr>
                      </pic:pic>
                    </a:graphicData>
                  </a:graphic>
                </wp:inline>
              </w:drawing>
            </w:r>
          </w:p>
        </w:tc>
      </w:tr>
    </w:tbl>
    <w:p w:rsidR="00085E29" w:rsidRDefault="00085E29">
      <w:pPr>
        <w:pStyle w:val="Note"/>
      </w:pPr>
      <w:r>
        <w:rPr>
          <w:i/>
        </w:rPr>
        <w:t>Note:</w:t>
      </w:r>
      <w:r>
        <w:t xml:space="preserve"> Industrial customers have a great variety of load profiles and network charges</w:t>
      </w:r>
      <w:r w:rsidR="008B6237">
        <w:t xml:space="preserve">, and therefore the series presented here is a stylised price indicative of an industrial customer. </w:t>
      </w:r>
    </w:p>
    <w:p w:rsidR="00085E29" w:rsidRPr="00B50A1B" w:rsidRDefault="00085E29" w:rsidP="00631C08">
      <w:pPr>
        <w:pStyle w:val="Source"/>
        <w:rPr>
          <w:i/>
        </w:rPr>
      </w:pPr>
      <w:r>
        <w:t>S</w:t>
      </w:r>
      <w:r w:rsidRPr="00B50A1B">
        <w:t>ource:</w:t>
      </w:r>
      <w:r w:rsidRPr="00954EED">
        <w:t xml:space="preserve"> </w:t>
      </w:r>
      <w:r w:rsidR="008B6237">
        <w:t>ACIL Allen</w:t>
      </w:r>
    </w:p>
    <w:p w:rsidR="008B6237" w:rsidRDefault="008B6237" w:rsidP="008B6237">
      <w:pPr>
        <w:pStyle w:val="Caption"/>
      </w:pPr>
      <w:bookmarkStart w:id="200" w:name="_Ref365556459"/>
      <w:bookmarkStart w:id="201" w:name="_Toc370394703"/>
      <w:r>
        <w:lastRenderedPageBreak/>
        <w:t xml:space="preserve">Figure </w:t>
      </w:r>
      <w:fldSimple w:instr=" SEQ Figure \* ARABIC ">
        <w:r w:rsidR="00660A8E">
          <w:rPr>
            <w:noProof/>
          </w:rPr>
          <w:t>33</w:t>
        </w:r>
      </w:fldSimple>
      <w:bookmarkEnd w:id="200"/>
      <w:r w:rsidRPr="004E0C91">
        <w:rPr>
          <w:b/>
          <w:color w:val="000080"/>
        </w:rPr>
        <w:tab/>
      </w:r>
      <w:r>
        <w:rPr>
          <w:rStyle w:val="CaptionLabel"/>
        </w:rPr>
        <w:t>Industrial Customer</w:t>
      </w:r>
      <w:r w:rsidRPr="004349FA">
        <w:rPr>
          <w:rStyle w:val="CaptionLabel"/>
        </w:rPr>
        <w:t xml:space="preserve"> electricity prices – </w:t>
      </w:r>
      <w:r>
        <w:rPr>
          <w:rStyle w:val="CaptionLabel"/>
        </w:rPr>
        <w:t>Central Policy</w:t>
      </w:r>
      <w:r w:rsidRPr="004349FA">
        <w:rPr>
          <w:rStyle w:val="CaptionLabel"/>
        </w:rPr>
        <w:t xml:space="preserve"> scenario</w:t>
      </w:r>
      <w:bookmarkEnd w:id="20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8B6237" w:rsidTr="00631C08">
        <w:trPr>
          <w:cantSplit/>
        </w:trPr>
        <w:tc>
          <w:tcPr>
            <w:tcW w:w="5000" w:type="pct"/>
          </w:tcPr>
          <w:p w:rsidR="008B6237" w:rsidRDefault="008B6237" w:rsidP="00631C08">
            <w:pPr>
              <w:pStyle w:val="SmallDeltasRightAligned"/>
              <w:keepNext/>
            </w:pPr>
            <w:r>
              <w:rPr>
                <w:noProof/>
                <w:lang w:eastAsia="en-AU"/>
              </w:rPr>
              <w:drawing>
                <wp:inline distT="0" distB="0" distL="0" distR="0" wp14:anchorId="643E9BC3" wp14:editId="50EA81E6">
                  <wp:extent cx="481585" cy="234696"/>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8B6237" w:rsidTr="00631C08">
        <w:trPr>
          <w:cantSplit/>
        </w:trPr>
        <w:tc>
          <w:tcPr>
            <w:tcW w:w="5000" w:type="pct"/>
          </w:tcPr>
          <w:p w:rsidR="008B6237" w:rsidRDefault="009F6AB5" w:rsidP="00631C08">
            <w:pPr>
              <w:pStyle w:val="Figure"/>
            </w:pPr>
            <w:r>
              <w:rPr>
                <w:noProof/>
                <w:lang w:eastAsia="en-AU"/>
              </w:rPr>
              <w:drawing>
                <wp:inline distT="0" distB="0" distL="0" distR="0" wp14:anchorId="4F862A46" wp14:editId="69109179">
                  <wp:extent cx="4675505" cy="24066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75505" cy="2406650"/>
                          </a:xfrm>
                          <a:prstGeom prst="rect">
                            <a:avLst/>
                          </a:prstGeom>
                          <a:noFill/>
                          <a:ln>
                            <a:noFill/>
                          </a:ln>
                        </pic:spPr>
                      </pic:pic>
                    </a:graphicData>
                  </a:graphic>
                </wp:inline>
              </w:drawing>
            </w:r>
          </w:p>
        </w:tc>
      </w:tr>
    </w:tbl>
    <w:p w:rsidR="008B6237" w:rsidRDefault="008B6237" w:rsidP="008B6237">
      <w:pPr>
        <w:pStyle w:val="Note"/>
      </w:pPr>
      <w:r>
        <w:rPr>
          <w:i/>
        </w:rPr>
        <w:t>Note:</w:t>
      </w:r>
      <w:r>
        <w:t xml:space="preserve"> Industrial customers have a great variety of load profiles and network charges, and therefore the series presented here is a stylised price indicative of an industrial customer. </w:t>
      </w:r>
    </w:p>
    <w:p w:rsidR="008B6237" w:rsidRPr="00B50A1B" w:rsidRDefault="008B6237" w:rsidP="008B6237">
      <w:pPr>
        <w:pStyle w:val="Source"/>
        <w:rPr>
          <w:i/>
        </w:rPr>
      </w:pPr>
      <w:r>
        <w:t>S</w:t>
      </w:r>
      <w:r w:rsidRPr="00B50A1B">
        <w:t>ource:</w:t>
      </w:r>
      <w:r w:rsidRPr="00954EED">
        <w:t xml:space="preserve"> </w:t>
      </w:r>
      <w:r>
        <w:t>ACIL Allen</w:t>
      </w:r>
    </w:p>
    <w:p w:rsidR="00CF211D" w:rsidRDefault="00CF211D" w:rsidP="003E7873">
      <w:pPr>
        <w:pStyle w:val="Heading1"/>
      </w:pPr>
      <w:bookmarkStart w:id="202" w:name="_Toc365629024"/>
      <w:bookmarkStart w:id="203" w:name="_Toc365629025"/>
      <w:bookmarkStart w:id="204" w:name="_Toc365629030"/>
      <w:bookmarkStart w:id="205" w:name="_Toc365629031"/>
      <w:bookmarkStart w:id="206" w:name="_Toc365629033"/>
      <w:bookmarkStart w:id="207" w:name="_Toc365629034"/>
      <w:bookmarkStart w:id="208" w:name="_Toc365629037"/>
      <w:bookmarkStart w:id="209" w:name="_Toc365629038"/>
      <w:bookmarkStart w:id="210" w:name="_Toc365629042"/>
      <w:bookmarkStart w:id="211" w:name="_Toc365629044"/>
      <w:bookmarkStart w:id="212" w:name="_Toc365629049"/>
      <w:bookmarkStart w:id="213" w:name="_Toc365629053"/>
      <w:bookmarkStart w:id="214" w:name="_Toc365629058"/>
      <w:bookmarkStart w:id="215" w:name="_Toc365629060"/>
      <w:bookmarkStart w:id="216" w:name="_Toc365629065"/>
      <w:bookmarkStart w:id="217" w:name="_Toc365629068"/>
      <w:bookmarkStart w:id="218" w:name="_Toc365629073"/>
      <w:bookmarkStart w:id="219" w:name="_Toc365629075"/>
      <w:bookmarkStart w:id="220" w:name="_Toc365629080"/>
      <w:bookmarkStart w:id="221" w:name="_Toc365629084"/>
      <w:bookmarkStart w:id="222" w:name="_Toc365629089"/>
      <w:bookmarkStart w:id="223" w:name="_Toc365629091"/>
      <w:bookmarkStart w:id="224" w:name="_Toc365629096"/>
      <w:bookmarkStart w:id="225" w:name="_Toc365629098"/>
      <w:bookmarkStart w:id="226" w:name="_Toc365629099"/>
      <w:bookmarkStart w:id="227" w:name="_Toc365629148"/>
      <w:bookmarkStart w:id="228" w:name="_Toc365629150"/>
      <w:bookmarkStart w:id="229" w:name="_Toc365629155"/>
      <w:bookmarkStart w:id="230" w:name="_Toc365629157"/>
      <w:bookmarkStart w:id="231" w:name="_Toc365629162"/>
      <w:bookmarkStart w:id="232" w:name="_Toc365629166"/>
      <w:bookmarkStart w:id="233" w:name="_Toc365629171"/>
      <w:bookmarkStart w:id="234" w:name="_Toc365629172"/>
      <w:bookmarkStart w:id="235" w:name="_Toc365629177"/>
      <w:bookmarkStart w:id="236" w:name="_Toc365629182"/>
      <w:bookmarkStart w:id="237" w:name="_Toc365629187"/>
      <w:bookmarkStart w:id="238" w:name="_Toc365629188"/>
      <w:bookmarkStart w:id="239" w:name="_Toc365629193"/>
      <w:bookmarkStart w:id="240" w:name="_Toc365629196"/>
      <w:bookmarkStart w:id="241" w:name="_Toc365629201"/>
      <w:bookmarkStart w:id="242" w:name="_Toc365629202"/>
      <w:bookmarkStart w:id="243" w:name="_Toc365629207"/>
      <w:bookmarkStart w:id="244" w:name="_Ref360623398"/>
      <w:bookmarkStart w:id="245" w:name="_Ref360624408"/>
      <w:bookmarkStart w:id="246" w:name="_Toc365474056"/>
      <w:bookmarkStart w:id="247" w:name="_Ref365542820"/>
      <w:bookmarkStart w:id="248" w:name="_Ref365543098"/>
      <w:bookmarkStart w:id="249" w:name="_Ref365543109"/>
      <w:bookmarkStart w:id="250" w:name="_Toc370394657"/>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lastRenderedPageBreak/>
        <w:t>Scenario and sensitivit</w:t>
      </w:r>
      <w:bookmarkEnd w:id="244"/>
      <w:bookmarkEnd w:id="245"/>
      <w:r>
        <w:t>y results</w:t>
      </w:r>
      <w:bookmarkEnd w:id="246"/>
      <w:bookmarkEnd w:id="247"/>
      <w:bookmarkEnd w:id="248"/>
      <w:bookmarkEnd w:id="249"/>
      <w:bookmarkEnd w:id="250"/>
    </w:p>
    <w:p w:rsidR="00CF211D" w:rsidRDefault="00CF211D" w:rsidP="00CF211D">
      <w:pPr>
        <w:pStyle w:val="BodyText"/>
      </w:pPr>
      <w:r>
        <w:t>To test the effect of key assumptions on Australia’s electricity sector emissions, a range of scenarios and sensitivities were modelled. These were:</w:t>
      </w:r>
    </w:p>
    <w:p w:rsidR="00CF211D" w:rsidRDefault="00CF211D" w:rsidP="00CF211D">
      <w:pPr>
        <w:pStyle w:val="ListBullet"/>
        <w:spacing w:before="80" w:after="0"/>
      </w:pPr>
      <w:r>
        <w:t>High and Low Carbon Price scenarios</w:t>
      </w:r>
    </w:p>
    <w:p w:rsidR="00CF211D" w:rsidRDefault="00CF211D" w:rsidP="00CF211D">
      <w:pPr>
        <w:pStyle w:val="ListBullet"/>
        <w:spacing w:before="80" w:after="0"/>
      </w:pPr>
      <w:r>
        <w:t>High and Low Demand sensitivities</w:t>
      </w:r>
    </w:p>
    <w:p w:rsidR="00CF211D" w:rsidRDefault="00CF211D" w:rsidP="00CF211D">
      <w:pPr>
        <w:pStyle w:val="ListBullet"/>
        <w:spacing w:before="80" w:after="0"/>
      </w:pPr>
      <w:r>
        <w:t>High and Low Fuel Price (coal, gas and liquid fuel) sensitivities</w:t>
      </w:r>
    </w:p>
    <w:p w:rsidR="00CF211D" w:rsidRDefault="00CF211D" w:rsidP="00CF211D">
      <w:pPr>
        <w:pStyle w:val="ListBullet"/>
        <w:spacing w:before="80" w:after="0"/>
      </w:pPr>
      <w:r>
        <w:t>Sensitivities with higher and lower rates of technological improvement and capital cost reductions for key low emissions technologies (the Fast Technological Improvement and Slow Technological Improvement sensitivities)</w:t>
      </w:r>
    </w:p>
    <w:p w:rsidR="00CF211D" w:rsidRDefault="00CF211D" w:rsidP="00CF211D">
      <w:pPr>
        <w:pStyle w:val="ListBullet"/>
        <w:spacing w:before="80" w:after="0"/>
      </w:pPr>
      <w:r>
        <w:t xml:space="preserve">Sensitivities where CCS and geothermal technologies were excluded from the modelling (the No CCS, No Geothermal and No CCS or Geothermal sensitivities). </w:t>
      </w:r>
    </w:p>
    <w:p w:rsidR="00CF211D" w:rsidRDefault="00CF211D" w:rsidP="00CF211D">
      <w:pPr>
        <w:pStyle w:val="BodyText"/>
      </w:pPr>
      <w:r>
        <w:t xml:space="preserve">The key assumption changes for these scenarios and sensitivities are described in the relevant sections below. The two carbon price scenarios adopted scenario specific modelling assumptions from Treasury’s CGE modelling. </w:t>
      </w:r>
      <w:r>
        <w:rPr>
          <w:lang w:val="en-US"/>
        </w:rPr>
        <w:t>This occurs because the changes in international abatement ambition that generate the different carbon prices also cause international and Australian economic parameters to vary, and these changes then flow through to fuel prices, electricity demand, exchange rates and labour costs.</w:t>
      </w:r>
      <w:r>
        <w:t xml:space="preserve"> By contrast the sensitivities left all assumptions identical with the Central Policy scenario other than the assumptions targeted by that sensitivity. </w:t>
      </w:r>
    </w:p>
    <w:p w:rsidR="00CF211D" w:rsidRDefault="00CF211D" w:rsidP="00CF211D">
      <w:pPr>
        <w:pStyle w:val="Heading2"/>
        <w:pBdr>
          <w:bottom w:val="none" w:sz="0" w:space="0" w:color="auto"/>
        </w:pBdr>
      </w:pPr>
      <w:bookmarkStart w:id="251" w:name="_Toc365474057"/>
      <w:bookmarkStart w:id="252" w:name="_Toc370394658"/>
      <w:r>
        <w:t>High and Low Carbon Price scenarios</w:t>
      </w:r>
      <w:bookmarkEnd w:id="251"/>
      <w:bookmarkEnd w:id="252"/>
    </w:p>
    <w:p w:rsidR="00CF211D" w:rsidRDefault="00CF211D" w:rsidP="00CF211D">
      <w:pPr>
        <w:pStyle w:val="BodyText"/>
      </w:pPr>
      <w:r>
        <w:t xml:space="preserve">The High and Low Carbon Price scenarios utilise carbon price trajectories derived from CGE modelling undertaken by the Treasury. The High Carbon Price scenario represents a scenario where slower rates of technological improvement and higher emissions targets drive abatement costs and carbon prices substantially higher than in the Central Policy scenario, whilst the reverse occurs in the Low Carbon Price scenario. The relevant carbon price trajectories are shown in </w:t>
      </w:r>
      <w:r w:rsidR="002E3E79">
        <w:fldChar w:fldCharType="begin"/>
      </w:r>
      <w:r w:rsidR="002E3E79">
        <w:instrText xml:space="preserve"> REF _Ref365544055 \h </w:instrText>
      </w:r>
      <w:r w:rsidR="002E3E79">
        <w:fldChar w:fldCharType="separate"/>
      </w:r>
      <w:r w:rsidR="00660A8E">
        <w:t xml:space="preserve">Figure </w:t>
      </w:r>
      <w:r w:rsidR="00660A8E">
        <w:rPr>
          <w:noProof/>
        </w:rPr>
        <w:t>34</w:t>
      </w:r>
      <w:r w:rsidR="002E3E79">
        <w:fldChar w:fldCharType="end"/>
      </w:r>
      <w:r>
        <w:t>.</w:t>
      </w:r>
    </w:p>
    <w:p w:rsidR="00AF721D" w:rsidRDefault="00AF721D">
      <w:pPr>
        <w:pStyle w:val="Caption"/>
      </w:pPr>
      <w:bookmarkStart w:id="253" w:name="_Ref365544055"/>
      <w:bookmarkStart w:id="254" w:name="_Toc370394704"/>
      <w:r>
        <w:lastRenderedPageBreak/>
        <w:t xml:space="preserve">Figure </w:t>
      </w:r>
      <w:fldSimple w:instr=" SEQ Figure \* ARABIC ">
        <w:r w:rsidR="00660A8E">
          <w:rPr>
            <w:noProof/>
          </w:rPr>
          <w:t>34</w:t>
        </w:r>
      </w:fldSimple>
      <w:bookmarkEnd w:id="253"/>
      <w:r w:rsidRPr="004E0C91">
        <w:rPr>
          <w:b/>
          <w:color w:val="000080"/>
        </w:rPr>
        <w:tab/>
      </w:r>
      <w:r w:rsidRPr="00AF721D">
        <w:rPr>
          <w:rStyle w:val="CaptionLabel"/>
        </w:rPr>
        <w:t>Carbon price assumptions</w:t>
      </w:r>
      <w:bookmarkEnd w:id="254"/>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F721D" w:rsidTr="002B67E3">
        <w:trPr>
          <w:cantSplit/>
        </w:trPr>
        <w:tc>
          <w:tcPr>
            <w:tcW w:w="5000" w:type="pct"/>
          </w:tcPr>
          <w:p w:rsidR="00AF721D" w:rsidRDefault="00AF721D" w:rsidP="002B67E3">
            <w:pPr>
              <w:pStyle w:val="SmallDeltasRightAligned"/>
              <w:keepNext/>
            </w:pPr>
            <w:r>
              <w:rPr>
                <w:noProof/>
                <w:lang w:eastAsia="en-AU"/>
              </w:rPr>
              <w:drawing>
                <wp:inline distT="0" distB="0" distL="0" distR="0" wp14:anchorId="3BA9CB30" wp14:editId="7BE4D06B">
                  <wp:extent cx="481585" cy="23469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F721D" w:rsidTr="002B67E3">
        <w:trPr>
          <w:cantSplit/>
        </w:trPr>
        <w:tc>
          <w:tcPr>
            <w:tcW w:w="5000" w:type="pct"/>
          </w:tcPr>
          <w:p w:rsidR="00AF721D" w:rsidRDefault="0030502C" w:rsidP="002B67E3">
            <w:pPr>
              <w:pStyle w:val="Figure"/>
            </w:pPr>
            <w:r>
              <w:rPr>
                <w:noProof/>
                <w:lang w:eastAsia="en-AU"/>
              </w:rPr>
              <w:drawing>
                <wp:inline distT="0" distB="0" distL="0" distR="0" wp14:anchorId="141C8CDD" wp14:editId="2654B4A8">
                  <wp:extent cx="4673600" cy="24047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AF721D" w:rsidRPr="00B50A1B" w:rsidRDefault="00AF721D" w:rsidP="002B67E3">
      <w:pPr>
        <w:pStyle w:val="Source"/>
        <w:rPr>
          <w:i/>
        </w:rPr>
      </w:pPr>
      <w:r>
        <w:t>S</w:t>
      </w:r>
      <w:r w:rsidRPr="00B50A1B">
        <w:t>ource:</w:t>
      </w:r>
      <w:r w:rsidRPr="00954EED">
        <w:t xml:space="preserve"> </w:t>
      </w:r>
      <w:r>
        <w:t>Treasury</w:t>
      </w:r>
    </w:p>
    <w:p w:rsidR="00AF721D" w:rsidRDefault="00AF721D" w:rsidP="00AF721D">
      <w:pPr>
        <w:pStyle w:val="BodyText"/>
      </w:pPr>
      <w:r>
        <w:t xml:space="preserve">Aggregate electricity demand also changes between the scenarios, as illustrated in </w:t>
      </w:r>
      <w:r w:rsidR="002E3E79">
        <w:fldChar w:fldCharType="begin"/>
      </w:r>
      <w:r w:rsidR="002E3E79">
        <w:instrText xml:space="preserve"> REF _Ref365544063 \h </w:instrText>
      </w:r>
      <w:r w:rsidR="002E3E79">
        <w:fldChar w:fldCharType="separate"/>
      </w:r>
      <w:r w:rsidR="00660A8E">
        <w:t xml:space="preserve">Figure </w:t>
      </w:r>
      <w:r w:rsidR="00660A8E">
        <w:rPr>
          <w:noProof/>
        </w:rPr>
        <w:t>35</w:t>
      </w:r>
      <w:r w:rsidR="002E3E79">
        <w:fldChar w:fldCharType="end"/>
      </w:r>
      <w:r>
        <w:t>, with only very limited differences between the Policy and Low Carbon Price scenarios, and a substantial drop in the High Carbon Price scenario.</w:t>
      </w:r>
    </w:p>
    <w:p w:rsidR="00AF721D" w:rsidRDefault="00AF721D">
      <w:pPr>
        <w:pStyle w:val="Caption"/>
      </w:pPr>
      <w:bookmarkStart w:id="255" w:name="_Ref365544063"/>
      <w:bookmarkStart w:id="256" w:name="_Toc370394705"/>
      <w:r>
        <w:t xml:space="preserve">Figure </w:t>
      </w:r>
      <w:fldSimple w:instr=" SEQ Figure \* ARABIC ">
        <w:r w:rsidR="00660A8E">
          <w:rPr>
            <w:noProof/>
          </w:rPr>
          <w:t>35</w:t>
        </w:r>
      </w:fldSimple>
      <w:bookmarkEnd w:id="255"/>
      <w:r w:rsidRPr="004E0C91">
        <w:rPr>
          <w:b/>
          <w:color w:val="000080"/>
        </w:rPr>
        <w:tab/>
      </w:r>
      <w:r w:rsidRPr="00AF721D">
        <w:rPr>
          <w:rStyle w:val="CaptionLabel"/>
        </w:rPr>
        <w:t>Aggregate demand – carbon price scenarios</w:t>
      </w:r>
      <w:bookmarkEnd w:id="256"/>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F721D" w:rsidTr="002B67E3">
        <w:trPr>
          <w:cantSplit/>
        </w:trPr>
        <w:tc>
          <w:tcPr>
            <w:tcW w:w="5000" w:type="pct"/>
          </w:tcPr>
          <w:p w:rsidR="00AF721D" w:rsidRDefault="00AF721D" w:rsidP="002B67E3">
            <w:pPr>
              <w:pStyle w:val="SmallDeltasRightAligned"/>
              <w:keepNext/>
            </w:pPr>
            <w:r>
              <w:rPr>
                <w:noProof/>
                <w:lang w:eastAsia="en-AU"/>
              </w:rPr>
              <w:drawing>
                <wp:inline distT="0" distB="0" distL="0" distR="0" wp14:anchorId="1AA3579E" wp14:editId="0764FFED">
                  <wp:extent cx="481585" cy="2346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F721D" w:rsidTr="002B67E3">
        <w:trPr>
          <w:cantSplit/>
        </w:trPr>
        <w:tc>
          <w:tcPr>
            <w:tcW w:w="5000" w:type="pct"/>
          </w:tcPr>
          <w:p w:rsidR="00AF721D" w:rsidRDefault="00AF721D" w:rsidP="002B67E3">
            <w:pPr>
              <w:pStyle w:val="Figure"/>
            </w:pPr>
            <w:r>
              <w:rPr>
                <w:noProof/>
                <w:lang w:eastAsia="en-AU"/>
              </w:rPr>
              <w:drawing>
                <wp:inline distT="0" distB="0" distL="0" distR="0" wp14:anchorId="48BACB10" wp14:editId="410D05D8">
                  <wp:extent cx="4673600" cy="240474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AF721D" w:rsidRPr="00B50A1B" w:rsidRDefault="00AF721D" w:rsidP="002B67E3">
      <w:pPr>
        <w:pStyle w:val="Source"/>
        <w:rPr>
          <w:i/>
        </w:rPr>
      </w:pPr>
      <w:r>
        <w:t>S</w:t>
      </w:r>
      <w:r w:rsidRPr="00B50A1B">
        <w:t>ource:</w:t>
      </w:r>
      <w:r w:rsidRPr="00954EED">
        <w:t xml:space="preserve"> </w:t>
      </w:r>
      <w:r w:rsidRPr="00AF721D">
        <w:t xml:space="preserve">ACIL </w:t>
      </w:r>
      <w:r>
        <w:t>Allen</w:t>
      </w:r>
      <w:r w:rsidRPr="00AF721D">
        <w:t xml:space="preserve"> based on Treasury electricity demand growth rates</w:t>
      </w:r>
    </w:p>
    <w:p w:rsidR="00AF721D" w:rsidRDefault="00AF721D" w:rsidP="00AF721D">
      <w:pPr>
        <w:pStyle w:val="BodyText"/>
      </w:pPr>
      <w:r>
        <w:t xml:space="preserve">As is shown in </w:t>
      </w:r>
      <w:r w:rsidR="002E3E79">
        <w:fldChar w:fldCharType="begin"/>
      </w:r>
      <w:r w:rsidR="002E3E79">
        <w:instrText xml:space="preserve"> REF _Ref365544070 \h </w:instrText>
      </w:r>
      <w:r w:rsidR="002E3E79">
        <w:fldChar w:fldCharType="separate"/>
      </w:r>
      <w:r w:rsidR="00660A8E">
        <w:t xml:space="preserve">Figure </w:t>
      </w:r>
      <w:r w:rsidR="00660A8E">
        <w:rPr>
          <w:noProof/>
        </w:rPr>
        <w:t>36</w:t>
      </w:r>
      <w:r w:rsidR="002E3E79">
        <w:fldChar w:fldCharType="end"/>
      </w:r>
      <w:r>
        <w:t xml:space="preserve"> and </w:t>
      </w:r>
      <w:r w:rsidR="002E3E79">
        <w:fldChar w:fldCharType="begin"/>
      </w:r>
      <w:r w:rsidR="002E3E79">
        <w:instrText xml:space="preserve"> REF _Ref365544076 \h </w:instrText>
      </w:r>
      <w:r w:rsidR="002E3E79">
        <w:fldChar w:fldCharType="separate"/>
      </w:r>
      <w:r w:rsidR="00660A8E">
        <w:t xml:space="preserve">Figure </w:t>
      </w:r>
      <w:r w:rsidR="00660A8E">
        <w:rPr>
          <w:noProof/>
        </w:rPr>
        <w:t>37</w:t>
      </w:r>
      <w:r w:rsidR="002E3E79">
        <w:fldChar w:fldCharType="end"/>
      </w:r>
      <w:r>
        <w:t>, the difference in carbon price assumptions drives substantial differences in the generation mix between the carbon price scenarios. In general, the High Carbon Price scenario demonstrates, relative to the Low Carbon Price scenario:</w:t>
      </w:r>
    </w:p>
    <w:p w:rsidR="00AF721D" w:rsidRDefault="00AF721D" w:rsidP="00AF721D">
      <w:pPr>
        <w:pStyle w:val="ListBullet"/>
        <w:spacing w:before="80" w:after="0"/>
      </w:pPr>
      <w:r>
        <w:t>An earlier and sharper drop off in coal-fired generation</w:t>
      </w:r>
    </w:p>
    <w:p w:rsidR="00AF721D" w:rsidRDefault="00AF721D" w:rsidP="00AF721D">
      <w:pPr>
        <w:pStyle w:val="ListBullet"/>
        <w:spacing w:before="80" w:after="0"/>
      </w:pPr>
      <w:r>
        <w:t>Earlier growth in gas-fired generation, followed by a lower level later in the model horizon</w:t>
      </w:r>
    </w:p>
    <w:p w:rsidR="00AF721D" w:rsidRDefault="00AF721D" w:rsidP="00AF721D">
      <w:pPr>
        <w:pStyle w:val="ListBullet"/>
        <w:spacing w:before="80" w:after="0"/>
      </w:pPr>
      <w:r>
        <w:t>Substantially higher levels of geothermal and CCS generation</w:t>
      </w:r>
    </w:p>
    <w:p w:rsidR="00AF721D" w:rsidRDefault="00AF721D" w:rsidP="00AF721D">
      <w:pPr>
        <w:pStyle w:val="ListBullet"/>
        <w:spacing w:before="80" w:after="0"/>
      </w:pPr>
      <w:r>
        <w:t>Earlier growth in solar generation, albeit to slightly lower ultimate levels (due to solar being displaced by other low-emissions technologies)</w:t>
      </w:r>
    </w:p>
    <w:p w:rsidR="00AF721D" w:rsidRDefault="00AF721D" w:rsidP="00AF721D">
      <w:pPr>
        <w:pStyle w:val="ListBullet"/>
        <w:spacing w:before="80" w:after="0"/>
      </w:pPr>
      <w:r>
        <w:t xml:space="preserve">Slightly higher levels of wind generation. </w:t>
      </w:r>
    </w:p>
    <w:p w:rsidR="00AF721D" w:rsidRDefault="00AF721D">
      <w:pPr>
        <w:pStyle w:val="Caption"/>
      </w:pPr>
      <w:bookmarkStart w:id="257" w:name="_Ref365544070"/>
      <w:bookmarkStart w:id="258" w:name="_Toc370394706"/>
      <w:r>
        <w:lastRenderedPageBreak/>
        <w:t xml:space="preserve">Figure </w:t>
      </w:r>
      <w:fldSimple w:instr=" SEQ Figure \* ARABIC ">
        <w:r w:rsidR="00660A8E">
          <w:rPr>
            <w:noProof/>
          </w:rPr>
          <w:t>36</w:t>
        </w:r>
      </w:fldSimple>
      <w:bookmarkEnd w:id="257"/>
      <w:r w:rsidRPr="004E0C91">
        <w:rPr>
          <w:b/>
          <w:color w:val="000080"/>
        </w:rPr>
        <w:tab/>
      </w:r>
      <w:r w:rsidRPr="00AF721D">
        <w:rPr>
          <w:rStyle w:val="CaptionLabel"/>
        </w:rPr>
        <w:t>Generation by fuel type – High Carbon Price scenario</w:t>
      </w:r>
      <w:bookmarkEnd w:id="258"/>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F721D" w:rsidTr="002B67E3">
        <w:trPr>
          <w:cantSplit/>
        </w:trPr>
        <w:tc>
          <w:tcPr>
            <w:tcW w:w="5000" w:type="pct"/>
          </w:tcPr>
          <w:p w:rsidR="00AF721D" w:rsidRDefault="00AF721D" w:rsidP="002B67E3">
            <w:pPr>
              <w:pStyle w:val="SmallDeltasRightAligned"/>
              <w:keepNext/>
            </w:pPr>
            <w:r>
              <w:rPr>
                <w:noProof/>
                <w:lang w:eastAsia="en-AU"/>
              </w:rPr>
              <w:drawing>
                <wp:inline distT="0" distB="0" distL="0" distR="0" wp14:anchorId="2BA611ED" wp14:editId="1D0A7E80">
                  <wp:extent cx="481585" cy="2346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F721D" w:rsidTr="002B67E3">
        <w:trPr>
          <w:cantSplit/>
        </w:trPr>
        <w:tc>
          <w:tcPr>
            <w:tcW w:w="5000" w:type="pct"/>
          </w:tcPr>
          <w:p w:rsidR="00AF721D" w:rsidRDefault="00AF721D" w:rsidP="002B67E3">
            <w:pPr>
              <w:pStyle w:val="Figure"/>
            </w:pPr>
            <w:r>
              <w:rPr>
                <w:noProof/>
                <w:lang w:eastAsia="en-AU"/>
              </w:rPr>
              <w:drawing>
                <wp:inline distT="0" distB="0" distL="0" distR="0" wp14:anchorId="36A3C054" wp14:editId="43162976">
                  <wp:extent cx="4673600" cy="331914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73600" cy="3319145"/>
                          </a:xfrm>
                          <a:prstGeom prst="rect">
                            <a:avLst/>
                          </a:prstGeom>
                          <a:noFill/>
                          <a:ln>
                            <a:noFill/>
                          </a:ln>
                        </pic:spPr>
                      </pic:pic>
                    </a:graphicData>
                  </a:graphic>
                </wp:inline>
              </w:drawing>
            </w:r>
          </w:p>
        </w:tc>
      </w:tr>
    </w:tbl>
    <w:p w:rsidR="00AF721D" w:rsidRPr="00B50A1B" w:rsidRDefault="00AF721D" w:rsidP="002B67E3">
      <w:pPr>
        <w:pStyle w:val="Source"/>
        <w:rPr>
          <w:i/>
        </w:rPr>
      </w:pPr>
      <w:r>
        <w:t>S</w:t>
      </w:r>
      <w:r w:rsidRPr="00B50A1B">
        <w:t>ource:</w:t>
      </w:r>
      <w:r w:rsidRPr="00954EED">
        <w:t xml:space="preserve"> </w:t>
      </w:r>
      <w:r>
        <w:t>ACIL Allen</w:t>
      </w:r>
    </w:p>
    <w:p w:rsidR="00AF721D" w:rsidRDefault="00AF721D">
      <w:pPr>
        <w:pStyle w:val="Caption"/>
      </w:pPr>
      <w:bookmarkStart w:id="259" w:name="_Ref365544076"/>
      <w:bookmarkStart w:id="260" w:name="_Toc370394707"/>
      <w:r>
        <w:t xml:space="preserve">Figure </w:t>
      </w:r>
      <w:fldSimple w:instr=" SEQ Figure \* ARABIC ">
        <w:r w:rsidR="00660A8E">
          <w:rPr>
            <w:noProof/>
          </w:rPr>
          <w:t>37</w:t>
        </w:r>
      </w:fldSimple>
      <w:bookmarkEnd w:id="259"/>
      <w:r w:rsidRPr="004E0C91">
        <w:rPr>
          <w:b/>
          <w:color w:val="000080"/>
        </w:rPr>
        <w:tab/>
      </w:r>
      <w:r w:rsidRPr="00AF721D">
        <w:rPr>
          <w:rStyle w:val="CaptionLabel"/>
        </w:rPr>
        <w:t>Generation by fuel type – Low Carbon Price scenario</w:t>
      </w:r>
      <w:bookmarkEnd w:id="260"/>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F721D" w:rsidTr="002B67E3">
        <w:trPr>
          <w:cantSplit/>
        </w:trPr>
        <w:tc>
          <w:tcPr>
            <w:tcW w:w="5000" w:type="pct"/>
          </w:tcPr>
          <w:p w:rsidR="00AF721D" w:rsidRDefault="00AF721D" w:rsidP="002B67E3">
            <w:pPr>
              <w:pStyle w:val="SmallDeltasRightAligned"/>
              <w:keepNext/>
            </w:pPr>
            <w:r>
              <w:rPr>
                <w:noProof/>
                <w:lang w:eastAsia="en-AU"/>
              </w:rPr>
              <w:drawing>
                <wp:inline distT="0" distB="0" distL="0" distR="0" wp14:anchorId="444170A1" wp14:editId="1D8AA562">
                  <wp:extent cx="481585" cy="23469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F721D" w:rsidTr="002B67E3">
        <w:trPr>
          <w:cantSplit/>
        </w:trPr>
        <w:tc>
          <w:tcPr>
            <w:tcW w:w="5000" w:type="pct"/>
          </w:tcPr>
          <w:p w:rsidR="00AF721D" w:rsidRDefault="00AF721D" w:rsidP="002B67E3">
            <w:pPr>
              <w:pStyle w:val="Figure"/>
            </w:pPr>
            <w:r>
              <w:rPr>
                <w:noProof/>
                <w:lang w:eastAsia="en-AU"/>
              </w:rPr>
              <w:drawing>
                <wp:inline distT="0" distB="0" distL="0" distR="0" wp14:anchorId="6AF772B8" wp14:editId="31F9000B">
                  <wp:extent cx="4673600" cy="331914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3600" cy="3319145"/>
                          </a:xfrm>
                          <a:prstGeom prst="rect">
                            <a:avLst/>
                          </a:prstGeom>
                          <a:noFill/>
                          <a:ln>
                            <a:noFill/>
                          </a:ln>
                        </pic:spPr>
                      </pic:pic>
                    </a:graphicData>
                  </a:graphic>
                </wp:inline>
              </w:drawing>
            </w:r>
          </w:p>
        </w:tc>
      </w:tr>
    </w:tbl>
    <w:p w:rsidR="00AF721D" w:rsidRPr="00B50A1B" w:rsidRDefault="00AF721D" w:rsidP="002B67E3">
      <w:pPr>
        <w:pStyle w:val="Source"/>
        <w:rPr>
          <w:i/>
        </w:rPr>
      </w:pPr>
      <w:r>
        <w:t>S</w:t>
      </w:r>
      <w:r w:rsidRPr="00B50A1B">
        <w:t>ource:</w:t>
      </w:r>
      <w:r w:rsidRPr="00954EED">
        <w:t xml:space="preserve"> </w:t>
      </w:r>
      <w:r>
        <w:t>ACIL Allen</w:t>
      </w:r>
    </w:p>
    <w:p w:rsidR="00AF721D" w:rsidRDefault="00AF721D" w:rsidP="00AF721D">
      <w:pPr>
        <w:pStyle w:val="BodyText"/>
      </w:pPr>
      <w:r>
        <w:t xml:space="preserve">The generation mix changes illustrated above, along with the slightly reduced level of demand in the High Carbon Price scenario, result in dramatically different emissions profiles between that scenario and the Policy and Low Carbon Price scenarios, as illustrated in </w:t>
      </w:r>
      <w:r w:rsidR="002E3E79">
        <w:fldChar w:fldCharType="begin"/>
      </w:r>
      <w:r w:rsidR="002E3E79">
        <w:instrText xml:space="preserve"> REF _Ref365544086 \h </w:instrText>
      </w:r>
      <w:r w:rsidR="002E3E79">
        <w:fldChar w:fldCharType="separate"/>
      </w:r>
      <w:r w:rsidR="00660A8E">
        <w:t xml:space="preserve">Figure </w:t>
      </w:r>
      <w:r w:rsidR="00660A8E">
        <w:rPr>
          <w:noProof/>
        </w:rPr>
        <w:t>38</w:t>
      </w:r>
      <w:r w:rsidR="002E3E79">
        <w:fldChar w:fldCharType="end"/>
      </w:r>
      <w:r>
        <w:t xml:space="preserve">. The primary difference between the Policy and Low Carbon Price scenarios is in </w:t>
      </w:r>
      <w:r>
        <w:lastRenderedPageBreak/>
        <w:t xml:space="preserve">the earlier decades of the modelling, after which time similar levels of demand and similar carbon prices result in almost identical emissions trajectories. </w:t>
      </w:r>
    </w:p>
    <w:p w:rsidR="00AF721D" w:rsidRDefault="00AF721D">
      <w:pPr>
        <w:pStyle w:val="Caption"/>
      </w:pPr>
      <w:bookmarkStart w:id="261" w:name="_Ref365544086"/>
      <w:bookmarkStart w:id="262" w:name="_Toc370394708"/>
      <w:r>
        <w:t xml:space="preserve">Figure </w:t>
      </w:r>
      <w:fldSimple w:instr=" SEQ Figure \* ARABIC ">
        <w:r w:rsidR="00660A8E">
          <w:rPr>
            <w:noProof/>
          </w:rPr>
          <w:t>38</w:t>
        </w:r>
      </w:fldSimple>
      <w:bookmarkEnd w:id="261"/>
      <w:r w:rsidRPr="004E0C91">
        <w:rPr>
          <w:b/>
          <w:color w:val="000080"/>
        </w:rPr>
        <w:tab/>
      </w:r>
      <w:r w:rsidRPr="00AF721D">
        <w:rPr>
          <w:rStyle w:val="CaptionLabel"/>
        </w:rPr>
        <w:t>Aggregate emissions – carbon price scenarios</w:t>
      </w:r>
      <w:bookmarkEnd w:id="262"/>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F721D" w:rsidTr="002B67E3">
        <w:trPr>
          <w:cantSplit/>
        </w:trPr>
        <w:tc>
          <w:tcPr>
            <w:tcW w:w="5000" w:type="pct"/>
          </w:tcPr>
          <w:p w:rsidR="00AF721D" w:rsidRDefault="00AF721D" w:rsidP="002B67E3">
            <w:pPr>
              <w:pStyle w:val="SmallDeltasRightAligned"/>
              <w:keepNext/>
            </w:pPr>
            <w:r>
              <w:rPr>
                <w:noProof/>
                <w:lang w:eastAsia="en-AU"/>
              </w:rPr>
              <w:drawing>
                <wp:inline distT="0" distB="0" distL="0" distR="0" wp14:anchorId="388381EF" wp14:editId="281C82CB">
                  <wp:extent cx="481585" cy="23469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F721D" w:rsidTr="002B67E3">
        <w:trPr>
          <w:cantSplit/>
        </w:trPr>
        <w:tc>
          <w:tcPr>
            <w:tcW w:w="5000" w:type="pct"/>
          </w:tcPr>
          <w:p w:rsidR="00AF721D" w:rsidRDefault="00AF721D" w:rsidP="002B67E3">
            <w:pPr>
              <w:pStyle w:val="Figure"/>
            </w:pPr>
            <w:r>
              <w:rPr>
                <w:noProof/>
                <w:lang w:eastAsia="en-AU"/>
              </w:rPr>
              <w:drawing>
                <wp:inline distT="0" distB="0" distL="0" distR="0" wp14:anchorId="68D27ED5" wp14:editId="6E58B074">
                  <wp:extent cx="4673600" cy="240474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AF721D" w:rsidRPr="00B50A1B" w:rsidRDefault="00AF721D" w:rsidP="002B67E3">
      <w:pPr>
        <w:pStyle w:val="Source"/>
        <w:rPr>
          <w:i/>
        </w:rPr>
      </w:pPr>
      <w:r>
        <w:t>S</w:t>
      </w:r>
      <w:r w:rsidRPr="00B50A1B">
        <w:t>ource:</w:t>
      </w:r>
      <w:r w:rsidRPr="00954EED">
        <w:t xml:space="preserve"> </w:t>
      </w:r>
      <w:r>
        <w:t>ACIL Allen</w:t>
      </w:r>
    </w:p>
    <w:p w:rsidR="00AF721D" w:rsidRDefault="00AF721D" w:rsidP="00AF721D">
      <w:pPr>
        <w:pStyle w:val="BodyText"/>
      </w:pPr>
      <w:r>
        <w:t>The dramatically different emissions profiles for each scenario are also illustrated by comparing emissions by fuel in the High and Low Carbon price scenarios (</w:t>
      </w:r>
      <w:r w:rsidR="002E3E79">
        <w:fldChar w:fldCharType="begin"/>
      </w:r>
      <w:r w:rsidR="002E3E79">
        <w:instrText xml:space="preserve"> REF _Ref365544095 \h </w:instrText>
      </w:r>
      <w:r w:rsidR="002E3E79">
        <w:fldChar w:fldCharType="separate"/>
      </w:r>
      <w:r w:rsidR="00660A8E">
        <w:t xml:space="preserve">Figure </w:t>
      </w:r>
      <w:r w:rsidR="00660A8E">
        <w:rPr>
          <w:noProof/>
        </w:rPr>
        <w:t>39</w:t>
      </w:r>
      <w:r w:rsidR="002E3E79">
        <w:fldChar w:fldCharType="end"/>
      </w:r>
      <w:r>
        <w:t xml:space="preserve"> and </w:t>
      </w:r>
      <w:r w:rsidR="002E3E79">
        <w:fldChar w:fldCharType="begin"/>
      </w:r>
      <w:r w:rsidR="002E3E79">
        <w:instrText xml:space="preserve"> REF _Ref365544101 \h </w:instrText>
      </w:r>
      <w:r w:rsidR="002E3E79">
        <w:fldChar w:fldCharType="separate"/>
      </w:r>
      <w:r w:rsidR="00660A8E">
        <w:t xml:space="preserve">Figure </w:t>
      </w:r>
      <w:r w:rsidR="00660A8E">
        <w:rPr>
          <w:noProof/>
        </w:rPr>
        <w:t>40</w:t>
      </w:r>
      <w:r w:rsidR="002E3E79">
        <w:fldChar w:fldCharType="end"/>
      </w:r>
      <w:r>
        <w:t xml:space="preserve"> respectively), and emissions by grid in the High and Low Carbon Price scenarios (</w:t>
      </w:r>
      <w:r w:rsidR="002E3E79">
        <w:fldChar w:fldCharType="begin"/>
      </w:r>
      <w:r w:rsidR="002E3E79">
        <w:instrText xml:space="preserve"> REF _Ref365544106 \h </w:instrText>
      </w:r>
      <w:r w:rsidR="002E3E79">
        <w:fldChar w:fldCharType="separate"/>
      </w:r>
      <w:r w:rsidR="00660A8E">
        <w:t xml:space="preserve">Figure </w:t>
      </w:r>
      <w:r w:rsidR="00660A8E">
        <w:rPr>
          <w:noProof/>
        </w:rPr>
        <w:t>41</w:t>
      </w:r>
      <w:r w:rsidR="002E3E79">
        <w:fldChar w:fldCharType="end"/>
      </w:r>
      <w:r>
        <w:t xml:space="preserve"> and </w:t>
      </w:r>
      <w:r w:rsidR="002E3E79">
        <w:fldChar w:fldCharType="begin"/>
      </w:r>
      <w:r w:rsidR="002E3E79">
        <w:instrText xml:space="preserve"> REF _Ref365544111 \h </w:instrText>
      </w:r>
      <w:r w:rsidR="002E3E79">
        <w:fldChar w:fldCharType="separate"/>
      </w:r>
      <w:r w:rsidR="00660A8E">
        <w:t xml:space="preserve">Figure </w:t>
      </w:r>
      <w:r w:rsidR="00660A8E">
        <w:rPr>
          <w:noProof/>
        </w:rPr>
        <w:t>42</w:t>
      </w:r>
      <w:r w:rsidR="002E3E79">
        <w:fldChar w:fldCharType="end"/>
      </w:r>
      <w:r>
        <w:t xml:space="preserve"> respectively).</w:t>
      </w:r>
    </w:p>
    <w:p w:rsidR="00AF721D" w:rsidRDefault="00AF721D">
      <w:pPr>
        <w:pStyle w:val="Caption"/>
      </w:pPr>
      <w:bookmarkStart w:id="263" w:name="_Ref365544095"/>
      <w:bookmarkStart w:id="264" w:name="_Toc370394709"/>
      <w:r>
        <w:t xml:space="preserve">Figure </w:t>
      </w:r>
      <w:fldSimple w:instr=" SEQ Figure \* ARABIC ">
        <w:r w:rsidR="00660A8E">
          <w:rPr>
            <w:noProof/>
          </w:rPr>
          <w:t>39</w:t>
        </w:r>
      </w:fldSimple>
      <w:bookmarkEnd w:id="263"/>
      <w:r w:rsidRPr="004E0C91">
        <w:rPr>
          <w:b/>
          <w:color w:val="000080"/>
        </w:rPr>
        <w:tab/>
      </w:r>
      <w:r w:rsidRPr="00AF721D">
        <w:rPr>
          <w:rStyle w:val="CaptionLabel"/>
        </w:rPr>
        <w:t>Emissions by fuel type – High Carbon Price scenario</w:t>
      </w:r>
      <w:bookmarkEnd w:id="264"/>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F721D" w:rsidTr="002B67E3">
        <w:trPr>
          <w:cantSplit/>
        </w:trPr>
        <w:tc>
          <w:tcPr>
            <w:tcW w:w="5000" w:type="pct"/>
          </w:tcPr>
          <w:p w:rsidR="00AF721D" w:rsidRDefault="00AF721D" w:rsidP="002B67E3">
            <w:pPr>
              <w:pStyle w:val="SmallDeltasRightAligned"/>
              <w:keepNext/>
            </w:pPr>
            <w:r>
              <w:rPr>
                <w:noProof/>
                <w:lang w:eastAsia="en-AU"/>
              </w:rPr>
              <w:drawing>
                <wp:inline distT="0" distB="0" distL="0" distR="0" wp14:anchorId="5B7654BD" wp14:editId="659DC793">
                  <wp:extent cx="481585" cy="23469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F721D" w:rsidTr="002B67E3">
        <w:trPr>
          <w:cantSplit/>
        </w:trPr>
        <w:tc>
          <w:tcPr>
            <w:tcW w:w="5000" w:type="pct"/>
          </w:tcPr>
          <w:p w:rsidR="00AF721D" w:rsidRDefault="00AF721D" w:rsidP="002B67E3">
            <w:pPr>
              <w:pStyle w:val="Figure"/>
            </w:pPr>
            <w:r>
              <w:rPr>
                <w:noProof/>
                <w:lang w:eastAsia="en-AU"/>
              </w:rPr>
              <w:drawing>
                <wp:inline distT="0" distB="0" distL="0" distR="0" wp14:anchorId="70FE4856" wp14:editId="662A07B2">
                  <wp:extent cx="4359598" cy="309574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66623" cy="3100728"/>
                          </a:xfrm>
                          <a:prstGeom prst="rect">
                            <a:avLst/>
                          </a:prstGeom>
                          <a:noFill/>
                          <a:ln>
                            <a:noFill/>
                          </a:ln>
                        </pic:spPr>
                      </pic:pic>
                    </a:graphicData>
                  </a:graphic>
                </wp:inline>
              </w:drawing>
            </w:r>
          </w:p>
        </w:tc>
      </w:tr>
    </w:tbl>
    <w:p w:rsidR="00AF721D" w:rsidRPr="00B50A1B" w:rsidRDefault="00AF721D" w:rsidP="002B67E3">
      <w:pPr>
        <w:pStyle w:val="Source"/>
        <w:rPr>
          <w:i/>
        </w:rPr>
      </w:pPr>
      <w:r>
        <w:t>S</w:t>
      </w:r>
      <w:r w:rsidRPr="00B50A1B">
        <w:t>ource:</w:t>
      </w:r>
      <w:r w:rsidRPr="00954EED">
        <w:t xml:space="preserve"> </w:t>
      </w:r>
      <w:r>
        <w:t>ACIL Allen</w:t>
      </w:r>
    </w:p>
    <w:p w:rsidR="00AF721D" w:rsidRDefault="00AF721D">
      <w:pPr>
        <w:pStyle w:val="Caption"/>
      </w:pPr>
      <w:bookmarkStart w:id="265" w:name="_Ref365544101"/>
      <w:bookmarkStart w:id="266" w:name="_Toc370394710"/>
      <w:r>
        <w:lastRenderedPageBreak/>
        <w:t xml:space="preserve">Figure </w:t>
      </w:r>
      <w:fldSimple w:instr=" SEQ Figure \* ARABIC ">
        <w:r w:rsidR="00660A8E">
          <w:rPr>
            <w:noProof/>
          </w:rPr>
          <w:t>40</w:t>
        </w:r>
      </w:fldSimple>
      <w:bookmarkEnd w:id="265"/>
      <w:r w:rsidRPr="004E0C91">
        <w:rPr>
          <w:b/>
          <w:color w:val="000080"/>
        </w:rPr>
        <w:tab/>
      </w:r>
      <w:r w:rsidRPr="00AF721D">
        <w:rPr>
          <w:rStyle w:val="CaptionLabel"/>
        </w:rPr>
        <w:t>Emissions by fuel type – Low Carbon Price scenario</w:t>
      </w:r>
      <w:bookmarkEnd w:id="266"/>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F721D" w:rsidTr="002B67E3">
        <w:trPr>
          <w:cantSplit/>
        </w:trPr>
        <w:tc>
          <w:tcPr>
            <w:tcW w:w="5000" w:type="pct"/>
          </w:tcPr>
          <w:p w:rsidR="00AF721D" w:rsidRDefault="00AF721D" w:rsidP="002B67E3">
            <w:pPr>
              <w:pStyle w:val="SmallDeltasRightAligned"/>
              <w:keepNext/>
            </w:pPr>
            <w:r>
              <w:rPr>
                <w:noProof/>
                <w:lang w:eastAsia="en-AU"/>
              </w:rPr>
              <w:drawing>
                <wp:inline distT="0" distB="0" distL="0" distR="0" wp14:anchorId="75762CA0" wp14:editId="519AE4B8">
                  <wp:extent cx="481585" cy="2346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F721D" w:rsidTr="002B67E3">
        <w:trPr>
          <w:cantSplit/>
        </w:trPr>
        <w:tc>
          <w:tcPr>
            <w:tcW w:w="5000" w:type="pct"/>
          </w:tcPr>
          <w:p w:rsidR="00AF721D" w:rsidRDefault="00AF721D" w:rsidP="002B67E3">
            <w:pPr>
              <w:pStyle w:val="Figure"/>
            </w:pPr>
            <w:r>
              <w:rPr>
                <w:noProof/>
                <w:lang w:eastAsia="en-AU"/>
              </w:rPr>
              <w:drawing>
                <wp:inline distT="0" distB="0" distL="0" distR="0" wp14:anchorId="3E454494" wp14:editId="0264C486">
                  <wp:extent cx="4282025" cy="3040656"/>
                  <wp:effectExtent l="0" t="0" r="4445"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88926" cy="3045556"/>
                          </a:xfrm>
                          <a:prstGeom prst="rect">
                            <a:avLst/>
                          </a:prstGeom>
                          <a:noFill/>
                          <a:ln>
                            <a:noFill/>
                          </a:ln>
                        </pic:spPr>
                      </pic:pic>
                    </a:graphicData>
                  </a:graphic>
                </wp:inline>
              </w:drawing>
            </w:r>
          </w:p>
        </w:tc>
      </w:tr>
    </w:tbl>
    <w:p w:rsidR="00AF721D" w:rsidRPr="00B50A1B" w:rsidRDefault="00AF721D" w:rsidP="002B67E3">
      <w:pPr>
        <w:pStyle w:val="Source"/>
        <w:rPr>
          <w:i/>
        </w:rPr>
      </w:pPr>
      <w:r>
        <w:t>S</w:t>
      </w:r>
      <w:r w:rsidRPr="00B50A1B">
        <w:t>ource:</w:t>
      </w:r>
      <w:r w:rsidRPr="00954EED">
        <w:t xml:space="preserve"> </w:t>
      </w:r>
      <w:r>
        <w:t>ACIL Allen</w:t>
      </w:r>
    </w:p>
    <w:p w:rsidR="00AF721D" w:rsidRDefault="00AF721D">
      <w:pPr>
        <w:pStyle w:val="Caption"/>
      </w:pPr>
      <w:bookmarkStart w:id="267" w:name="_Ref365544106"/>
      <w:bookmarkStart w:id="268" w:name="_Toc370394711"/>
      <w:r>
        <w:t xml:space="preserve">Figure </w:t>
      </w:r>
      <w:fldSimple w:instr=" SEQ Figure \* ARABIC ">
        <w:r w:rsidR="00660A8E">
          <w:rPr>
            <w:noProof/>
          </w:rPr>
          <w:t>41</w:t>
        </w:r>
      </w:fldSimple>
      <w:bookmarkEnd w:id="267"/>
      <w:r w:rsidRPr="004E0C91">
        <w:rPr>
          <w:b/>
          <w:color w:val="000080"/>
        </w:rPr>
        <w:tab/>
      </w:r>
      <w:r w:rsidRPr="00AF721D">
        <w:rPr>
          <w:rStyle w:val="CaptionLabel"/>
        </w:rPr>
        <w:t>Emissions by grid – High Carbon Price scenario</w:t>
      </w:r>
      <w:bookmarkEnd w:id="268"/>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F721D" w:rsidTr="002B67E3">
        <w:trPr>
          <w:cantSplit/>
        </w:trPr>
        <w:tc>
          <w:tcPr>
            <w:tcW w:w="5000" w:type="pct"/>
          </w:tcPr>
          <w:p w:rsidR="00AF721D" w:rsidRDefault="00AF721D" w:rsidP="002B67E3">
            <w:pPr>
              <w:pStyle w:val="SmallDeltasRightAligned"/>
              <w:keepNext/>
            </w:pPr>
            <w:r>
              <w:rPr>
                <w:noProof/>
                <w:lang w:eastAsia="en-AU"/>
              </w:rPr>
              <w:drawing>
                <wp:inline distT="0" distB="0" distL="0" distR="0" wp14:anchorId="6ED40B97" wp14:editId="57CD8190">
                  <wp:extent cx="481585" cy="23469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F721D" w:rsidTr="002B67E3">
        <w:trPr>
          <w:cantSplit/>
        </w:trPr>
        <w:tc>
          <w:tcPr>
            <w:tcW w:w="5000" w:type="pct"/>
          </w:tcPr>
          <w:p w:rsidR="00AF721D" w:rsidRDefault="00AF721D" w:rsidP="002B67E3">
            <w:pPr>
              <w:pStyle w:val="Figure"/>
            </w:pPr>
            <w:r>
              <w:rPr>
                <w:noProof/>
                <w:lang w:eastAsia="en-AU"/>
              </w:rPr>
              <w:drawing>
                <wp:inline distT="0" distB="0" distL="0" distR="0" wp14:anchorId="01F05CB0" wp14:editId="7D208A93">
                  <wp:extent cx="4136999" cy="3139807"/>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36463" cy="3139400"/>
                          </a:xfrm>
                          <a:prstGeom prst="rect">
                            <a:avLst/>
                          </a:prstGeom>
                          <a:noFill/>
                          <a:ln>
                            <a:noFill/>
                          </a:ln>
                        </pic:spPr>
                      </pic:pic>
                    </a:graphicData>
                  </a:graphic>
                </wp:inline>
              </w:drawing>
            </w:r>
          </w:p>
        </w:tc>
      </w:tr>
    </w:tbl>
    <w:p w:rsidR="00AF721D" w:rsidRPr="00B50A1B" w:rsidRDefault="00AF721D" w:rsidP="002B67E3">
      <w:pPr>
        <w:pStyle w:val="Source"/>
        <w:rPr>
          <w:i/>
        </w:rPr>
      </w:pPr>
      <w:r>
        <w:t>S</w:t>
      </w:r>
      <w:r w:rsidRPr="00B50A1B">
        <w:t>ource:</w:t>
      </w:r>
      <w:r w:rsidRPr="00954EED">
        <w:t xml:space="preserve"> </w:t>
      </w:r>
      <w:r>
        <w:t>ACIL Allen</w:t>
      </w:r>
    </w:p>
    <w:p w:rsidR="00AF721D" w:rsidRDefault="00AF721D">
      <w:pPr>
        <w:pStyle w:val="Caption"/>
      </w:pPr>
      <w:bookmarkStart w:id="269" w:name="_Ref365544111"/>
      <w:bookmarkStart w:id="270" w:name="_Toc370394712"/>
      <w:r>
        <w:lastRenderedPageBreak/>
        <w:t xml:space="preserve">Figure </w:t>
      </w:r>
      <w:fldSimple w:instr=" SEQ Figure \* ARABIC ">
        <w:r w:rsidR="00660A8E">
          <w:rPr>
            <w:noProof/>
          </w:rPr>
          <w:t>42</w:t>
        </w:r>
      </w:fldSimple>
      <w:bookmarkEnd w:id="269"/>
      <w:r w:rsidRPr="004E0C91">
        <w:rPr>
          <w:b/>
          <w:color w:val="000080"/>
        </w:rPr>
        <w:tab/>
      </w:r>
      <w:r w:rsidRPr="00AF721D">
        <w:rPr>
          <w:rStyle w:val="CaptionLabel"/>
        </w:rPr>
        <w:t>Emissions by grid – Low Carbon Price scenario</w:t>
      </w:r>
      <w:bookmarkEnd w:id="270"/>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F721D" w:rsidTr="002B67E3">
        <w:trPr>
          <w:cantSplit/>
        </w:trPr>
        <w:tc>
          <w:tcPr>
            <w:tcW w:w="5000" w:type="pct"/>
          </w:tcPr>
          <w:p w:rsidR="00AF721D" w:rsidRDefault="00AF721D" w:rsidP="002B67E3">
            <w:pPr>
              <w:pStyle w:val="SmallDeltasRightAligned"/>
              <w:keepNext/>
            </w:pPr>
            <w:r>
              <w:rPr>
                <w:noProof/>
                <w:lang w:eastAsia="en-AU"/>
              </w:rPr>
              <w:drawing>
                <wp:inline distT="0" distB="0" distL="0" distR="0" wp14:anchorId="647123E9" wp14:editId="637B91CF">
                  <wp:extent cx="481585" cy="23469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F721D" w:rsidTr="002B67E3">
        <w:trPr>
          <w:cantSplit/>
        </w:trPr>
        <w:tc>
          <w:tcPr>
            <w:tcW w:w="5000" w:type="pct"/>
          </w:tcPr>
          <w:p w:rsidR="00AF721D" w:rsidRDefault="00AF721D" w:rsidP="002B67E3">
            <w:pPr>
              <w:pStyle w:val="Figure"/>
            </w:pPr>
            <w:r>
              <w:rPr>
                <w:noProof/>
                <w:lang w:eastAsia="en-AU"/>
              </w:rPr>
              <w:drawing>
                <wp:inline distT="0" distB="0" distL="0" distR="0" wp14:anchorId="1695AF2F" wp14:editId="076E50A8">
                  <wp:extent cx="4175393" cy="325055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70971" cy="3247107"/>
                          </a:xfrm>
                          <a:prstGeom prst="rect">
                            <a:avLst/>
                          </a:prstGeom>
                          <a:noFill/>
                          <a:ln>
                            <a:noFill/>
                          </a:ln>
                        </pic:spPr>
                      </pic:pic>
                    </a:graphicData>
                  </a:graphic>
                </wp:inline>
              </w:drawing>
            </w:r>
          </w:p>
        </w:tc>
      </w:tr>
    </w:tbl>
    <w:p w:rsidR="00AF721D" w:rsidRPr="00B50A1B" w:rsidRDefault="00AF721D" w:rsidP="002B67E3">
      <w:pPr>
        <w:pStyle w:val="Source"/>
        <w:rPr>
          <w:i/>
        </w:rPr>
      </w:pPr>
      <w:r>
        <w:t>S</w:t>
      </w:r>
      <w:r w:rsidRPr="00B50A1B">
        <w:t>ource:</w:t>
      </w:r>
      <w:r w:rsidRPr="00954EED">
        <w:t xml:space="preserve"> </w:t>
      </w:r>
      <w:r>
        <w:t>ACIL Allen</w:t>
      </w:r>
    </w:p>
    <w:p w:rsidR="00AF721D" w:rsidRDefault="00AF721D" w:rsidP="00AF721D">
      <w:pPr>
        <w:pStyle w:val="Heading2"/>
        <w:pBdr>
          <w:bottom w:val="none" w:sz="0" w:space="0" w:color="auto"/>
        </w:pBdr>
      </w:pPr>
      <w:bookmarkStart w:id="271" w:name="_Toc365474058"/>
      <w:bookmarkStart w:id="272" w:name="_Toc370394659"/>
      <w:r>
        <w:t>High and Low Demand sensitivities</w:t>
      </w:r>
      <w:bookmarkEnd w:id="271"/>
      <w:bookmarkEnd w:id="272"/>
    </w:p>
    <w:p w:rsidR="00AF721D" w:rsidRDefault="00AF721D" w:rsidP="00AF721D">
      <w:pPr>
        <w:pStyle w:val="BodyText"/>
      </w:pPr>
      <w:r>
        <w:t xml:space="preserve">The High and Low Demand sensitivities were based on a simple variation in aggregate electricity demand from the Central Policy scenario. The percentage difference in demand between the sensitivities and the Central Policy scenario were based on the percentage difference between the high demand (Scenario 2) and low demand (Scenario 6) scenarios analysed by AEMO and its core planning scenario (Scenario 3) from its latest National Electricity Forecasting Report. The rate of divergence between the sensitivities modelled here was held constant beyond AEMO’s forecasting horizon (i.e. the sensitivities continue to diverge from the Central Policy scenario at the same average rate as during the AEMO forecasting horizon). The percentage difference in demand for a given year and a given sensitivity was applied to all states and territories, including non-NEM markets. The aggregate demand assumptions thus derived for these sensitivities are illustrated in </w:t>
      </w:r>
      <w:r w:rsidR="002E3E79">
        <w:fldChar w:fldCharType="begin"/>
      </w:r>
      <w:r w:rsidR="002E3E79">
        <w:instrText xml:space="preserve"> REF _Ref365544126 \h </w:instrText>
      </w:r>
      <w:r w:rsidR="002E3E79">
        <w:fldChar w:fldCharType="separate"/>
      </w:r>
      <w:r w:rsidR="00660A8E">
        <w:t xml:space="preserve">Figure </w:t>
      </w:r>
      <w:r w:rsidR="00660A8E">
        <w:rPr>
          <w:noProof/>
        </w:rPr>
        <w:t>43</w:t>
      </w:r>
      <w:r w:rsidR="002E3E79">
        <w:fldChar w:fldCharType="end"/>
      </w:r>
      <w:r>
        <w:t xml:space="preserve">. </w:t>
      </w:r>
    </w:p>
    <w:p w:rsidR="00AF721D" w:rsidRDefault="00AF721D">
      <w:pPr>
        <w:pStyle w:val="Caption"/>
      </w:pPr>
      <w:bookmarkStart w:id="273" w:name="_Ref365544126"/>
      <w:bookmarkStart w:id="274" w:name="_Toc370394713"/>
      <w:r>
        <w:lastRenderedPageBreak/>
        <w:t xml:space="preserve">Figure </w:t>
      </w:r>
      <w:fldSimple w:instr=" SEQ Figure \* ARABIC ">
        <w:r w:rsidR="00660A8E">
          <w:rPr>
            <w:noProof/>
          </w:rPr>
          <w:t>43</w:t>
        </w:r>
      </w:fldSimple>
      <w:bookmarkEnd w:id="273"/>
      <w:r w:rsidRPr="004E0C91">
        <w:rPr>
          <w:b/>
          <w:color w:val="000080"/>
        </w:rPr>
        <w:tab/>
      </w:r>
      <w:r w:rsidRPr="00AF721D">
        <w:rPr>
          <w:rStyle w:val="CaptionLabel"/>
        </w:rPr>
        <w:t>Demand assumptions – demand sensitivities</w:t>
      </w:r>
      <w:bookmarkEnd w:id="274"/>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F721D" w:rsidTr="002B67E3">
        <w:trPr>
          <w:cantSplit/>
        </w:trPr>
        <w:tc>
          <w:tcPr>
            <w:tcW w:w="5000" w:type="pct"/>
          </w:tcPr>
          <w:p w:rsidR="00AF721D" w:rsidRDefault="00AF721D" w:rsidP="002B67E3">
            <w:pPr>
              <w:pStyle w:val="SmallDeltasRightAligned"/>
              <w:keepNext/>
            </w:pPr>
            <w:r>
              <w:rPr>
                <w:noProof/>
                <w:lang w:eastAsia="en-AU"/>
              </w:rPr>
              <w:drawing>
                <wp:inline distT="0" distB="0" distL="0" distR="0" wp14:anchorId="2E18E173" wp14:editId="0B8DB6E5">
                  <wp:extent cx="481585" cy="23469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F721D" w:rsidTr="002B67E3">
        <w:trPr>
          <w:cantSplit/>
        </w:trPr>
        <w:tc>
          <w:tcPr>
            <w:tcW w:w="5000" w:type="pct"/>
          </w:tcPr>
          <w:p w:rsidR="00AF721D" w:rsidRDefault="00AF721D" w:rsidP="002B67E3">
            <w:pPr>
              <w:pStyle w:val="Figure"/>
            </w:pPr>
            <w:r>
              <w:rPr>
                <w:noProof/>
                <w:lang w:eastAsia="en-AU"/>
              </w:rPr>
              <w:drawing>
                <wp:inline distT="0" distB="0" distL="0" distR="0" wp14:anchorId="56AE38EB" wp14:editId="74CA8561">
                  <wp:extent cx="4673600" cy="240474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AF721D" w:rsidRPr="00B50A1B" w:rsidRDefault="00AF721D" w:rsidP="002B67E3">
      <w:pPr>
        <w:pStyle w:val="Source"/>
        <w:rPr>
          <w:i/>
        </w:rPr>
      </w:pPr>
      <w:r>
        <w:t>S</w:t>
      </w:r>
      <w:r w:rsidRPr="00B50A1B">
        <w:t>ource:</w:t>
      </w:r>
      <w:r w:rsidRPr="00954EED">
        <w:t xml:space="preserve"> </w:t>
      </w:r>
      <w:r>
        <w:t>ACIL Allen</w:t>
      </w:r>
    </w:p>
    <w:p w:rsidR="00AF721D" w:rsidRDefault="00AF721D" w:rsidP="00AF721D">
      <w:pPr>
        <w:pStyle w:val="BodyText"/>
      </w:pPr>
      <w:r>
        <w:t xml:space="preserve">Incremental changes in demand can affect the emissions intensity of the generation mix, either by promoting the early retirement of emissions-intensive generators (in the case of lower demand) or bringing in additional new entrant generators that are (typically) less emissions-intensive than incumbent generators on average (in the case of higher demand). However, as is illustrated in </w:t>
      </w:r>
      <w:r w:rsidR="002E3E79">
        <w:fldChar w:fldCharType="begin"/>
      </w:r>
      <w:r w:rsidR="002E3E79">
        <w:instrText xml:space="preserve"> REF _Ref365544135 \h </w:instrText>
      </w:r>
      <w:r w:rsidR="002E3E79">
        <w:fldChar w:fldCharType="separate"/>
      </w:r>
      <w:r w:rsidR="00660A8E">
        <w:t xml:space="preserve">Figure </w:t>
      </w:r>
      <w:r w:rsidR="00660A8E">
        <w:rPr>
          <w:noProof/>
        </w:rPr>
        <w:t>44</w:t>
      </w:r>
      <w:r w:rsidR="002E3E79">
        <w:fldChar w:fldCharType="end"/>
      </w:r>
      <w:r>
        <w:t xml:space="preserve">, the emissions intensity of generation on average does not vary materially between the </w:t>
      </w:r>
      <w:r w:rsidR="00870E54">
        <w:t>sensitivities and the Central Policy scenario</w:t>
      </w:r>
      <w:r>
        <w:t xml:space="preserve">. Accordingly, the primary effect of changes in demand on emissions is a direct reduction through lower levels of aggregate generation. </w:t>
      </w:r>
    </w:p>
    <w:p w:rsidR="00AF721D" w:rsidRDefault="00AF721D">
      <w:pPr>
        <w:pStyle w:val="Caption"/>
      </w:pPr>
      <w:bookmarkStart w:id="275" w:name="_Ref365544135"/>
      <w:bookmarkStart w:id="276" w:name="_Toc370394714"/>
      <w:r>
        <w:t xml:space="preserve">Figure </w:t>
      </w:r>
      <w:fldSimple w:instr=" SEQ Figure \* ARABIC ">
        <w:r w:rsidR="00660A8E">
          <w:rPr>
            <w:noProof/>
          </w:rPr>
          <w:t>44</w:t>
        </w:r>
      </w:fldSimple>
      <w:bookmarkEnd w:id="275"/>
      <w:r w:rsidRPr="004E0C91">
        <w:rPr>
          <w:b/>
          <w:color w:val="000080"/>
        </w:rPr>
        <w:tab/>
      </w:r>
      <w:r w:rsidRPr="00AF721D">
        <w:rPr>
          <w:rStyle w:val="CaptionLabel"/>
        </w:rPr>
        <w:t>Emissions intensity of generation – demand sensitivities</w:t>
      </w:r>
      <w:bookmarkEnd w:id="276"/>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F721D" w:rsidTr="002B67E3">
        <w:trPr>
          <w:cantSplit/>
        </w:trPr>
        <w:tc>
          <w:tcPr>
            <w:tcW w:w="5000" w:type="pct"/>
          </w:tcPr>
          <w:p w:rsidR="00AF721D" w:rsidRDefault="00AF721D" w:rsidP="002B67E3">
            <w:pPr>
              <w:pStyle w:val="SmallDeltasRightAligned"/>
              <w:keepNext/>
            </w:pPr>
            <w:r>
              <w:rPr>
                <w:noProof/>
                <w:lang w:eastAsia="en-AU"/>
              </w:rPr>
              <w:drawing>
                <wp:inline distT="0" distB="0" distL="0" distR="0" wp14:anchorId="186BDDAA" wp14:editId="7D238D28">
                  <wp:extent cx="481585" cy="23469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F721D" w:rsidTr="002B67E3">
        <w:trPr>
          <w:cantSplit/>
        </w:trPr>
        <w:tc>
          <w:tcPr>
            <w:tcW w:w="5000" w:type="pct"/>
          </w:tcPr>
          <w:p w:rsidR="00AF721D" w:rsidRDefault="00AF721D" w:rsidP="002B67E3">
            <w:pPr>
              <w:pStyle w:val="Figure"/>
            </w:pPr>
            <w:r>
              <w:rPr>
                <w:noProof/>
                <w:lang w:eastAsia="en-AU"/>
              </w:rPr>
              <w:drawing>
                <wp:inline distT="0" distB="0" distL="0" distR="0" wp14:anchorId="57EB45E5" wp14:editId="77E54086">
                  <wp:extent cx="4673600" cy="240474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AF721D" w:rsidRPr="00B50A1B" w:rsidRDefault="00AF721D" w:rsidP="002B67E3">
      <w:pPr>
        <w:pStyle w:val="Source"/>
        <w:rPr>
          <w:i/>
        </w:rPr>
      </w:pPr>
      <w:r>
        <w:t>S</w:t>
      </w:r>
      <w:r w:rsidRPr="00B50A1B">
        <w:t>ource:</w:t>
      </w:r>
      <w:r w:rsidRPr="00954EED">
        <w:t xml:space="preserve"> </w:t>
      </w:r>
      <w:r>
        <w:t>ACIL Allen</w:t>
      </w:r>
    </w:p>
    <w:p w:rsidR="00AF721D" w:rsidRDefault="00AF721D" w:rsidP="00AF721D">
      <w:pPr>
        <w:pStyle w:val="BodyText"/>
      </w:pPr>
      <w:r>
        <w:t xml:space="preserve">Reflecting the relatively stable emissions intensity of generation in the demand sensitivities, the change in emissions relative to the Central Policy scenario tend to be relatively minor, as is illustrated in </w:t>
      </w:r>
      <w:r w:rsidR="002E3E79">
        <w:fldChar w:fldCharType="begin"/>
      </w:r>
      <w:r w:rsidR="002E3E79">
        <w:instrText xml:space="preserve"> REF _Ref365544142 \h </w:instrText>
      </w:r>
      <w:r w:rsidR="002E3E79">
        <w:fldChar w:fldCharType="separate"/>
      </w:r>
      <w:r w:rsidR="00660A8E">
        <w:t xml:space="preserve">Figure </w:t>
      </w:r>
      <w:r w:rsidR="00660A8E">
        <w:rPr>
          <w:noProof/>
        </w:rPr>
        <w:t>45</w:t>
      </w:r>
      <w:r w:rsidR="002E3E79">
        <w:fldChar w:fldCharType="end"/>
      </w:r>
      <w:r>
        <w:t xml:space="preserve">. These changes are more clearly expressed as a change relative to emissions in the Central Policy scenario, as is shown in </w:t>
      </w:r>
      <w:r w:rsidR="002E3E79">
        <w:fldChar w:fldCharType="begin"/>
      </w:r>
      <w:r w:rsidR="002E3E79">
        <w:instrText xml:space="preserve"> REF _Ref365544150 \h </w:instrText>
      </w:r>
      <w:r w:rsidR="002E3E79">
        <w:fldChar w:fldCharType="separate"/>
      </w:r>
      <w:r w:rsidR="00660A8E">
        <w:t xml:space="preserve">Figure </w:t>
      </w:r>
      <w:r w:rsidR="00660A8E">
        <w:rPr>
          <w:noProof/>
        </w:rPr>
        <w:t>46</w:t>
      </w:r>
      <w:r w:rsidR="002E3E79">
        <w:fldChar w:fldCharType="end"/>
      </w:r>
      <w:r>
        <w:t>.</w:t>
      </w:r>
    </w:p>
    <w:p w:rsidR="00AF721D" w:rsidRDefault="00AF721D">
      <w:pPr>
        <w:pStyle w:val="Caption"/>
      </w:pPr>
      <w:bookmarkStart w:id="277" w:name="_Ref365544142"/>
      <w:bookmarkStart w:id="278" w:name="_Toc370394715"/>
      <w:r>
        <w:lastRenderedPageBreak/>
        <w:t xml:space="preserve">Figure </w:t>
      </w:r>
      <w:fldSimple w:instr=" SEQ Figure \* ARABIC ">
        <w:r w:rsidR="00660A8E">
          <w:rPr>
            <w:noProof/>
          </w:rPr>
          <w:t>45</w:t>
        </w:r>
      </w:fldSimple>
      <w:bookmarkEnd w:id="277"/>
      <w:r w:rsidRPr="004E0C91">
        <w:rPr>
          <w:b/>
          <w:color w:val="000080"/>
        </w:rPr>
        <w:tab/>
      </w:r>
      <w:r w:rsidRPr="00AF721D">
        <w:rPr>
          <w:rStyle w:val="CaptionLabel"/>
        </w:rPr>
        <w:t>Aggregate emissions – demand sensitivities</w:t>
      </w:r>
      <w:bookmarkEnd w:id="278"/>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F721D" w:rsidTr="002B67E3">
        <w:trPr>
          <w:cantSplit/>
        </w:trPr>
        <w:tc>
          <w:tcPr>
            <w:tcW w:w="5000" w:type="pct"/>
          </w:tcPr>
          <w:p w:rsidR="00AF721D" w:rsidRDefault="00AF721D" w:rsidP="002B67E3">
            <w:pPr>
              <w:pStyle w:val="SmallDeltasRightAligned"/>
              <w:keepNext/>
            </w:pPr>
            <w:r>
              <w:rPr>
                <w:noProof/>
                <w:lang w:eastAsia="en-AU"/>
              </w:rPr>
              <w:drawing>
                <wp:inline distT="0" distB="0" distL="0" distR="0" wp14:anchorId="30E948D2" wp14:editId="009B6899">
                  <wp:extent cx="481585" cy="23469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F721D" w:rsidTr="002B67E3">
        <w:trPr>
          <w:cantSplit/>
        </w:trPr>
        <w:tc>
          <w:tcPr>
            <w:tcW w:w="5000" w:type="pct"/>
          </w:tcPr>
          <w:p w:rsidR="00AF721D" w:rsidRDefault="00AF721D" w:rsidP="002B67E3">
            <w:pPr>
              <w:pStyle w:val="Figure"/>
            </w:pPr>
            <w:r>
              <w:rPr>
                <w:noProof/>
                <w:lang w:eastAsia="en-AU"/>
              </w:rPr>
              <w:drawing>
                <wp:inline distT="0" distB="0" distL="0" distR="0" wp14:anchorId="650873EC" wp14:editId="10540360">
                  <wp:extent cx="4673600" cy="240474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AF721D" w:rsidRPr="00B50A1B" w:rsidRDefault="00AF721D" w:rsidP="002B67E3">
      <w:pPr>
        <w:pStyle w:val="Source"/>
        <w:rPr>
          <w:i/>
        </w:rPr>
      </w:pPr>
      <w:r>
        <w:t>S</w:t>
      </w:r>
      <w:r w:rsidRPr="00B50A1B">
        <w:t>ource:</w:t>
      </w:r>
      <w:r w:rsidRPr="00954EED">
        <w:t xml:space="preserve"> </w:t>
      </w:r>
      <w:r>
        <w:t>ACIL Allen</w:t>
      </w:r>
    </w:p>
    <w:p w:rsidR="00AF721D" w:rsidRDefault="00AF721D">
      <w:pPr>
        <w:pStyle w:val="Caption"/>
      </w:pPr>
      <w:bookmarkStart w:id="279" w:name="_Ref365544150"/>
      <w:bookmarkStart w:id="280" w:name="_Toc370394716"/>
      <w:r>
        <w:t xml:space="preserve">Figure </w:t>
      </w:r>
      <w:fldSimple w:instr=" SEQ Figure \* ARABIC ">
        <w:r w:rsidR="00660A8E">
          <w:rPr>
            <w:noProof/>
          </w:rPr>
          <w:t>46</w:t>
        </w:r>
      </w:fldSimple>
      <w:bookmarkEnd w:id="279"/>
      <w:r w:rsidRPr="004E0C91">
        <w:rPr>
          <w:b/>
          <w:color w:val="000080"/>
        </w:rPr>
        <w:tab/>
      </w:r>
      <w:r w:rsidRPr="00AF721D">
        <w:rPr>
          <w:rStyle w:val="CaptionLabel"/>
        </w:rPr>
        <w:t>Change in emissions relative to Central Policy scenario – demand sensitivities</w:t>
      </w:r>
      <w:bookmarkEnd w:id="280"/>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AF721D" w:rsidTr="002B67E3">
        <w:trPr>
          <w:cantSplit/>
        </w:trPr>
        <w:tc>
          <w:tcPr>
            <w:tcW w:w="5000" w:type="pct"/>
          </w:tcPr>
          <w:p w:rsidR="00AF721D" w:rsidRDefault="00AF721D" w:rsidP="002B67E3">
            <w:pPr>
              <w:pStyle w:val="SmallDeltasRightAligned"/>
              <w:keepNext/>
            </w:pPr>
            <w:r>
              <w:rPr>
                <w:noProof/>
                <w:lang w:eastAsia="en-AU"/>
              </w:rPr>
              <w:drawing>
                <wp:inline distT="0" distB="0" distL="0" distR="0" wp14:anchorId="02122244" wp14:editId="0CB93A83">
                  <wp:extent cx="481585" cy="23469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AF721D" w:rsidTr="002B67E3">
        <w:trPr>
          <w:cantSplit/>
        </w:trPr>
        <w:tc>
          <w:tcPr>
            <w:tcW w:w="5000" w:type="pct"/>
          </w:tcPr>
          <w:p w:rsidR="00AF721D" w:rsidRDefault="00AF721D" w:rsidP="002B67E3">
            <w:pPr>
              <w:pStyle w:val="Figure"/>
            </w:pPr>
            <w:r>
              <w:rPr>
                <w:noProof/>
                <w:lang w:eastAsia="en-AU"/>
              </w:rPr>
              <w:drawing>
                <wp:inline distT="0" distB="0" distL="0" distR="0" wp14:anchorId="390662B9" wp14:editId="45062758">
                  <wp:extent cx="4683125" cy="2409825"/>
                  <wp:effectExtent l="0" t="0" r="317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83125" cy="2409825"/>
                          </a:xfrm>
                          <a:prstGeom prst="rect">
                            <a:avLst/>
                          </a:prstGeom>
                          <a:noFill/>
                          <a:ln>
                            <a:noFill/>
                          </a:ln>
                        </pic:spPr>
                      </pic:pic>
                    </a:graphicData>
                  </a:graphic>
                </wp:inline>
              </w:drawing>
            </w:r>
          </w:p>
        </w:tc>
      </w:tr>
    </w:tbl>
    <w:p w:rsidR="00AF721D" w:rsidRPr="00B50A1B" w:rsidRDefault="00AF721D" w:rsidP="002B67E3">
      <w:pPr>
        <w:pStyle w:val="Source"/>
        <w:rPr>
          <w:i/>
        </w:rPr>
      </w:pPr>
      <w:r>
        <w:t>S</w:t>
      </w:r>
      <w:r w:rsidRPr="00B50A1B">
        <w:t>ource:</w:t>
      </w:r>
      <w:r w:rsidRPr="00954EED">
        <w:t xml:space="preserve"> </w:t>
      </w:r>
      <w:r w:rsidR="004071E3">
        <w:t>ACIL Allen</w:t>
      </w:r>
    </w:p>
    <w:p w:rsidR="004071E3" w:rsidRDefault="004071E3" w:rsidP="004071E3">
      <w:pPr>
        <w:pStyle w:val="BodyText"/>
      </w:pPr>
      <w:r>
        <w:t xml:space="preserve">This modelling can be used to estimate a demand elasticity of emissions, that is, the percentage change in emissions that results from a percentage change in demand. This is illustrated for both demand sensitivities in </w:t>
      </w:r>
      <w:r w:rsidR="002E3E79">
        <w:fldChar w:fldCharType="begin"/>
      </w:r>
      <w:r w:rsidR="002E3E79">
        <w:instrText xml:space="preserve"> REF _Ref365544159 \h </w:instrText>
      </w:r>
      <w:r w:rsidR="002E3E79">
        <w:fldChar w:fldCharType="separate"/>
      </w:r>
      <w:r w:rsidR="00660A8E">
        <w:t xml:space="preserve">Figure </w:t>
      </w:r>
      <w:r w:rsidR="00660A8E">
        <w:rPr>
          <w:noProof/>
        </w:rPr>
        <w:t>47</w:t>
      </w:r>
      <w:r w:rsidR="002E3E79">
        <w:fldChar w:fldCharType="end"/>
      </w:r>
      <w:r>
        <w:t xml:space="preserve"> below. The demand elasticity of emissions tends to be lower in the high demand sensitivity, especially prior to 2033-34. This result is driven by the fact that reductions in demand particularly affect the output of emissions-intensive brown coal generators resulting in percentage changes in emissions that are greater than the relevant percentage change in demand. Conversely, when demand is marginally higher, the additional demand is met by a combination of generators that is broadly reflective of the existing (incumbent) generation mix, such that the percentage increase in emissions is only slightly lower than the percentage increase in emissions. This can occur because many existing coal and other plant have excess generation capacity that they can employ if demand increases. However, later in the modelling horizon in both sensitivities, incremental changes in demand are met increasingly by changes in the level of </w:t>
      </w:r>
      <w:r>
        <w:lastRenderedPageBreak/>
        <w:t>new entrant generation. These new entrants have a lower emissions intensity than the average fleet, and so the demand elasticity of emissions fa</w:t>
      </w:r>
      <w:r w:rsidR="002E3E79">
        <w:t>lls below one.</w:t>
      </w:r>
    </w:p>
    <w:p w:rsidR="004071E3" w:rsidRDefault="004071E3">
      <w:pPr>
        <w:pStyle w:val="Caption"/>
      </w:pPr>
      <w:bookmarkStart w:id="281" w:name="_Ref365544159"/>
      <w:bookmarkStart w:id="282" w:name="_Toc370394717"/>
      <w:r>
        <w:t xml:space="preserve">Figure </w:t>
      </w:r>
      <w:fldSimple w:instr=" SEQ Figure \* ARABIC ">
        <w:r w:rsidR="00660A8E">
          <w:rPr>
            <w:noProof/>
          </w:rPr>
          <w:t>47</w:t>
        </w:r>
      </w:fldSimple>
      <w:bookmarkEnd w:id="281"/>
      <w:r w:rsidRPr="004E0C91">
        <w:rPr>
          <w:b/>
          <w:color w:val="000080"/>
        </w:rPr>
        <w:tab/>
      </w:r>
      <w:r w:rsidRPr="004071E3">
        <w:rPr>
          <w:rStyle w:val="CaptionLabel"/>
        </w:rPr>
        <w:t>Demand elasticity of emissions</w:t>
      </w:r>
      <w:bookmarkEnd w:id="282"/>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071E3" w:rsidTr="002B67E3">
        <w:trPr>
          <w:cantSplit/>
        </w:trPr>
        <w:tc>
          <w:tcPr>
            <w:tcW w:w="5000" w:type="pct"/>
          </w:tcPr>
          <w:p w:rsidR="004071E3" w:rsidRDefault="004071E3" w:rsidP="002B67E3">
            <w:pPr>
              <w:pStyle w:val="SmallDeltasRightAligned"/>
              <w:keepNext/>
            </w:pPr>
            <w:r>
              <w:rPr>
                <w:noProof/>
                <w:lang w:eastAsia="en-AU"/>
              </w:rPr>
              <w:drawing>
                <wp:inline distT="0" distB="0" distL="0" distR="0" wp14:anchorId="182024DA" wp14:editId="2432766B">
                  <wp:extent cx="481585" cy="23469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071E3" w:rsidTr="002B67E3">
        <w:trPr>
          <w:cantSplit/>
        </w:trPr>
        <w:tc>
          <w:tcPr>
            <w:tcW w:w="5000" w:type="pct"/>
          </w:tcPr>
          <w:p w:rsidR="004071E3" w:rsidRDefault="004071E3" w:rsidP="002B67E3">
            <w:pPr>
              <w:pStyle w:val="Figure"/>
            </w:pPr>
            <w:r>
              <w:rPr>
                <w:noProof/>
                <w:lang w:eastAsia="en-AU"/>
              </w:rPr>
              <w:drawing>
                <wp:inline distT="0" distB="0" distL="0" distR="0" wp14:anchorId="3EF5BBB1" wp14:editId="742E4073">
                  <wp:extent cx="4673600" cy="240474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4071E3" w:rsidRDefault="004071E3">
      <w:pPr>
        <w:pStyle w:val="Note"/>
      </w:pPr>
      <w:r>
        <w:rPr>
          <w:i/>
        </w:rPr>
        <w:t>Note:</w:t>
      </w:r>
      <w:r>
        <w:t xml:space="preserve"> </w:t>
      </w:r>
      <w:r w:rsidRPr="004071E3">
        <w:t xml:space="preserve">Demand elasticity of emissions was negative for the </w:t>
      </w:r>
      <w:r w:rsidR="00652324">
        <w:t>high</w:t>
      </w:r>
      <w:r w:rsidRPr="004071E3">
        <w:t xml:space="preserve"> demand </w:t>
      </w:r>
      <w:r w:rsidR="00870E54">
        <w:t>sensitivity</w:t>
      </w:r>
      <w:r w:rsidRPr="004071E3">
        <w:t xml:space="preserve"> in 2012-13 and so is not presented for clarity.</w:t>
      </w:r>
    </w:p>
    <w:p w:rsidR="004071E3" w:rsidRPr="00B50A1B" w:rsidRDefault="004071E3" w:rsidP="002B67E3">
      <w:pPr>
        <w:pStyle w:val="Source"/>
        <w:rPr>
          <w:i/>
        </w:rPr>
      </w:pPr>
      <w:r>
        <w:t>S</w:t>
      </w:r>
      <w:r w:rsidRPr="00B50A1B">
        <w:t>ource:</w:t>
      </w:r>
      <w:r w:rsidRPr="00954EED">
        <w:t xml:space="preserve"> </w:t>
      </w:r>
      <w:r>
        <w:t>ACIL Allen</w:t>
      </w:r>
    </w:p>
    <w:p w:rsidR="004071E3" w:rsidRDefault="004071E3" w:rsidP="004071E3">
      <w:pPr>
        <w:pStyle w:val="BodyText"/>
      </w:pPr>
      <w:r>
        <w:t>An alternative expression of the effect of changes in demand on emissions can be illustrated through the change in emissions per unit of demand, i.e. the relative change in emissions expressed as tonnes of CO</w:t>
      </w:r>
      <w:r w:rsidRPr="001B52A9">
        <w:rPr>
          <w:vertAlign w:val="subscript"/>
        </w:rPr>
        <w:t>2</w:t>
      </w:r>
      <w:r>
        <w:t xml:space="preserve">-e per megawatt-hour of electricity (see </w:t>
      </w:r>
      <w:r w:rsidR="002E3E79">
        <w:fldChar w:fldCharType="begin"/>
      </w:r>
      <w:r w:rsidR="002E3E79">
        <w:instrText xml:space="preserve"> REF _Ref365544171 \h </w:instrText>
      </w:r>
      <w:r w:rsidR="002E3E79">
        <w:fldChar w:fldCharType="separate"/>
      </w:r>
      <w:r w:rsidR="00660A8E">
        <w:t xml:space="preserve">Figure </w:t>
      </w:r>
      <w:r w:rsidR="00660A8E">
        <w:rPr>
          <w:noProof/>
        </w:rPr>
        <w:t>48</w:t>
      </w:r>
      <w:r w:rsidR="002E3E79">
        <w:fldChar w:fldCharType="end"/>
      </w:r>
      <w:r>
        <w:t xml:space="preserve">). This broadly reflects the emissions-intensity of the generators that increase or reduce output in response to changes in demand. As was seen in the presentation on the demand elasticity of emissions above, the change in emissions per unit of electricity demand is higher in the low demand sensitivity, reflecting the significant effect of demand reductions on emissions-intensive brown coal plant. In the long-run the sensitivity of emissions to demand changes reduces as the average emissions-intensity of the generation fleet reduces. </w:t>
      </w:r>
    </w:p>
    <w:p w:rsidR="004071E3" w:rsidRDefault="004071E3">
      <w:pPr>
        <w:pStyle w:val="Caption"/>
      </w:pPr>
      <w:bookmarkStart w:id="283" w:name="_Ref365544171"/>
      <w:bookmarkStart w:id="284" w:name="_Toc370394718"/>
      <w:r>
        <w:t xml:space="preserve">Figure </w:t>
      </w:r>
      <w:fldSimple w:instr=" SEQ Figure \* ARABIC ">
        <w:r w:rsidR="00660A8E">
          <w:rPr>
            <w:noProof/>
          </w:rPr>
          <w:t>48</w:t>
        </w:r>
      </w:fldSimple>
      <w:bookmarkEnd w:id="283"/>
      <w:r w:rsidRPr="004E0C91">
        <w:rPr>
          <w:b/>
          <w:color w:val="000080"/>
        </w:rPr>
        <w:tab/>
      </w:r>
      <w:r w:rsidRPr="004071E3">
        <w:rPr>
          <w:rStyle w:val="CaptionLabel"/>
        </w:rPr>
        <w:t>Change in emissions per unit change in demand</w:t>
      </w:r>
      <w:bookmarkEnd w:id="284"/>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071E3" w:rsidTr="002B67E3">
        <w:trPr>
          <w:cantSplit/>
        </w:trPr>
        <w:tc>
          <w:tcPr>
            <w:tcW w:w="5000" w:type="pct"/>
          </w:tcPr>
          <w:p w:rsidR="004071E3" w:rsidRDefault="004071E3" w:rsidP="002B67E3">
            <w:pPr>
              <w:pStyle w:val="SmallDeltasRightAligned"/>
              <w:keepNext/>
            </w:pPr>
            <w:r>
              <w:rPr>
                <w:noProof/>
                <w:lang w:eastAsia="en-AU"/>
              </w:rPr>
              <w:drawing>
                <wp:inline distT="0" distB="0" distL="0" distR="0" wp14:anchorId="2D6B8319" wp14:editId="10913193">
                  <wp:extent cx="481585" cy="23469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071E3" w:rsidTr="002B67E3">
        <w:trPr>
          <w:cantSplit/>
        </w:trPr>
        <w:tc>
          <w:tcPr>
            <w:tcW w:w="5000" w:type="pct"/>
          </w:tcPr>
          <w:p w:rsidR="004071E3" w:rsidRDefault="004071E3" w:rsidP="002B67E3">
            <w:pPr>
              <w:pStyle w:val="Figure"/>
            </w:pPr>
            <w:r>
              <w:rPr>
                <w:noProof/>
                <w:lang w:eastAsia="en-AU"/>
              </w:rPr>
              <w:drawing>
                <wp:inline distT="0" distB="0" distL="0" distR="0" wp14:anchorId="2D277F90" wp14:editId="5F5582C4">
                  <wp:extent cx="4673600" cy="240474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4071E3" w:rsidRDefault="004071E3">
      <w:pPr>
        <w:pStyle w:val="Note"/>
      </w:pPr>
      <w:r>
        <w:rPr>
          <w:i/>
        </w:rPr>
        <w:t>Note:</w:t>
      </w:r>
      <w:r>
        <w:t xml:space="preserve"> </w:t>
      </w:r>
      <w:r w:rsidRPr="004071E3">
        <w:t xml:space="preserve">Change in emissions per unit of demand was negative for the </w:t>
      </w:r>
      <w:r w:rsidR="00DE652F">
        <w:t>high</w:t>
      </w:r>
      <w:r w:rsidRPr="004071E3">
        <w:t xml:space="preserve"> demand </w:t>
      </w:r>
      <w:r w:rsidR="00870E54">
        <w:t>sens</w:t>
      </w:r>
      <w:r w:rsidR="00DE652F">
        <w:t>i</w:t>
      </w:r>
      <w:r w:rsidR="00870E54">
        <w:t>tivity</w:t>
      </w:r>
      <w:r w:rsidRPr="004071E3">
        <w:t xml:space="preserve"> in 2012-13 and so is not presented for clarity.</w:t>
      </w:r>
    </w:p>
    <w:p w:rsidR="004071E3" w:rsidRPr="00B50A1B" w:rsidRDefault="004071E3" w:rsidP="002B67E3">
      <w:pPr>
        <w:pStyle w:val="Source"/>
        <w:rPr>
          <w:i/>
        </w:rPr>
      </w:pPr>
      <w:r>
        <w:t>S</w:t>
      </w:r>
      <w:r w:rsidRPr="00B50A1B">
        <w:t>ource:</w:t>
      </w:r>
      <w:r w:rsidRPr="00954EED">
        <w:t xml:space="preserve"> </w:t>
      </w:r>
      <w:r>
        <w:t>ACIL Allen</w:t>
      </w:r>
    </w:p>
    <w:p w:rsidR="004071E3" w:rsidRDefault="004071E3" w:rsidP="004071E3">
      <w:pPr>
        <w:pStyle w:val="Heading2"/>
        <w:pBdr>
          <w:bottom w:val="none" w:sz="0" w:space="0" w:color="auto"/>
        </w:pBdr>
      </w:pPr>
      <w:bookmarkStart w:id="285" w:name="_Ref364861860"/>
      <w:bookmarkStart w:id="286" w:name="_Toc365474059"/>
      <w:bookmarkStart w:id="287" w:name="_Toc370394660"/>
      <w:r>
        <w:lastRenderedPageBreak/>
        <w:t>High and Low Fuel Price sensitivities</w:t>
      </w:r>
      <w:bookmarkEnd w:id="285"/>
      <w:bookmarkEnd w:id="286"/>
      <w:bookmarkEnd w:id="287"/>
    </w:p>
    <w:p w:rsidR="004071E3" w:rsidRDefault="004071E3" w:rsidP="004071E3">
      <w:pPr>
        <w:pStyle w:val="BodyText"/>
      </w:pPr>
      <w:r>
        <w:t xml:space="preserve">The Treasury provided fuel price trajectories for gas, coal and oil for both High and Low Fuel Price sensitivities. These trajectories reflect internationally traded prices for these fuels and were translated to domestic prices for each power station as described in </w:t>
      </w:r>
      <w:r w:rsidR="002E3E79">
        <w:t>S</w:t>
      </w:r>
      <w:r>
        <w:t xml:space="preserve">ection </w:t>
      </w:r>
      <w:r w:rsidR="002E3E79">
        <w:fldChar w:fldCharType="begin"/>
      </w:r>
      <w:r w:rsidR="002E3E79">
        <w:instrText xml:space="preserve"> REF _Ref364773581 \n \h </w:instrText>
      </w:r>
      <w:r w:rsidR="002E3E79">
        <w:fldChar w:fldCharType="separate"/>
      </w:r>
      <w:r w:rsidR="00660A8E">
        <w:t>3.5</w:t>
      </w:r>
      <w:r w:rsidR="002E3E79">
        <w:fldChar w:fldCharType="end"/>
      </w:r>
      <w:r>
        <w:t xml:space="preserve">. The international fuel price assumptions for gas and coal are presented in </w:t>
      </w:r>
      <w:r w:rsidR="002E3E79">
        <w:fldChar w:fldCharType="begin"/>
      </w:r>
      <w:r w:rsidR="002E3E79">
        <w:instrText xml:space="preserve"> REF _Ref365544183 \h </w:instrText>
      </w:r>
      <w:r w:rsidR="002E3E79">
        <w:fldChar w:fldCharType="separate"/>
      </w:r>
      <w:r w:rsidR="00660A8E">
        <w:t xml:space="preserve">Figure </w:t>
      </w:r>
      <w:r w:rsidR="00660A8E">
        <w:rPr>
          <w:noProof/>
        </w:rPr>
        <w:t>49</w:t>
      </w:r>
      <w:r w:rsidR="002E3E79">
        <w:fldChar w:fldCharType="end"/>
      </w:r>
      <w:r>
        <w:t xml:space="preserve"> and </w:t>
      </w:r>
      <w:r w:rsidR="002E3E79">
        <w:fldChar w:fldCharType="begin"/>
      </w:r>
      <w:r w:rsidR="002E3E79">
        <w:instrText xml:space="preserve"> REF _Ref365544189 \h </w:instrText>
      </w:r>
      <w:r w:rsidR="002E3E79">
        <w:fldChar w:fldCharType="separate"/>
      </w:r>
      <w:r w:rsidR="00660A8E">
        <w:t xml:space="preserve">Figure </w:t>
      </w:r>
      <w:r w:rsidR="00660A8E">
        <w:rPr>
          <w:noProof/>
        </w:rPr>
        <w:t>50</w:t>
      </w:r>
      <w:r w:rsidR="002E3E79">
        <w:fldChar w:fldCharType="end"/>
      </w:r>
      <w:r>
        <w:t xml:space="preserve"> respectively (oil prices have a negligible effect on this modelling).</w:t>
      </w:r>
    </w:p>
    <w:p w:rsidR="004071E3" w:rsidRDefault="004071E3">
      <w:pPr>
        <w:pStyle w:val="Caption"/>
      </w:pPr>
      <w:bookmarkStart w:id="288" w:name="_Ref365544183"/>
      <w:bookmarkStart w:id="289" w:name="_Toc370394719"/>
      <w:r>
        <w:t xml:space="preserve">Figure </w:t>
      </w:r>
      <w:fldSimple w:instr=" SEQ Figure \* ARABIC ">
        <w:r w:rsidR="00660A8E">
          <w:rPr>
            <w:noProof/>
          </w:rPr>
          <w:t>49</w:t>
        </w:r>
      </w:fldSimple>
      <w:bookmarkEnd w:id="288"/>
      <w:r w:rsidRPr="004E0C91">
        <w:rPr>
          <w:b/>
          <w:color w:val="000080"/>
        </w:rPr>
        <w:tab/>
      </w:r>
      <w:r w:rsidRPr="004071E3">
        <w:rPr>
          <w:rStyle w:val="CaptionLabel"/>
        </w:rPr>
        <w:t>Gas price assumptions – fuel price sensitivities</w:t>
      </w:r>
      <w:bookmarkEnd w:id="28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071E3" w:rsidTr="002B67E3">
        <w:trPr>
          <w:cantSplit/>
        </w:trPr>
        <w:tc>
          <w:tcPr>
            <w:tcW w:w="5000" w:type="pct"/>
          </w:tcPr>
          <w:p w:rsidR="004071E3" w:rsidRDefault="004071E3" w:rsidP="002B67E3">
            <w:pPr>
              <w:pStyle w:val="SmallDeltasRightAligned"/>
              <w:keepNext/>
            </w:pPr>
            <w:r>
              <w:rPr>
                <w:noProof/>
                <w:lang w:eastAsia="en-AU"/>
              </w:rPr>
              <w:drawing>
                <wp:inline distT="0" distB="0" distL="0" distR="0" wp14:anchorId="6E866FAB" wp14:editId="3676E47D">
                  <wp:extent cx="481585" cy="23469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071E3" w:rsidTr="002B67E3">
        <w:trPr>
          <w:cantSplit/>
        </w:trPr>
        <w:tc>
          <w:tcPr>
            <w:tcW w:w="5000" w:type="pct"/>
          </w:tcPr>
          <w:p w:rsidR="004071E3" w:rsidRDefault="001D2D53" w:rsidP="002B67E3">
            <w:pPr>
              <w:pStyle w:val="Figure"/>
            </w:pPr>
            <w:r>
              <w:rPr>
                <w:noProof/>
                <w:lang w:eastAsia="en-AU"/>
              </w:rPr>
              <w:drawing>
                <wp:inline distT="0" distB="0" distL="0" distR="0" wp14:anchorId="0A286282" wp14:editId="4A57D990">
                  <wp:extent cx="4675505" cy="24066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75505" cy="2406650"/>
                          </a:xfrm>
                          <a:prstGeom prst="rect">
                            <a:avLst/>
                          </a:prstGeom>
                          <a:noFill/>
                          <a:ln>
                            <a:noFill/>
                          </a:ln>
                        </pic:spPr>
                      </pic:pic>
                    </a:graphicData>
                  </a:graphic>
                </wp:inline>
              </w:drawing>
            </w:r>
          </w:p>
        </w:tc>
      </w:tr>
    </w:tbl>
    <w:p w:rsidR="004071E3" w:rsidRDefault="004071E3">
      <w:pPr>
        <w:pStyle w:val="Note"/>
      </w:pPr>
      <w:r>
        <w:rPr>
          <w:i/>
        </w:rPr>
        <w:t>Note:</w:t>
      </w:r>
      <w:r>
        <w:t xml:space="preserve"> </w:t>
      </w:r>
      <w:r w:rsidRPr="004071E3">
        <w:t>prices presented represent internationally traded (landed LNG) prices for gas.</w:t>
      </w:r>
    </w:p>
    <w:p w:rsidR="004071E3" w:rsidRPr="00B50A1B" w:rsidRDefault="004071E3" w:rsidP="002B67E3">
      <w:pPr>
        <w:pStyle w:val="Source"/>
        <w:rPr>
          <w:i/>
        </w:rPr>
      </w:pPr>
      <w:r>
        <w:t>S</w:t>
      </w:r>
      <w:r w:rsidRPr="00B50A1B">
        <w:t>ource:</w:t>
      </w:r>
      <w:r w:rsidRPr="00954EED">
        <w:t xml:space="preserve"> </w:t>
      </w:r>
      <w:r w:rsidR="00DE652F">
        <w:t>Treasury</w:t>
      </w:r>
    </w:p>
    <w:p w:rsidR="004071E3" w:rsidRDefault="004071E3">
      <w:pPr>
        <w:pStyle w:val="Caption"/>
      </w:pPr>
      <w:bookmarkStart w:id="290" w:name="_Ref365544189"/>
      <w:bookmarkStart w:id="291" w:name="_Toc370394720"/>
      <w:r>
        <w:t xml:space="preserve">Figure </w:t>
      </w:r>
      <w:fldSimple w:instr=" SEQ Figure \* ARABIC ">
        <w:r w:rsidR="00660A8E">
          <w:rPr>
            <w:noProof/>
          </w:rPr>
          <w:t>50</w:t>
        </w:r>
      </w:fldSimple>
      <w:bookmarkEnd w:id="290"/>
      <w:r w:rsidRPr="004E0C91">
        <w:rPr>
          <w:b/>
          <w:color w:val="000080"/>
        </w:rPr>
        <w:tab/>
      </w:r>
      <w:r w:rsidRPr="004071E3">
        <w:rPr>
          <w:rStyle w:val="CaptionLabel"/>
        </w:rPr>
        <w:t>Coal price assumptions – fuel price sensitivities</w:t>
      </w:r>
      <w:bookmarkEnd w:id="29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071E3" w:rsidTr="002B67E3">
        <w:trPr>
          <w:cantSplit/>
        </w:trPr>
        <w:tc>
          <w:tcPr>
            <w:tcW w:w="5000" w:type="pct"/>
          </w:tcPr>
          <w:p w:rsidR="004071E3" w:rsidRDefault="004071E3" w:rsidP="002B67E3">
            <w:pPr>
              <w:pStyle w:val="SmallDeltasRightAligned"/>
              <w:keepNext/>
            </w:pPr>
            <w:r>
              <w:rPr>
                <w:noProof/>
                <w:lang w:eastAsia="en-AU"/>
              </w:rPr>
              <w:drawing>
                <wp:inline distT="0" distB="0" distL="0" distR="0" wp14:anchorId="274235F7" wp14:editId="321D179A">
                  <wp:extent cx="481585" cy="23469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071E3" w:rsidTr="002B67E3">
        <w:trPr>
          <w:cantSplit/>
        </w:trPr>
        <w:tc>
          <w:tcPr>
            <w:tcW w:w="5000" w:type="pct"/>
          </w:tcPr>
          <w:p w:rsidR="004071E3" w:rsidRDefault="001D2D53" w:rsidP="002B67E3">
            <w:pPr>
              <w:pStyle w:val="Figure"/>
            </w:pPr>
            <w:r>
              <w:rPr>
                <w:noProof/>
                <w:lang w:eastAsia="en-AU"/>
              </w:rPr>
              <w:drawing>
                <wp:inline distT="0" distB="0" distL="0" distR="0" wp14:anchorId="211F44BE" wp14:editId="479CDFAD">
                  <wp:extent cx="4675505" cy="24066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75505" cy="2406650"/>
                          </a:xfrm>
                          <a:prstGeom prst="rect">
                            <a:avLst/>
                          </a:prstGeom>
                          <a:noFill/>
                          <a:ln>
                            <a:noFill/>
                          </a:ln>
                        </pic:spPr>
                      </pic:pic>
                    </a:graphicData>
                  </a:graphic>
                </wp:inline>
              </w:drawing>
            </w:r>
          </w:p>
        </w:tc>
      </w:tr>
    </w:tbl>
    <w:p w:rsidR="004071E3" w:rsidRDefault="004071E3">
      <w:pPr>
        <w:pStyle w:val="Note"/>
      </w:pPr>
      <w:r>
        <w:rPr>
          <w:i/>
        </w:rPr>
        <w:t>Note:</w:t>
      </w:r>
      <w:r>
        <w:t xml:space="preserve"> </w:t>
      </w:r>
      <w:r w:rsidRPr="004071E3">
        <w:t>Prices presented represent internationally traded (landed) coal prices.</w:t>
      </w:r>
    </w:p>
    <w:p w:rsidR="004071E3" w:rsidRPr="00B50A1B" w:rsidRDefault="004071E3" w:rsidP="002B67E3">
      <w:pPr>
        <w:pStyle w:val="Source"/>
        <w:rPr>
          <w:i/>
        </w:rPr>
      </w:pPr>
      <w:r>
        <w:t>S</w:t>
      </w:r>
      <w:r w:rsidRPr="00B50A1B">
        <w:t>ource:</w:t>
      </w:r>
      <w:r w:rsidRPr="00954EED">
        <w:t xml:space="preserve"> </w:t>
      </w:r>
      <w:r w:rsidR="00DE652F">
        <w:t>Treasury</w:t>
      </w:r>
    </w:p>
    <w:p w:rsidR="004071E3" w:rsidRDefault="004071E3" w:rsidP="004071E3">
      <w:pPr>
        <w:pStyle w:val="BodyText"/>
      </w:pPr>
      <w:r>
        <w:t xml:space="preserve">The co-movement of coal and gas prices has an ambiguous effect on emissions. As fuel prices tend to comprise a greater portion of total generation costs for gas-fired generators than coal-fired generators, lower (higher) fuel prices would be expected to advantage (disadvantage) gas-fired generation over coal-fired generation </w:t>
      </w:r>
      <w:r w:rsidR="00870E54">
        <w:t>decreas</w:t>
      </w:r>
      <w:r>
        <w:t xml:space="preserve">ing (increasing) emissions. However, lower (higher) fuel prices would also tend to advantage (disadvantage) </w:t>
      </w:r>
      <w:r>
        <w:lastRenderedPageBreak/>
        <w:t xml:space="preserve">thermal generators over renewable generators, increasing (decreasing) emissions. The outcome of these changes, therefore, is complex and sensitive to the incumbent plant mix, new entrant costs and a range of other assumptions. This is reflected in the relatively minor and unstable changes in emissions between the Central Policy scenario and the fuel price sensitivities, as illustrated in </w:t>
      </w:r>
      <w:r w:rsidR="002E3E79">
        <w:fldChar w:fldCharType="begin"/>
      </w:r>
      <w:r w:rsidR="002E3E79">
        <w:instrText xml:space="preserve"> REF _Ref365544256 \h </w:instrText>
      </w:r>
      <w:r w:rsidR="002E3E79">
        <w:fldChar w:fldCharType="separate"/>
      </w:r>
      <w:r w:rsidR="00660A8E">
        <w:t xml:space="preserve">Figure </w:t>
      </w:r>
      <w:r w:rsidR="00660A8E">
        <w:rPr>
          <w:noProof/>
        </w:rPr>
        <w:t>51</w:t>
      </w:r>
      <w:r w:rsidR="002E3E79">
        <w:fldChar w:fldCharType="end"/>
      </w:r>
      <w:r>
        <w:t>.</w:t>
      </w:r>
    </w:p>
    <w:p w:rsidR="004071E3" w:rsidRDefault="004071E3">
      <w:pPr>
        <w:pStyle w:val="Caption"/>
      </w:pPr>
      <w:bookmarkStart w:id="292" w:name="_Ref365544256"/>
      <w:bookmarkStart w:id="293" w:name="_Toc370394721"/>
      <w:r>
        <w:t xml:space="preserve">Figure </w:t>
      </w:r>
      <w:fldSimple w:instr=" SEQ Figure \* ARABIC ">
        <w:r w:rsidR="00660A8E">
          <w:rPr>
            <w:noProof/>
          </w:rPr>
          <w:t>51</w:t>
        </w:r>
      </w:fldSimple>
      <w:bookmarkEnd w:id="292"/>
      <w:r w:rsidRPr="004E0C91">
        <w:rPr>
          <w:b/>
          <w:color w:val="000080"/>
        </w:rPr>
        <w:tab/>
      </w:r>
      <w:r w:rsidRPr="004071E3">
        <w:rPr>
          <w:rStyle w:val="CaptionLabel"/>
        </w:rPr>
        <w:t>Aggregate emissions – fuel price sensitivities</w:t>
      </w:r>
      <w:bookmarkEnd w:id="29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071E3" w:rsidTr="002B67E3">
        <w:trPr>
          <w:cantSplit/>
        </w:trPr>
        <w:tc>
          <w:tcPr>
            <w:tcW w:w="5000" w:type="pct"/>
          </w:tcPr>
          <w:p w:rsidR="004071E3" w:rsidRDefault="004071E3" w:rsidP="002B67E3">
            <w:pPr>
              <w:pStyle w:val="SmallDeltasRightAligned"/>
              <w:keepNext/>
            </w:pPr>
            <w:r>
              <w:rPr>
                <w:noProof/>
                <w:lang w:eastAsia="en-AU"/>
              </w:rPr>
              <w:drawing>
                <wp:inline distT="0" distB="0" distL="0" distR="0" wp14:anchorId="683DC198" wp14:editId="2438C494">
                  <wp:extent cx="481585" cy="23469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071E3" w:rsidTr="002B67E3">
        <w:trPr>
          <w:cantSplit/>
        </w:trPr>
        <w:tc>
          <w:tcPr>
            <w:tcW w:w="5000" w:type="pct"/>
          </w:tcPr>
          <w:p w:rsidR="004071E3" w:rsidRDefault="004071E3" w:rsidP="002B67E3">
            <w:pPr>
              <w:pStyle w:val="Figure"/>
            </w:pPr>
            <w:r>
              <w:rPr>
                <w:noProof/>
                <w:lang w:eastAsia="en-AU"/>
              </w:rPr>
              <w:drawing>
                <wp:inline distT="0" distB="0" distL="0" distR="0" wp14:anchorId="30DA2BDF" wp14:editId="3CD1D624">
                  <wp:extent cx="4673600" cy="240474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4071E3" w:rsidRPr="00B50A1B" w:rsidRDefault="004071E3" w:rsidP="002B67E3">
      <w:pPr>
        <w:pStyle w:val="Source"/>
        <w:rPr>
          <w:i/>
        </w:rPr>
      </w:pPr>
      <w:r>
        <w:t>S</w:t>
      </w:r>
      <w:r w:rsidRPr="00B50A1B">
        <w:t>ource:</w:t>
      </w:r>
      <w:r w:rsidRPr="00954EED">
        <w:t xml:space="preserve"> </w:t>
      </w:r>
      <w:r>
        <w:t>ACIL Allen</w:t>
      </w:r>
    </w:p>
    <w:p w:rsidR="004071E3" w:rsidRDefault="004071E3" w:rsidP="004071E3">
      <w:pPr>
        <w:pStyle w:val="BodyText"/>
      </w:pPr>
      <w:r>
        <w:t xml:space="preserve">Due to the small change in emissions under the fuel price sensitivities, the change in emissions relative to the Central Policy scenario is presented in </w:t>
      </w:r>
      <w:r w:rsidR="002E3E79">
        <w:fldChar w:fldCharType="begin"/>
      </w:r>
      <w:r w:rsidR="002E3E79">
        <w:instrText xml:space="preserve"> REF _Ref365544263 \h </w:instrText>
      </w:r>
      <w:r w:rsidR="002E3E79">
        <w:fldChar w:fldCharType="separate"/>
      </w:r>
      <w:r w:rsidR="00660A8E">
        <w:t xml:space="preserve">Figure </w:t>
      </w:r>
      <w:r w:rsidR="00660A8E">
        <w:rPr>
          <w:noProof/>
        </w:rPr>
        <w:t>52</w:t>
      </w:r>
      <w:r w:rsidR="002E3E79">
        <w:fldChar w:fldCharType="end"/>
      </w:r>
      <w:r>
        <w:t xml:space="preserve">. </w:t>
      </w:r>
    </w:p>
    <w:p w:rsidR="004071E3" w:rsidRDefault="004071E3">
      <w:pPr>
        <w:pStyle w:val="Caption"/>
      </w:pPr>
      <w:bookmarkStart w:id="294" w:name="_Ref365544263"/>
      <w:bookmarkStart w:id="295" w:name="_Toc370394722"/>
      <w:r>
        <w:t xml:space="preserve">Figure </w:t>
      </w:r>
      <w:fldSimple w:instr=" SEQ Figure \* ARABIC ">
        <w:r w:rsidR="00660A8E">
          <w:rPr>
            <w:noProof/>
          </w:rPr>
          <w:t>52</w:t>
        </w:r>
      </w:fldSimple>
      <w:bookmarkEnd w:id="294"/>
      <w:r w:rsidRPr="004E0C91">
        <w:rPr>
          <w:b/>
          <w:color w:val="000080"/>
        </w:rPr>
        <w:tab/>
      </w:r>
      <w:r w:rsidRPr="004071E3">
        <w:rPr>
          <w:rStyle w:val="CaptionLabel"/>
        </w:rPr>
        <w:t>Change in emissions relative to Central Policy scenario – fuel price sensitivities</w:t>
      </w:r>
      <w:bookmarkEnd w:id="295"/>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071E3" w:rsidTr="002B67E3">
        <w:trPr>
          <w:cantSplit/>
        </w:trPr>
        <w:tc>
          <w:tcPr>
            <w:tcW w:w="5000" w:type="pct"/>
          </w:tcPr>
          <w:p w:rsidR="004071E3" w:rsidRDefault="004071E3" w:rsidP="002B67E3">
            <w:pPr>
              <w:pStyle w:val="SmallDeltasRightAligned"/>
              <w:keepNext/>
            </w:pPr>
            <w:r>
              <w:rPr>
                <w:noProof/>
                <w:lang w:eastAsia="en-AU"/>
              </w:rPr>
              <w:drawing>
                <wp:inline distT="0" distB="0" distL="0" distR="0" wp14:anchorId="5910EB88" wp14:editId="7928B30B">
                  <wp:extent cx="481585" cy="23469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071E3" w:rsidTr="002B67E3">
        <w:trPr>
          <w:cantSplit/>
        </w:trPr>
        <w:tc>
          <w:tcPr>
            <w:tcW w:w="5000" w:type="pct"/>
          </w:tcPr>
          <w:p w:rsidR="004071E3" w:rsidRDefault="004071E3" w:rsidP="002B67E3">
            <w:pPr>
              <w:pStyle w:val="Figure"/>
            </w:pPr>
            <w:r>
              <w:rPr>
                <w:noProof/>
                <w:lang w:eastAsia="en-AU"/>
              </w:rPr>
              <w:drawing>
                <wp:inline distT="0" distB="0" distL="0" distR="0" wp14:anchorId="2969A9C1" wp14:editId="55A21539">
                  <wp:extent cx="4673600" cy="240474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73600" cy="2404745"/>
                          </a:xfrm>
                          <a:prstGeom prst="rect">
                            <a:avLst/>
                          </a:prstGeom>
                          <a:noFill/>
                          <a:ln>
                            <a:noFill/>
                          </a:ln>
                        </pic:spPr>
                      </pic:pic>
                    </a:graphicData>
                  </a:graphic>
                </wp:inline>
              </w:drawing>
            </w:r>
          </w:p>
        </w:tc>
      </w:tr>
    </w:tbl>
    <w:p w:rsidR="004071E3" w:rsidRPr="00B50A1B" w:rsidRDefault="004071E3" w:rsidP="002B67E3">
      <w:pPr>
        <w:pStyle w:val="Source"/>
        <w:rPr>
          <w:i/>
        </w:rPr>
      </w:pPr>
      <w:r>
        <w:t>S</w:t>
      </w:r>
      <w:r w:rsidRPr="00B50A1B">
        <w:t>ource:</w:t>
      </w:r>
      <w:r w:rsidRPr="00954EED">
        <w:t xml:space="preserve"> </w:t>
      </w:r>
      <w:r>
        <w:t>ACIL Allen</w:t>
      </w:r>
    </w:p>
    <w:p w:rsidR="004071E3" w:rsidRDefault="004071E3" w:rsidP="004071E3">
      <w:pPr>
        <w:pStyle w:val="BodyText"/>
      </w:pPr>
      <w:r>
        <w:t xml:space="preserve">Changes in the generation mix are critical in driving emissions differences in the fuel price sensitivities, as can be seen by comparing </w:t>
      </w:r>
      <w:r w:rsidR="002E3E79">
        <w:fldChar w:fldCharType="begin"/>
      </w:r>
      <w:r w:rsidR="002E3E79">
        <w:instrText xml:space="preserve"> REF _Ref365544269 \h </w:instrText>
      </w:r>
      <w:r w:rsidR="002E3E79">
        <w:fldChar w:fldCharType="separate"/>
      </w:r>
      <w:r w:rsidR="00660A8E">
        <w:t xml:space="preserve">Figure </w:t>
      </w:r>
      <w:r w:rsidR="00660A8E">
        <w:rPr>
          <w:noProof/>
        </w:rPr>
        <w:t>53</w:t>
      </w:r>
      <w:r w:rsidR="002E3E79">
        <w:fldChar w:fldCharType="end"/>
      </w:r>
      <w:r>
        <w:t xml:space="preserve"> and </w:t>
      </w:r>
      <w:r w:rsidR="002E3E79">
        <w:fldChar w:fldCharType="begin"/>
      </w:r>
      <w:r w:rsidR="002E3E79">
        <w:instrText xml:space="preserve"> REF _Ref365544276 \h </w:instrText>
      </w:r>
      <w:r w:rsidR="002E3E79">
        <w:fldChar w:fldCharType="separate"/>
      </w:r>
      <w:r w:rsidR="00660A8E">
        <w:t xml:space="preserve">Figure </w:t>
      </w:r>
      <w:r w:rsidR="00660A8E">
        <w:rPr>
          <w:noProof/>
        </w:rPr>
        <w:t>54</w:t>
      </w:r>
      <w:r w:rsidR="002E3E79">
        <w:fldChar w:fldCharType="end"/>
      </w:r>
      <w:r>
        <w:t xml:space="preserve">, which illustrate the generation mix in the High and Low Fuel Price sensitivities respectively. </w:t>
      </w:r>
    </w:p>
    <w:p w:rsidR="004071E3" w:rsidRDefault="004071E3">
      <w:pPr>
        <w:pStyle w:val="Caption"/>
      </w:pPr>
      <w:bookmarkStart w:id="296" w:name="_Ref365544269"/>
      <w:bookmarkStart w:id="297" w:name="_Toc370394723"/>
      <w:r>
        <w:lastRenderedPageBreak/>
        <w:t xml:space="preserve">Figure </w:t>
      </w:r>
      <w:fldSimple w:instr=" SEQ Figure \* ARABIC ">
        <w:r w:rsidR="00660A8E">
          <w:rPr>
            <w:noProof/>
          </w:rPr>
          <w:t>53</w:t>
        </w:r>
      </w:fldSimple>
      <w:bookmarkEnd w:id="296"/>
      <w:r w:rsidRPr="004E0C91">
        <w:rPr>
          <w:b/>
          <w:color w:val="000080"/>
        </w:rPr>
        <w:tab/>
      </w:r>
      <w:r w:rsidRPr="004071E3">
        <w:rPr>
          <w:rStyle w:val="CaptionLabel"/>
        </w:rPr>
        <w:t>Generation by fuel type – High Fuel Price sensitivity</w:t>
      </w:r>
      <w:bookmarkEnd w:id="297"/>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071E3" w:rsidTr="002B67E3">
        <w:trPr>
          <w:cantSplit/>
        </w:trPr>
        <w:tc>
          <w:tcPr>
            <w:tcW w:w="5000" w:type="pct"/>
          </w:tcPr>
          <w:p w:rsidR="004071E3" w:rsidRDefault="004071E3" w:rsidP="002B67E3">
            <w:pPr>
              <w:pStyle w:val="SmallDeltasRightAligned"/>
              <w:keepNext/>
            </w:pPr>
            <w:r>
              <w:rPr>
                <w:noProof/>
                <w:lang w:eastAsia="en-AU"/>
              </w:rPr>
              <w:drawing>
                <wp:inline distT="0" distB="0" distL="0" distR="0" wp14:anchorId="461509D1" wp14:editId="30267629">
                  <wp:extent cx="481585" cy="23469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071E3" w:rsidTr="002B67E3">
        <w:trPr>
          <w:cantSplit/>
        </w:trPr>
        <w:tc>
          <w:tcPr>
            <w:tcW w:w="5000" w:type="pct"/>
          </w:tcPr>
          <w:p w:rsidR="004071E3" w:rsidRDefault="004071E3" w:rsidP="002B67E3">
            <w:pPr>
              <w:pStyle w:val="Figure"/>
            </w:pPr>
            <w:r>
              <w:rPr>
                <w:noProof/>
                <w:lang w:eastAsia="en-AU"/>
              </w:rPr>
              <w:drawing>
                <wp:inline distT="0" distB="0" distL="0" distR="0" wp14:anchorId="4E8FD790" wp14:editId="7F4D92E3">
                  <wp:extent cx="4673600" cy="331914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73600" cy="3319145"/>
                          </a:xfrm>
                          <a:prstGeom prst="rect">
                            <a:avLst/>
                          </a:prstGeom>
                          <a:noFill/>
                          <a:ln>
                            <a:noFill/>
                          </a:ln>
                        </pic:spPr>
                      </pic:pic>
                    </a:graphicData>
                  </a:graphic>
                </wp:inline>
              </w:drawing>
            </w:r>
          </w:p>
        </w:tc>
      </w:tr>
    </w:tbl>
    <w:p w:rsidR="004071E3" w:rsidRPr="00B50A1B" w:rsidRDefault="004071E3" w:rsidP="002B67E3">
      <w:pPr>
        <w:pStyle w:val="Source"/>
        <w:rPr>
          <w:i/>
        </w:rPr>
      </w:pPr>
      <w:r>
        <w:t>S</w:t>
      </w:r>
      <w:r w:rsidRPr="00B50A1B">
        <w:t>ource:</w:t>
      </w:r>
      <w:r w:rsidRPr="00954EED">
        <w:t xml:space="preserve"> </w:t>
      </w:r>
      <w:r>
        <w:t>ACIL Allen</w:t>
      </w:r>
    </w:p>
    <w:p w:rsidR="004071E3" w:rsidRDefault="004071E3">
      <w:pPr>
        <w:pStyle w:val="Caption"/>
      </w:pPr>
      <w:bookmarkStart w:id="298" w:name="_Ref365544276"/>
      <w:bookmarkStart w:id="299" w:name="_Toc370394724"/>
      <w:r>
        <w:t xml:space="preserve">Figure </w:t>
      </w:r>
      <w:fldSimple w:instr=" SEQ Figure \* ARABIC ">
        <w:r w:rsidR="00660A8E">
          <w:rPr>
            <w:noProof/>
          </w:rPr>
          <w:t>54</w:t>
        </w:r>
      </w:fldSimple>
      <w:bookmarkEnd w:id="298"/>
      <w:r w:rsidRPr="004E0C91">
        <w:rPr>
          <w:b/>
          <w:color w:val="000080"/>
        </w:rPr>
        <w:tab/>
      </w:r>
      <w:r w:rsidRPr="004071E3">
        <w:rPr>
          <w:rStyle w:val="CaptionLabel"/>
        </w:rPr>
        <w:t>Generation by fuel type – Low Fuel Price sensitivity</w:t>
      </w:r>
      <w:bookmarkEnd w:id="29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071E3" w:rsidTr="002B67E3">
        <w:trPr>
          <w:cantSplit/>
        </w:trPr>
        <w:tc>
          <w:tcPr>
            <w:tcW w:w="5000" w:type="pct"/>
          </w:tcPr>
          <w:p w:rsidR="004071E3" w:rsidRDefault="004071E3" w:rsidP="002B67E3">
            <w:pPr>
              <w:pStyle w:val="SmallDeltasRightAligned"/>
              <w:keepNext/>
            </w:pPr>
            <w:r>
              <w:rPr>
                <w:noProof/>
                <w:lang w:eastAsia="en-AU"/>
              </w:rPr>
              <w:drawing>
                <wp:inline distT="0" distB="0" distL="0" distR="0" wp14:anchorId="5E091E07" wp14:editId="1ED1CD49">
                  <wp:extent cx="481585" cy="23469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071E3" w:rsidTr="002B67E3">
        <w:trPr>
          <w:cantSplit/>
        </w:trPr>
        <w:tc>
          <w:tcPr>
            <w:tcW w:w="5000" w:type="pct"/>
          </w:tcPr>
          <w:p w:rsidR="004071E3" w:rsidRDefault="004071E3" w:rsidP="002B67E3">
            <w:pPr>
              <w:pStyle w:val="Figure"/>
            </w:pPr>
            <w:r>
              <w:rPr>
                <w:noProof/>
                <w:lang w:eastAsia="en-AU"/>
              </w:rPr>
              <w:drawing>
                <wp:inline distT="0" distB="0" distL="0" distR="0" wp14:anchorId="71BD1BB8" wp14:editId="7EDD5681">
                  <wp:extent cx="4673600" cy="331914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73600" cy="3319145"/>
                          </a:xfrm>
                          <a:prstGeom prst="rect">
                            <a:avLst/>
                          </a:prstGeom>
                          <a:noFill/>
                          <a:ln>
                            <a:noFill/>
                          </a:ln>
                        </pic:spPr>
                      </pic:pic>
                    </a:graphicData>
                  </a:graphic>
                </wp:inline>
              </w:drawing>
            </w:r>
          </w:p>
        </w:tc>
      </w:tr>
    </w:tbl>
    <w:p w:rsidR="004071E3" w:rsidRPr="00B50A1B" w:rsidRDefault="004071E3" w:rsidP="002B67E3">
      <w:pPr>
        <w:pStyle w:val="Source"/>
        <w:rPr>
          <w:i/>
        </w:rPr>
      </w:pPr>
      <w:r>
        <w:t>S</w:t>
      </w:r>
      <w:r w:rsidRPr="00B50A1B">
        <w:t>ource:</w:t>
      </w:r>
      <w:r w:rsidRPr="00954EED">
        <w:t xml:space="preserve"> </w:t>
      </w:r>
      <w:r>
        <w:t>ACIL Allen</w:t>
      </w:r>
    </w:p>
    <w:p w:rsidR="004071E3" w:rsidRDefault="004071E3" w:rsidP="004071E3">
      <w:pPr>
        <w:pStyle w:val="BodyText"/>
      </w:pPr>
      <w:r>
        <w:t xml:space="preserve">An even clearer illustration of how the change in the generation mix drives emissions results can be seen by displaying the change in output by generation technology between the Central Policy scenario and each sensitivity, with generators grouped into five categories: </w:t>
      </w:r>
      <w:r>
        <w:lastRenderedPageBreak/>
        <w:t xml:space="preserve">coal and cogeneration; natural gas and liquid fuel; renewable (excluding geothermal); CCS; and geothermal (see </w:t>
      </w:r>
      <w:r w:rsidR="002E3E79">
        <w:fldChar w:fldCharType="begin"/>
      </w:r>
      <w:r w:rsidR="002E3E79">
        <w:instrText xml:space="preserve"> REF _Ref365544287 \h </w:instrText>
      </w:r>
      <w:r w:rsidR="002E3E79">
        <w:fldChar w:fldCharType="separate"/>
      </w:r>
      <w:r w:rsidR="00660A8E">
        <w:t xml:space="preserve">Figure </w:t>
      </w:r>
      <w:r w:rsidR="00660A8E">
        <w:rPr>
          <w:noProof/>
        </w:rPr>
        <w:t>55</w:t>
      </w:r>
      <w:r w:rsidR="002E3E79">
        <w:fldChar w:fldCharType="end"/>
      </w:r>
      <w:r>
        <w:t xml:space="preserve"> and </w:t>
      </w:r>
      <w:r w:rsidR="002E3E79">
        <w:fldChar w:fldCharType="begin"/>
      </w:r>
      <w:r w:rsidR="002E3E79">
        <w:instrText xml:space="preserve"> REF _Ref365544291 \h </w:instrText>
      </w:r>
      <w:r w:rsidR="002E3E79">
        <w:fldChar w:fldCharType="separate"/>
      </w:r>
      <w:r w:rsidR="00660A8E">
        <w:t xml:space="preserve">Figure </w:t>
      </w:r>
      <w:r w:rsidR="00660A8E">
        <w:rPr>
          <w:noProof/>
        </w:rPr>
        <w:t>56</w:t>
      </w:r>
      <w:r w:rsidR="002E3E79">
        <w:fldChar w:fldCharType="end"/>
      </w:r>
      <w:r>
        <w:t>).</w:t>
      </w:r>
    </w:p>
    <w:p w:rsidR="004071E3" w:rsidRDefault="004071E3">
      <w:pPr>
        <w:pStyle w:val="Caption"/>
      </w:pPr>
      <w:bookmarkStart w:id="300" w:name="_Ref365544287"/>
      <w:bookmarkStart w:id="301" w:name="_Toc370394725"/>
      <w:r>
        <w:t xml:space="preserve">Figure </w:t>
      </w:r>
      <w:fldSimple w:instr=" SEQ Figure \* ARABIC ">
        <w:r w:rsidR="00660A8E">
          <w:rPr>
            <w:noProof/>
          </w:rPr>
          <w:t>55</w:t>
        </w:r>
      </w:fldSimple>
      <w:bookmarkEnd w:id="300"/>
      <w:r w:rsidRPr="004E0C91">
        <w:rPr>
          <w:b/>
          <w:color w:val="000080"/>
        </w:rPr>
        <w:tab/>
      </w:r>
      <w:r w:rsidRPr="004071E3">
        <w:rPr>
          <w:rStyle w:val="CaptionLabel"/>
        </w:rPr>
        <w:t>Change in output by generation grouping – High Fuel Price sensitivity</w:t>
      </w:r>
      <w:bookmarkEnd w:id="30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071E3" w:rsidTr="002B67E3">
        <w:trPr>
          <w:cantSplit/>
        </w:trPr>
        <w:tc>
          <w:tcPr>
            <w:tcW w:w="5000" w:type="pct"/>
          </w:tcPr>
          <w:p w:rsidR="004071E3" w:rsidRDefault="004071E3" w:rsidP="002B67E3">
            <w:pPr>
              <w:pStyle w:val="SmallDeltasRightAligned"/>
              <w:keepNext/>
            </w:pPr>
            <w:r>
              <w:rPr>
                <w:noProof/>
                <w:lang w:eastAsia="en-AU"/>
              </w:rPr>
              <w:drawing>
                <wp:inline distT="0" distB="0" distL="0" distR="0" wp14:anchorId="0C4C8C07" wp14:editId="6FA49114">
                  <wp:extent cx="481585" cy="23469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071E3" w:rsidTr="002B67E3">
        <w:trPr>
          <w:cantSplit/>
        </w:trPr>
        <w:tc>
          <w:tcPr>
            <w:tcW w:w="5000" w:type="pct"/>
          </w:tcPr>
          <w:p w:rsidR="004071E3" w:rsidRDefault="004071E3" w:rsidP="002B67E3">
            <w:pPr>
              <w:pStyle w:val="Figure"/>
            </w:pPr>
            <w:r>
              <w:rPr>
                <w:noProof/>
                <w:lang w:eastAsia="en-AU"/>
              </w:rPr>
              <w:drawing>
                <wp:inline distT="0" distB="0" distL="0" distR="0" wp14:anchorId="175E905F" wp14:editId="21D559C4">
                  <wp:extent cx="4673600" cy="234823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73600" cy="2348230"/>
                          </a:xfrm>
                          <a:prstGeom prst="rect">
                            <a:avLst/>
                          </a:prstGeom>
                          <a:noFill/>
                          <a:ln>
                            <a:noFill/>
                          </a:ln>
                        </pic:spPr>
                      </pic:pic>
                    </a:graphicData>
                  </a:graphic>
                </wp:inline>
              </w:drawing>
            </w:r>
          </w:p>
        </w:tc>
      </w:tr>
    </w:tbl>
    <w:p w:rsidR="004071E3" w:rsidRPr="00B50A1B" w:rsidRDefault="004071E3" w:rsidP="002B67E3">
      <w:pPr>
        <w:pStyle w:val="Source"/>
        <w:rPr>
          <w:i/>
        </w:rPr>
      </w:pPr>
      <w:r>
        <w:t>S</w:t>
      </w:r>
      <w:r w:rsidRPr="00B50A1B">
        <w:t>ource:</w:t>
      </w:r>
      <w:r w:rsidRPr="00954EED">
        <w:t xml:space="preserve"> </w:t>
      </w:r>
      <w:r>
        <w:t>ACIL Allen</w:t>
      </w:r>
    </w:p>
    <w:p w:rsidR="004071E3" w:rsidRDefault="004071E3">
      <w:pPr>
        <w:pStyle w:val="Caption"/>
      </w:pPr>
      <w:bookmarkStart w:id="302" w:name="_Ref365544291"/>
      <w:bookmarkStart w:id="303" w:name="_Toc370394726"/>
      <w:r>
        <w:t xml:space="preserve">Figure </w:t>
      </w:r>
      <w:fldSimple w:instr=" SEQ Figure \* ARABIC ">
        <w:r w:rsidR="00660A8E">
          <w:rPr>
            <w:noProof/>
          </w:rPr>
          <w:t>56</w:t>
        </w:r>
      </w:fldSimple>
      <w:bookmarkEnd w:id="302"/>
      <w:r w:rsidRPr="004E0C91">
        <w:rPr>
          <w:b/>
          <w:color w:val="000080"/>
        </w:rPr>
        <w:tab/>
      </w:r>
      <w:r w:rsidRPr="004071E3">
        <w:rPr>
          <w:rStyle w:val="CaptionLabel"/>
        </w:rPr>
        <w:t>Change in output by generation grouping – Low Fuel Price sensitivity</w:t>
      </w:r>
      <w:bookmarkEnd w:id="30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071E3" w:rsidTr="002B67E3">
        <w:trPr>
          <w:cantSplit/>
        </w:trPr>
        <w:tc>
          <w:tcPr>
            <w:tcW w:w="5000" w:type="pct"/>
          </w:tcPr>
          <w:p w:rsidR="004071E3" w:rsidRDefault="004071E3" w:rsidP="002B67E3">
            <w:pPr>
              <w:pStyle w:val="SmallDeltasRightAligned"/>
              <w:keepNext/>
            </w:pPr>
            <w:r>
              <w:rPr>
                <w:noProof/>
                <w:lang w:eastAsia="en-AU"/>
              </w:rPr>
              <w:drawing>
                <wp:inline distT="0" distB="0" distL="0" distR="0" wp14:anchorId="10E17219" wp14:editId="33E2DDE8">
                  <wp:extent cx="481585" cy="23469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071E3" w:rsidTr="002B67E3">
        <w:trPr>
          <w:cantSplit/>
        </w:trPr>
        <w:tc>
          <w:tcPr>
            <w:tcW w:w="5000" w:type="pct"/>
          </w:tcPr>
          <w:p w:rsidR="004071E3" w:rsidRDefault="004071E3" w:rsidP="002B67E3">
            <w:pPr>
              <w:pStyle w:val="Figure"/>
            </w:pPr>
            <w:r>
              <w:rPr>
                <w:noProof/>
                <w:lang w:eastAsia="en-AU"/>
              </w:rPr>
              <w:drawing>
                <wp:inline distT="0" distB="0" distL="0" distR="0" wp14:anchorId="2167E94C" wp14:editId="2A6DBE2F">
                  <wp:extent cx="4673600" cy="234823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73600" cy="2348230"/>
                          </a:xfrm>
                          <a:prstGeom prst="rect">
                            <a:avLst/>
                          </a:prstGeom>
                          <a:noFill/>
                          <a:ln>
                            <a:noFill/>
                          </a:ln>
                        </pic:spPr>
                      </pic:pic>
                    </a:graphicData>
                  </a:graphic>
                </wp:inline>
              </w:drawing>
            </w:r>
          </w:p>
        </w:tc>
      </w:tr>
    </w:tbl>
    <w:p w:rsidR="004071E3" w:rsidRPr="00B50A1B" w:rsidRDefault="004071E3" w:rsidP="002B67E3">
      <w:pPr>
        <w:pStyle w:val="Source"/>
        <w:rPr>
          <w:i/>
        </w:rPr>
      </w:pPr>
      <w:r>
        <w:t>S</w:t>
      </w:r>
      <w:r w:rsidRPr="00B50A1B">
        <w:t>ource:</w:t>
      </w:r>
      <w:r w:rsidRPr="00954EED">
        <w:t xml:space="preserve"> </w:t>
      </w:r>
      <w:r>
        <w:t>ACIL Allen</w:t>
      </w:r>
    </w:p>
    <w:p w:rsidR="004071E3" w:rsidRDefault="004071E3" w:rsidP="004071E3">
      <w:pPr>
        <w:pStyle w:val="BodyText"/>
      </w:pPr>
      <w:r>
        <w:t xml:space="preserve">In the High Fuel Price sensitivity, the increase in fuel prices initially favours coal-fired generation over gas-fired generation and therefore marginally increases emissions. However, from the late 2020s, the higher fuel prices favour renewable, particularly geothermal, generation over both coal and gas, reducing emissions. This means that, at this point, the fuel price elasticity of emissions is negative, as shown in </w:t>
      </w:r>
      <w:r w:rsidR="002E3E79">
        <w:fldChar w:fldCharType="begin"/>
      </w:r>
      <w:r w:rsidR="002E3E79">
        <w:instrText xml:space="preserve"> REF _Ref365544300 \h </w:instrText>
      </w:r>
      <w:r w:rsidR="002E3E79">
        <w:fldChar w:fldCharType="separate"/>
      </w:r>
      <w:r w:rsidR="00660A8E">
        <w:t xml:space="preserve">Figure </w:t>
      </w:r>
      <w:r w:rsidR="00660A8E">
        <w:rPr>
          <w:noProof/>
        </w:rPr>
        <w:t>57</w:t>
      </w:r>
      <w:r w:rsidR="002E3E79">
        <w:fldChar w:fldCharType="end"/>
      </w:r>
      <w:r>
        <w:t xml:space="preserve">. Very late in the High Fuel Price sensitivity, an increase in coal-fired generation at the expense of gas-fired generation results in an overall increase in emissions relative to the Central Policy scenario. This occurs where, in the Central Policy scenario, a large volume of coal-fired generation retires in the late years of the model, whereas in the presence of higher gas prices it is viable for this coal-fired generation to continue in the sensitivity. </w:t>
      </w:r>
    </w:p>
    <w:p w:rsidR="004071E3" w:rsidRDefault="004071E3" w:rsidP="004071E3">
      <w:pPr>
        <w:pStyle w:val="BodyText"/>
      </w:pPr>
      <w:r>
        <w:lastRenderedPageBreak/>
        <w:t xml:space="preserve">Conversely, the Low Fuel Price sensitivity sees much higher levels of gas-fired generation, coming largely at the expense of coal-fired generation and with relatively low displacement of renewable generation. This drives the result that emissions are lower throughout the Low Fuel Price sensitivity relatively to the Central Policy scenario, and therefore that the fuel price elasticity of emissions is positive. </w:t>
      </w:r>
    </w:p>
    <w:p w:rsidR="004071E3" w:rsidRDefault="004071E3" w:rsidP="004071E3">
      <w:pPr>
        <w:pStyle w:val="BodyText"/>
      </w:pPr>
      <w:r>
        <w:t xml:space="preserve">Given that gas-fired generation is more sensitive to fuel prices than coal-fired generation, </w:t>
      </w:r>
      <w:r w:rsidR="002E3E79">
        <w:fldChar w:fldCharType="begin"/>
      </w:r>
      <w:r w:rsidR="002E3E79">
        <w:instrText xml:space="preserve"> REF _Ref365544300 \h </w:instrText>
      </w:r>
      <w:r w:rsidR="002E3E79">
        <w:fldChar w:fldCharType="separate"/>
      </w:r>
      <w:r w:rsidR="00660A8E">
        <w:t xml:space="preserve">Figure </w:t>
      </w:r>
      <w:r w:rsidR="00660A8E">
        <w:rPr>
          <w:noProof/>
        </w:rPr>
        <w:t>57</w:t>
      </w:r>
      <w:r w:rsidR="002E3E79">
        <w:fldChar w:fldCharType="end"/>
      </w:r>
      <w:r>
        <w:t xml:space="preserve"> presents the gas price elasticity of emissions based on these two sensitivities</w:t>
      </w:r>
      <w:r w:rsidR="00870E54">
        <w:t xml:space="preserve"> (rather than the coal price elasticity of emissions)</w:t>
      </w:r>
      <w:r>
        <w:t xml:space="preserve">, that is, the percentage change in emissions in response to a percentage change in gas prices. As discussed above, this elasticity is negative for the middle period of the high fuel price sensitivity, as the displacement of gas and coal-fired generation by renewable generation results in a decrease in emissions when gas prices increase. However, in all other cases, emissions reduce when gas prices reduce and vice versa, i.e. the gas price elasticity of emissions is positive. </w:t>
      </w:r>
    </w:p>
    <w:p w:rsidR="004071E3" w:rsidRDefault="004071E3">
      <w:pPr>
        <w:pStyle w:val="Caption"/>
      </w:pPr>
      <w:bookmarkStart w:id="304" w:name="_Ref365544300"/>
      <w:bookmarkStart w:id="305" w:name="_Toc370394727"/>
      <w:r>
        <w:t xml:space="preserve">Figure </w:t>
      </w:r>
      <w:fldSimple w:instr=" SEQ Figure \* ARABIC ">
        <w:r w:rsidR="00660A8E">
          <w:rPr>
            <w:noProof/>
          </w:rPr>
          <w:t>57</w:t>
        </w:r>
      </w:fldSimple>
      <w:bookmarkEnd w:id="304"/>
      <w:r w:rsidRPr="004E0C91">
        <w:rPr>
          <w:b/>
          <w:color w:val="000080"/>
        </w:rPr>
        <w:tab/>
      </w:r>
      <w:r w:rsidRPr="004071E3">
        <w:rPr>
          <w:rStyle w:val="CaptionLabel"/>
        </w:rPr>
        <w:t>Gas price elasticity of emissions</w:t>
      </w:r>
      <w:bookmarkEnd w:id="305"/>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4071E3" w:rsidTr="002B67E3">
        <w:trPr>
          <w:cantSplit/>
        </w:trPr>
        <w:tc>
          <w:tcPr>
            <w:tcW w:w="5000" w:type="pct"/>
          </w:tcPr>
          <w:p w:rsidR="004071E3" w:rsidRDefault="004071E3" w:rsidP="002B67E3">
            <w:pPr>
              <w:pStyle w:val="SmallDeltasRightAligned"/>
              <w:keepNext/>
            </w:pPr>
            <w:r>
              <w:rPr>
                <w:noProof/>
                <w:lang w:eastAsia="en-AU"/>
              </w:rPr>
              <w:drawing>
                <wp:inline distT="0" distB="0" distL="0" distR="0" wp14:anchorId="4F25E60B" wp14:editId="7BF70D15">
                  <wp:extent cx="481585" cy="23469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4071E3" w:rsidTr="002B67E3">
        <w:trPr>
          <w:cantSplit/>
        </w:trPr>
        <w:tc>
          <w:tcPr>
            <w:tcW w:w="5000" w:type="pct"/>
          </w:tcPr>
          <w:p w:rsidR="004071E3" w:rsidRDefault="001D2D53" w:rsidP="002B67E3">
            <w:pPr>
              <w:pStyle w:val="Figure"/>
            </w:pPr>
            <w:r>
              <w:rPr>
                <w:noProof/>
                <w:lang w:eastAsia="en-AU"/>
              </w:rPr>
              <w:drawing>
                <wp:inline distT="0" distB="0" distL="0" distR="0" wp14:anchorId="4FBDDDB5" wp14:editId="41EF44FE">
                  <wp:extent cx="4675505" cy="24066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675505" cy="2406650"/>
                          </a:xfrm>
                          <a:prstGeom prst="rect">
                            <a:avLst/>
                          </a:prstGeom>
                          <a:noFill/>
                          <a:ln>
                            <a:noFill/>
                          </a:ln>
                        </pic:spPr>
                      </pic:pic>
                    </a:graphicData>
                  </a:graphic>
                </wp:inline>
              </w:drawing>
            </w:r>
          </w:p>
        </w:tc>
      </w:tr>
    </w:tbl>
    <w:p w:rsidR="004071E3" w:rsidRPr="00B50A1B" w:rsidRDefault="004071E3" w:rsidP="002B67E3">
      <w:pPr>
        <w:pStyle w:val="Source"/>
        <w:rPr>
          <w:i/>
        </w:rPr>
      </w:pPr>
      <w:r>
        <w:t>S</w:t>
      </w:r>
      <w:r w:rsidRPr="00B50A1B">
        <w:t>ource:</w:t>
      </w:r>
      <w:r w:rsidRPr="00954EED">
        <w:t xml:space="preserve"> </w:t>
      </w:r>
      <w:r>
        <w:t>ACIL Allen</w:t>
      </w:r>
    </w:p>
    <w:p w:rsidR="004071E3" w:rsidRDefault="004071E3" w:rsidP="004071E3">
      <w:pPr>
        <w:pStyle w:val="Heading2"/>
        <w:pBdr>
          <w:bottom w:val="none" w:sz="0" w:space="0" w:color="auto"/>
        </w:pBdr>
      </w:pPr>
      <w:bookmarkStart w:id="306" w:name="_Toc365474060"/>
      <w:bookmarkStart w:id="307" w:name="_Toc370394661"/>
      <w:r>
        <w:t>Technology cost sensitivities</w:t>
      </w:r>
      <w:bookmarkEnd w:id="306"/>
      <w:bookmarkEnd w:id="307"/>
    </w:p>
    <w:p w:rsidR="004071E3" w:rsidRDefault="004071E3" w:rsidP="004071E3">
      <w:pPr>
        <w:pStyle w:val="BodyText"/>
      </w:pPr>
      <w:r>
        <w:t xml:space="preserve">To test the potential effect of technological learning on emissions, particularly associated with improvements in solar and other renewable technologies, ACIL </w:t>
      </w:r>
      <w:r w:rsidR="004F6D61">
        <w:t>Allen</w:t>
      </w:r>
      <w:r>
        <w:t xml:space="preserve"> modelled three technology cost sensitivities:</w:t>
      </w:r>
    </w:p>
    <w:p w:rsidR="004071E3" w:rsidRDefault="004071E3" w:rsidP="004071E3">
      <w:pPr>
        <w:pStyle w:val="ListBullet"/>
        <w:spacing w:before="80" w:after="0"/>
      </w:pPr>
      <w:r>
        <w:t>A Fast Improvement sensitivity, where capital costs for solar PV reduced substantially faster than in the Central Policy scenario (i.e. the technology improved at a fast rate)</w:t>
      </w:r>
    </w:p>
    <w:p w:rsidR="004071E3" w:rsidRDefault="004071E3" w:rsidP="004071E3">
      <w:pPr>
        <w:pStyle w:val="ListBullet"/>
        <w:spacing w:before="80" w:after="0"/>
      </w:pPr>
      <w:r>
        <w:t>A Slow Improvement sensitivity, where capital cost for solar, wave, and CCS technologies reduced more slowly than in the Central Policy scenario</w:t>
      </w:r>
    </w:p>
    <w:p w:rsidR="004071E3" w:rsidRDefault="004071E3" w:rsidP="004071E3">
      <w:pPr>
        <w:pStyle w:val="ListBullet"/>
        <w:spacing w:before="80" w:after="0"/>
      </w:pPr>
      <w:r>
        <w:t xml:space="preserve">A Fast Improvement (unconstrained) sensitivity, adopting the same solar PV capital costs as the Fast Improvement sensitivity but where the total build constraints on solar PV were relaxed (see </w:t>
      </w:r>
      <w:r w:rsidR="002E3E79">
        <w:t>S</w:t>
      </w:r>
      <w:r>
        <w:t xml:space="preserve">ection </w:t>
      </w:r>
      <w:r w:rsidR="002E3E79">
        <w:fldChar w:fldCharType="begin"/>
      </w:r>
      <w:r w:rsidR="002E3E79">
        <w:instrText xml:space="preserve"> REF _Ref365469401 \n \h </w:instrText>
      </w:r>
      <w:r w:rsidR="002E3E79">
        <w:fldChar w:fldCharType="separate"/>
      </w:r>
      <w:r w:rsidR="00660A8E">
        <w:t>3.6.3</w:t>
      </w:r>
      <w:r w:rsidR="002E3E79">
        <w:fldChar w:fldCharType="end"/>
      </w:r>
      <w:r>
        <w:t xml:space="preserve"> for more information on these constraints).</w:t>
      </w:r>
    </w:p>
    <w:p w:rsidR="004071E3" w:rsidRDefault="004071E3" w:rsidP="004071E3">
      <w:pPr>
        <w:pStyle w:val="BodyText"/>
      </w:pPr>
      <w:r>
        <w:t xml:space="preserve">Specifically, DIICCSRTE requested that real Australian dollar capital costs for solar PV in the Fast Improvement sensitivity reduce by 10% per annum over the period to 2019-20, and then by 5% over the period to 2029-30. After that period costs were assumed to reduce by the same annual rate as in the Central Policy scenario. In the Slow Improvement sensitivity, </w:t>
      </w:r>
      <w:r>
        <w:lastRenderedPageBreak/>
        <w:t xml:space="preserve">DIICCSRTE requested that real Australian dollar capital costs for all solar, wave and CCS technologies reduce by half the rate assumed in the Central Policy scenario. As solar PV is the critical technology in terms of technological learning, the capital cost for solar PV in the Central Policy, Fast Improvement and Slow Improvement sensitivities is presented in </w:t>
      </w:r>
      <w:r w:rsidR="002E3E79">
        <w:fldChar w:fldCharType="begin"/>
      </w:r>
      <w:r w:rsidR="002E3E79">
        <w:instrText xml:space="preserve"> REF _Ref365544398 \h </w:instrText>
      </w:r>
      <w:r w:rsidR="002E3E79">
        <w:fldChar w:fldCharType="separate"/>
      </w:r>
      <w:r w:rsidR="00660A8E">
        <w:t xml:space="preserve">Figure </w:t>
      </w:r>
      <w:r w:rsidR="00660A8E">
        <w:rPr>
          <w:noProof/>
        </w:rPr>
        <w:t>58</w:t>
      </w:r>
      <w:r w:rsidR="002E3E79">
        <w:fldChar w:fldCharType="end"/>
      </w:r>
      <w:r w:rsidR="002B67E3">
        <w:t>.</w:t>
      </w:r>
    </w:p>
    <w:p w:rsidR="002B67E3" w:rsidRDefault="002B67E3">
      <w:pPr>
        <w:pStyle w:val="Caption"/>
      </w:pPr>
      <w:bookmarkStart w:id="308" w:name="_Ref365544398"/>
      <w:bookmarkStart w:id="309" w:name="_Toc370394728"/>
      <w:r>
        <w:t xml:space="preserve">Figure </w:t>
      </w:r>
      <w:fldSimple w:instr=" SEQ Figure \* ARABIC ">
        <w:r w:rsidR="00660A8E">
          <w:rPr>
            <w:noProof/>
          </w:rPr>
          <w:t>58</w:t>
        </w:r>
      </w:fldSimple>
      <w:bookmarkEnd w:id="308"/>
      <w:r w:rsidRPr="004E0C91">
        <w:rPr>
          <w:b/>
          <w:color w:val="000080"/>
        </w:rPr>
        <w:tab/>
      </w:r>
      <w:r w:rsidRPr="002B67E3">
        <w:rPr>
          <w:rStyle w:val="CaptionLabel"/>
        </w:rPr>
        <w:t>Solar PV cost assumptions – technology cost sensitivities</w:t>
      </w:r>
      <w:bookmarkEnd w:id="30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B67E3" w:rsidTr="002B67E3">
        <w:trPr>
          <w:cantSplit/>
        </w:trPr>
        <w:tc>
          <w:tcPr>
            <w:tcW w:w="5000" w:type="pct"/>
          </w:tcPr>
          <w:p w:rsidR="002B67E3" w:rsidRDefault="002B67E3" w:rsidP="002B67E3">
            <w:pPr>
              <w:pStyle w:val="SmallDeltasRightAligned"/>
              <w:keepNext/>
            </w:pPr>
            <w:r>
              <w:rPr>
                <w:noProof/>
                <w:lang w:eastAsia="en-AU"/>
              </w:rPr>
              <w:drawing>
                <wp:inline distT="0" distB="0" distL="0" distR="0" wp14:anchorId="13368EC1" wp14:editId="2F0F4AB8">
                  <wp:extent cx="481585" cy="23469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B67E3" w:rsidTr="002B67E3">
        <w:trPr>
          <w:cantSplit/>
        </w:trPr>
        <w:tc>
          <w:tcPr>
            <w:tcW w:w="5000" w:type="pct"/>
          </w:tcPr>
          <w:p w:rsidR="002B67E3" w:rsidRDefault="001D2D53" w:rsidP="002B67E3">
            <w:pPr>
              <w:pStyle w:val="Figure"/>
            </w:pPr>
            <w:r>
              <w:rPr>
                <w:noProof/>
                <w:lang w:eastAsia="en-AU"/>
              </w:rPr>
              <w:drawing>
                <wp:inline distT="0" distB="0" distL="0" distR="0" wp14:anchorId="78B24F0E" wp14:editId="6B8FC099">
                  <wp:extent cx="4675505" cy="2355215"/>
                  <wp:effectExtent l="0" t="0" r="0" b="698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75505" cy="2355215"/>
                          </a:xfrm>
                          <a:prstGeom prst="rect">
                            <a:avLst/>
                          </a:prstGeom>
                          <a:noFill/>
                          <a:ln>
                            <a:noFill/>
                          </a:ln>
                        </pic:spPr>
                      </pic:pic>
                    </a:graphicData>
                  </a:graphic>
                </wp:inline>
              </w:drawing>
            </w:r>
          </w:p>
        </w:tc>
      </w:tr>
    </w:tbl>
    <w:p w:rsidR="002B67E3" w:rsidRPr="00B50A1B" w:rsidRDefault="002B67E3" w:rsidP="002B67E3">
      <w:pPr>
        <w:pStyle w:val="Source"/>
        <w:rPr>
          <w:i/>
        </w:rPr>
      </w:pPr>
      <w:r>
        <w:t>S</w:t>
      </w:r>
      <w:r w:rsidRPr="00B50A1B">
        <w:t>ource:</w:t>
      </w:r>
      <w:r w:rsidRPr="00954EED">
        <w:t xml:space="preserve"> </w:t>
      </w:r>
      <w:r w:rsidRPr="002B67E3">
        <w:t>DIICCSRTE</w:t>
      </w:r>
    </w:p>
    <w:p w:rsidR="002B67E3" w:rsidRDefault="002B67E3" w:rsidP="002B67E3">
      <w:pPr>
        <w:pStyle w:val="BodyText"/>
      </w:pPr>
      <w:r>
        <w:t xml:space="preserve">Unsurprisingly, emissions reduce relative to the Central Policy scenario in the Fast Improvement and Fast Improvement (unconstrained) sensitivities, and increase in the Slow Improvement sensitivity (with some minor exceptions early in the modelling period). The relative emissions trajectories are presented in </w:t>
      </w:r>
      <w:r w:rsidR="002E3E79">
        <w:fldChar w:fldCharType="begin"/>
      </w:r>
      <w:r w:rsidR="002E3E79">
        <w:instrText xml:space="preserve"> REF _Ref365544407 \h </w:instrText>
      </w:r>
      <w:r w:rsidR="002E3E79">
        <w:fldChar w:fldCharType="separate"/>
      </w:r>
      <w:r w:rsidR="00660A8E">
        <w:t xml:space="preserve">Figure </w:t>
      </w:r>
      <w:r w:rsidR="00660A8E">
        <w:rPr>
          <w:noProof/>
        </w:rPr>
        <w:t>59</w:t>
      </w:r>
      <w:r w:rsidR="002E3E79">
        <w:fldChar w:fldCharType="end"/>
      </w:r>
      <w:r>
        <w:t xml:space="preserve"> in absolute terms, and expressed as a variation from the Central Policy scenario in </w:t>
      </w:r>
      <w:r w:rsidR="002E3E79">
        <w:fldChar w:fldCharType="begin"/>
      </w:r>
      <w:r w:rsidR="002E3E79">
        <w:instrText xml:space="preserve"> REF _Ref365544413 \h </w:instrText>
      </w:r>
      <w:r w:rsidR="002E3E79">
        <w:fldChar w:fldCharType="separate"/>
      </w:r>
      <w:r w:rsidR="00660A8E">
        <w:t xml:space="preserve">Figure </w:t>
      </w:r>
      <w:r w:rsidR="00660A8E">
        <w:rPr>
          <w:noProof/>
        </w:rPr>
        <w:t>60</w:t>
      </w:r>
      <w:r w:rsidR="002E3E79">
        <w:fldChar w:fldCharType="end"/>
      </w:r>
      <w:r>
        <w:t xml:space="preserve">. In the Fast Improvement sensitivity, emissions initially reduce substantially relative to the Central Policy scenario, but then return to very similar levels to the Central Policy scenario as absolute build limits on solar PV are reached. In the Central Policy scenario, these limits are generally reached around the mid-2040s, whereas they bind in the early to mid-2030s in the Fast Improvement </w:t>
      </w:r>
      <w:r w:rsidR="00870E54">
        <w:t>sensitivity</w:t>
      </w:r>
      <w:r>
        <w:t>. Together, this means that the difference in emissions between the two model runs peaks at around 40 Mt CO</w:t>
      </w:r>
      <w:r w:rsidRPr="00D66683">
        <w:rPr>
          <w:vertAlign w:val="subscript"/>
        </w:rPr>
        <w:t>2</w:t>
      </w:r>
      <w:r>
        <w:t>-e in the early to mid-2030s</w:t>
      </w:r>
      <w:r w:rsidR="00CD7BAB">
        <w:t xml:space="preserve"> but</w:t>
      </w:r>
      <w:r>
        <w:t xml:space="preserve"> broadly converge</w:t>
      </w:r>
      <w:r w:rsidR="00CD7BAB">
        <w:t>s</w:t>
      </w:r>
      <w:r>
        <w:t xml:space="preserve"> by the mid-2040s. In the Slow Improvement sensitivity, the increase in emissions is fairly modest, and steady at around 10 Mt CO</w:t>
      </w:r>
      <w:r w:rsidRPr="00D66683">
        <w:rPr>
          <w:vertAlign w:val="subscript"/>
        </w:rPr>
        <w:t>2</w:t>
      </w:r>
      <w:r>
        <w:t>-e from the mid-2030s onwards. In the Fast Improvement (unconstrained) sensitivity, the difference in emissions is similar to the constrained Fast Improvement sensitivity until the early to mid-2030s. After that point, the emissions difference between the Central Policy and Fast Improvement (unconstrained) sensitivity remains relatively stable at around 50 Mt CO</w:t>
      </w:r>
      <w:r w:rsidRPr="00E6743E">
        <w:rPr>
          <w:vertAlign w:val="subscript"/>
        </w:rPr>
        <w:t>2</w:t>
      </w:r>
      <w:r>
        <w:t xml:space="preserve">-e for the remainder of the model horizon. </w:t>
      </w:r>
    </w:p>
    <w:p w:rsidR="002B67E3" w:rsidRDefault="002B67E3">
      <w:pPr>
        <w:pStyle w:val="Caption"/>
      </w:pPr>
      <w:bookmarkStart w:id="310" w:name="_Ref365544407"/>
      <w:bookmarkStart w:id="311" w:name="_Toc370394729"/>
      <w:r>
        <w:lastRenderedPageBreak/>
        <w:t xml:space="preserve">Figure </w:t>
      </w:r>
      <w:fldSimple w:instr=" SEQ Figure \* ARABIC ">
        <w:r w:rsidR="00660A8E">
          <w:rPr>
            <w:noProof/>
          </w:rPr>
          <w:t>59</w:t>
        </w:r>
      </w:fldSimple>
      <w:bookmarkEnd w:id="310"/>
      <w:r w:rsidRPr="004E0C91">
        <w:rPr>
          <w:b/>
          <w:color w:val="000080"/>
        </w:rPr>
        <w:tab/>
      </w:r>
      <w:r w:rsidRPr="002B67E3">
        <w:rPr>
          <w:rStyle w:val="CaptionLabel"/>
        </w:rPr>
        <w:t>Aggregate emissions – technology cost sensitivities</w:t>
      </w:r>
      <w:bookmarkEnd w:id="311"/>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B67E3" w:rsidTr="002B67E3">
        <w:trPr>
          <w:cantSplit/>
        </w:trPr>
        <w:tc>
          <w:tcPr>
            <w:tcW w:w="5000" w:type="pct"/>
          </w:tcPr>
          <w:p w:rsidR="002B67E3" w:rsidRDefault="002B67E3" w:rsidP="002B67E3">
            <w:pPr>
              <w:pStyle w:val="SmallDeltasRightAligned"/>
              <w:keepNext/>
            </w:pPr>
            <w:r>
              <w:rPr>
                <w:noProof/>
                <w:lang w:eastAsia="en-AU"/>
              </w:rPr>
              <w:drawing>
                <wp:inline distT="0" distB="0" distL="0" distR="0" wp14:anchorId="04DC98CF" wp14:editId="1DDEEDFB">
                  <wp:extent cx="481585" cy="23469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B67E3" w:rsidTr="002B67E3">
        <w:trPr>
          <w:cantSplit/>
        </w:trPr>
        <w:tc>
          <w:tcPr>
            <w:tcW w:w="5000" w:type="pct"/>
          </w:tcPr>
          <w:p w:rsidR="002B67E3" w:rsidRDefault="002B67E3" w:rsidP="002B67E3">
            <w:pPr>
              <w:pStyle w:val="Figure"/>
            </w:pPr>
            <w:r>
              <w:rPr>
                <w:noProof/>
                <w:lang w:eastAsia="en-AU"/>
              </w:rPr>
              <w:drawing>
                <wp:inline distT="0" distB="0" distL="0" distR="0" wp14:anchorId="0C5C732E" wp14:editId="51BB59A4">
                  <wp:extent cx="4681855" cy="261112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81855" cy="2611120"/>
                          </a:xfrm>
                          <a:prstGeom prst="rect">
                            <a:avLst/>
                          </a:prstGeom>
                          <a:noFill/>
                          <a:ln>
                            <a:noFill/>
                          </a:ln>
                        </pic:spPr>
                      </pic:pic>
                    </a:graphicData>
                  </a:graphic>
                </wp:inline>
              </w:drawing>
            </w:r>
          </w:p>
        </w:tc>
      </w:tr>
    </w:tbl>
    <w:p w:rsidR="002B67E3" w:rsidRPr="00B50A1B" w:rsidRDefault="002B67E3" w:rsidP="002B67E3">
      <w:pPr>
        <w:pStyle w:val="Source"/>
        <w:rPr>
          <w:i/>
        </w:rPr>
      </w:pPr>
      <w:r>
        <w:t>S</w:t>
      </w:r>
      <w:r w:rsidRPr="00B50A1B">
        <w:t>ource:</w:t>
      </w:r>
      <w:r w:rsidRPr="00954EED">
        <w:t xml:space="preserve"> </w:t>
      </w:r>
      <w:r>
        <w:t>ACIL Allen</w:t>
      </w:r>
    </w:p>
    <w:p w:rsidR="002B67E3" w:rsidRDefault="002B67E3">
      <w:pPr>
        <w:pStyle w:val="Caption"/>
      </w:pPr>
      <w:bookmarkStart w:id="312" w:name="_Ref365544413"/>
      <w:bookmarkStart w:id="313" w:name="_Toc370394730"/>
      <w:r>
        <w:t xml:space="preserve">Figure </w:t>
      </w:r>
      <w:fldSimple w:instr=" SEQ Figure \* ARABIC ">
        <w:r w:rsidR="00660A8E">
          <w:rPr>
            <w:noProof/>
          </w:rPr>
          <w:t>60</w:t>
        </w:r>
      </w:fldSimple>
      <w:bookmarkEnd w:id="312"/>
      <w:r w:rsidRPr="004E0C91">
        <w:rPr>
          <w:b/>
          <w:color w:val="000080"/>
        </w:rPr>
        <w:tab/>
      </w:r>
      <w:r w:rsidRPr="002B67E3">
        <w:rPr>
          <w:rStyle w:val="CaptionLabel"/>
        </w:rPr>
        <w:t>Change in emissions relative to Central Policy scenario – technology cost sensitivities</w:t>
      </w:r>
      <w:bookmarkEnd w:id="313"/>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B67E3" w:rsidTr="002B67E3">
        <w:trPr>
          <w:cantSplit/>
        </w:trPr>
        <w:tc>
          <w:tcPr>
            <w:tcW w:w="5000" w:type="pct"/>
          </w:tcPr>
          <w:p w:rsidR="002B67E3" w:rsidRDefault="002B67E3" w:rsidP="002B67E3">
            <w:pPr>
              <w:pStyle w:val="SmallDeltasRightAligned"/>
              <w:keepNext/>
            </w:pPr>
            <w:r>
              <w:rPr>
                <w:noProof/>
                <w:lang w:eastAsia="en-AU"/>
              </w:rPr>
              <w:drawing>
                <wp:inline distT="0" distB="0" distL="0" distR="0" wp14:anchorId="1B6ACFAF" wp14:editId="6BAE1DA6">
                  <wp:extent cx="481585" cy="23469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B67E3" w:rsidTr="002B67E3">
        <w:trPr>
          <w:cantSplit/>
        </w:trPr>
        <w:tc>
          <w:tcPr>
            <w:tcW w:w="5000" w:type="pct"/>
          </w:tcPr>
          <w:p w:rsidR="002B67E3" w:rsidRDefault="002B67E3" w:rsidP="002B67E3">
            <w:pPr>
              <w:pStyle w:val="Figure"/>
            </w:pPr>
            <w:r>
              <w:rPr>
                <w:noProof/>
                <w:lang w:eastAsia="en-AU"/>
              </w:rPr>
              <w:drawing>
                <wp:inline distT="0" distB="0" distL="0" distR="0" wp14:anchorId="11B46889" wp14:editId="511B1394">
                  <wp:extent cx="4681855" cy="2611120"/>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81855" cy="2611120"/>
                          </a:xfrm>
                          <a:prstGeom prst="rect">
                            <a:avLst/>
                          </a:prstGeom>
                          <a:noFill/>
                          <a:ln>
                            <a:noFill/>
                          </a:ln>
                        </pic:spPr>
                      </pic:pic>
                    </a:graphicData>
                  </a:graphic>
                </wp:inline>
              </w:drawing>
            </w:r>
          </w:p>
        </w:tc>
      </w:tr>
    </w:tbl>
    <w:p w:rsidR="002B67E3" w:rsidRPr="00B50A1B" w:rsidRDefault="002B67E3" w:rsidP="002B67E3">
      <w:pPr>
        <w:pStyle w:val="Source"/>
        <w:rPr>
          <w:i/>
        </w:rPr>
      </w:pPr>
      <w:r>
        <w:t>S</w:t>
      </w:r>
      <w:r w:rsidRPr="00B50A1B">
        <w:t>ource:</w:t>
      </w:r>
      <w:r w:rsidRPr="00954EED">
        <w:t xml:space="preserve"> </w:t>
      </w:r>
      <w:r>
        <w:t>ACIL Allen</w:t>
      </w:r>
    </w:p>
    <w:p w:rsidR="002B67E3" w:rsidRDefault="002B67E3" w:rsidP="002B67E3">
      <w:pPr>
        <w:pStyle w:val="BodyText"/>
      </w:pPr>
      <w:r>
        <w:t xml:space="preserve">The changes in emissions can be explained by analysing the changes in different generation categories (relative to the Central Policy scenario), as illustrated below. In the Fast Improvement </w:t>
      </w:r>
      <w:r w:rsidR="00870E54">
        <w:t>senstivity</w:t>
      </w:r>
      <w:r>
        <w:t xml:space="preserve"> (</w:t>
      </w:r>
      <w:r w:rsidR="002E3E79">
        <w:fldChar w:fldCharType="begin"/>
      </w:r>
      <w:r w:rsidR="002E3E79">
        <w:instrText xml:space="preserve"> REF _Ref365544423 \h </w:instrText>
      </w:r>
      <w:r w:rsidR="002E3E79">
        <w:fldChar w:fldCharType="separate"/>
      </w:r>
      <w:r w:rsidR="00660A8E">
        <w:t xml:space="preserve">Figure </w:t>
      </w:r>
      <w:r w:rsidR="00660A8E">
        <w:rPr>
          <w:noProof/>
        </w:rPr>
        <w:t>61</w:t>
      </w:r>
      <w:r w:rsidR="002E3E79">
        <w:fldChar w:fldCharType="end"/>
      </w:r>
      <w:r>
        <w:t xml:space="preserve">), the initial growth in solar relative to the Central Policy scenario is largely at the expense of coal, resulting in substantial emissions reductions. However, the additional volume of solar reduces beyond the mid-2030s, driving the convergence of emissions with the Central Policy scenario. In the Slow Improvement </w:t>
      </w:r>
      <w:r w:rsidR="00870E54">
        <w:t>sensitivity</w:t>
      </w:r>
      <w:r>
        <w:t xml:space="preserve"> (</w:t>
      </w:r>
      <w:r w:rsidR="002E3E79">
        <w:fldChar w:fldCharType="begin"/>
      </w:r>
      <w:r w:rsidR="002E3E79">
        <w:instrText xml:space="preserve"> REF _Ref365544428 \h </w:instrText>
      </w:r>
      <w:r w:rsidR="002E3E79">
        <w:fldChar w:fldCharType="separate"/>
      </w:r>
      <w:r w:rsidR="00660A8E">
        <w:t xml:space="preserve">Figure </w:t>
      </w:r>
      <w:r w:rsidR="00660A8E">
        <w:rPr>
          <w:noProof/>
        </w:rPr>
        <w:t>62</w:t>
      </w:r>
      <w:r w:rsidR="002E3E79">
        <w:fldChar w:fldCharType="end"/>
      </w:r>
      <w:r>
        <w:t xml:space="preserve">) there is a substantial reduction in solar generation, but much of this is replaced with other renewables (principally wind and geothermal), and therefore the emissions impact is modest. Finally, in the Fast Improvement </w:t>
      </w:r>
      <w:r w:rsidR="00870E54">
        <w:t>(unconstrained) sensitivity</w:t>
      </w:r>
      <w:r>
        <w:t xml:space="preserve"> (</w:t>
      </w:r>
      <w:r w:rsidR="002E3E79">
        <w:fldChar w:fldCharType="begin"/>
      </w:r>
      <w:r w:rsidR="002E3E79">
        <w:instrText xml:space="preserve"> REF _Ref365544434 \h </w:instrText>
      </w:r>
      <w:r w:rsidR="002E3E79">
        <w:fldChar w:fldCharType="separate"/>
      </w:r>
      <w:r w:rsidR="00660A8E">
        <w:t xml:space="preserve">Figure </w:t>
      </w:r>
      <w:r w:rsidR="00660A8E">
        <w:rPr>
          <w:noProof/>
        </w:rPr>
        <w:t>63</w:t>
      </w:r>
      <w:r w:rsidR="002E3E79">
        <w:fldChar w:fldCharType="end"/>
      </w:r>
      <w:r>
        <w:t xml:space="preserve">) the volume of solar increases substantially (by over 100,000 GWh by the late </w:t>
      </w:r>
      <w:r>
        <w:lastRenderedPageBreak/>
        <w:t xml:space="preserve">2040s), but increasingly displaces CCS and other renewable generation, therefore having only reducing emissions to a modest extent. </w:t>
      </w:r>
    </w:p>
    <w:p w:rsidR="002B67E3" w:rsidRDefault="002B67E3">
      <w:pPr>
        <w:pStyle w:val="Caption"/>
      </w:pPr>
      <w:bookmarkStart w:id="314" w:name="_Ref365544423"/>
      <w:bookmarkStart w:id="315" w:name="_Toc370394731"/>
      <w:r>
        <w:t xml:space="preserve">Figure </w:t>
      </w:r>
      <w:fldSimple w:instr=" SEQ Figure \* ARABIC ">
        <w:r w:rsidR="00660A8E">
          <w:rPr>
            <w:noProof/>
          </w:rPr>
          <w:t>61</w:t>
        </w:r>
      </w:fldSimple>
      <w:bookmarkEnd w:id="314"/>
      <w:r w:rsidRPr="004E0C91">
        <w:rPr>
          <w:b/>
          <w:color w:val="000080"/>
        </w:rPr>
        <w:tab/>
      </w:r>
      <w:r w:rsidRPr="002B67E3">
        <w:rPr>
          <w:rStyle w:val="CaptionLabel"/>
        </w:rPr>
        <w:t>Change in output by generation grouping – Fast Improvement sensitivity</w:t>
      </w:r>
      <w:bookmarkEnd w:id="315"/>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B67E3" w:rsidTr="002B67E3">
        <w:trPr>
          <w:cantSplit/>
        </w:trPr>
        <w:tc>
          <w:tcPr>
            <w:tcW w:w="5000" w:type="pct"/>
          </w:tcPr>
          <w:p w:rsidR="002B67E3" w:rsidRDefault="002B67E3" w:rsidP="002B67E3">
            <w:pPr>
              <w:pStyle w:val="SmallDeltasRightAligned"/>
              <w:keepNext/>
            </w:pPr>
            <w:r>
              <w:rPr>
                <w:noProof/>
                <w:lang w:eastAsia="en-AU"/>
              </w:rPr>
              <w:drawing>
                <wp:inline distT="0" distB="0" distL="0" distR="0" wp14:anchorId="16CAFD5E" wp14:editId="0466C882">
                  <wp:extent cx="481585" cy="23469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B67E3" w:rsidTr="002B67E3">
        <w:trPr>
          <w:cantSplit/>
        </w:trPr>
        <w:tc>
          <w:tcPr>
            <w:tcW w:w="5000" w:type="pct"/>
          </w:tcPr>
          <w:p w:rsidR="002B67E3" w:rsidRDefault="002B67E3" w:rsidP="002B67E3">
            <w:pPr>
              <w:pStyle w:val="Figure"/>
            </w:pPr>
            <w:r>
              <w:rPr>
                <w:noProof/>
                <w:lang w:eastAsia="en-AU"/>
              </w:rPr>
              <w:drawing>
                <wp:inline distT="0" distB="0" distL="0" distR="0" wp14:anchorId="7626D008" wp14:editId="4A07B492">
                  <wp:extent cx="4681855" cy="2357755"/>
                  <wp:effectExtent l="0" t="0" r="4445"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81855" cy="2357755"/>
                          </a:xfrm>
                          <a:prstGeom prst="rect">
                            <a:avLst/>
                          </a:prstGeom>
                          <a:noFill/>
                          <a:ln>
                            <a:noFill/>
                          </a:ln>
                        </pic:spPr>
                      </pic:pic>
                    </a:graphicData>
                  </a:graphic>
                </wp:inline>
              </w:drawing>
            </w:r>
          </w:p>
        </w:tc>
      </w:tr>
    </w:tbl>
    <w:p w:rsidR="002B67E3" w:rsidRPr="00B50A1B" w:rsidRDefault="002B67E3" w:rsidP="002B67E3">
      <w:pPr>
        <w:pStyle w:val="Source"/>
        <w:rPr>
          <w:i/>
        </w:rPr>
      </w:pPr>
      <w:r>
        <w:t>S</w:t>
      </w:r>
      <w:r w:rsidRPr="00B50A1B">
        <w:t>ource:</w:t>
      </w:r>
      <w:r w:rsidRPr="00954EED">
        <w:t xml:space="preserve"> </w:t>
      </w:r>
      <w:r>
        <w:t>ACIL Allen</w:t>
      </w:r>
    </w:p>
    <w:p w:rsidR="002B67E3" w:rsidRDefault="002B67E3">
      <w:pPr>
        <w:pStyle w:val="Caption"/>
      </w:pPr>
      <w:bookmarkStart w:id="316" w:name="_Ref365544428"/>
      <w:bookmarkStart w:id="317" w:name="_Toc370394732"/>
      <w:r>
        <w:t xml:space="preserve">Figure </w:t>
      </w:r>
      <w:fldSimple w:instr=" SEQ Figure \* ARABIC ">
        <w:r w:rsidR="00660A8E">
          <w:rPr>
            <w:noProof/>
          </w:rPr>
          <w:t>62</w:t>
        </w:r>
      </w:fldSimple>
      <w:bookmarkEnd w:id="316"/>
      <w:r w:rsidRPr="004E0C91">
        <w:rPr>
          <w:b/>
          <w:color w:val="000080"/>
        </w:rPr>
        <w:tab/>
      </w:r>
      <w:r w:rsidRPr="002B67E3">
        <w:rPr>
          <w:rStyle w:val="CaptionLabel"/>
        </w:rPr>
        <w:t>Change in output by generation grouping – Slow Improvement sensitivity</w:t>
      </w:r>
      <w:bookmarkEnd w:id="317"/>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B67E3" w:rsidTr="002B67E3">
        <w:trPr>
          <w:cantSplit/>
        </w:trPr>
        <w:tc>
          <w:tcPr>
            <w:tcW w:w="5000" w:type="pct"/>
          </w:tcPr>
          <w:p w:rsidR="002B67E3" w:rsidRDefault="002B67E3" w:rsidP="002B67E3">
            <w:pPr>
              <w:pStyle w:val="SmallDeltasRightAligned"/>
              <w:keepNext/>
            </w:pPr>
            <w:r>
              <w:rPr>
                <w:noProof/>
                <w:lang w:eastAsia="en-AU"/>
              </w:rPr>
              <w:drawing>
                <wp:inline distT="0" distB="0" distL="0" distR="0" wp14:anchorId="24A73403" wp14:editId="3D830AF1">
                  <wp:extent cx="481585" cy="23469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B67E3" w:rsidTr="002B67E3">
        <w:trPr>
          <w:cantSplit/>
        </w:trPr>
        <w:tc>
          <w:tcPr>
            <w:tcW w:w="5000" w:type="pct"/>
          </w:tcPr>
          <w:p w:rsidR="002B67E3" w:rsidRDefault="002B67E3" w:rsidP="002B67E3">
            <w:pPr>
              <w:pStyle w:val="Figure"/>
            </w:pPr>
            <w:r>
              <w:rPr>
                <w:noProof/>
                <w:lang w:eastAsia="en-AU"/>
              </w:rPr>
              <w:drawing>
                <wp:inline distT="0" distB="0" distL="0" distR="0" wp14:anchorId="67478DB3" wp14:editId="3F13F72D">
                  <wp:extent cx="4681855" cy="2423795"/>
                  <wp:effectExtent l="0" t="0" r="444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681855" cy="2423795"/>
                          </a:xfrm>
                          <a:prstGeom prst="rect">
                            <a:avLst/>
                          </a:prstGeom>
                          <a:noFill/>
                          <a:ln>
                            <a:noFill/>
                          </a:ln>
                        </pic:spPr>
                      </pic:pic>
                    </a:graphicData>
                  </a:graphic>
                </wp:inline>
              </w:drawing>
            </w:r>
          </w:p>
        </w:tc>
      </w:tr>
    </w:tbl>
    <w:p w:rsidR="002B67E3" w:rsidRPr="00B50A1B" w:rsidRDefault="002B67E3" w:rsidP="002B67E3">
      <w:pPr>
        <w:pStyle w:val="Source"/>
        <w:rPr>
          <w:i/>
        </w:rPr>
      </w:pPr>
      <w:r>
        <w:t>S</w:t>
      </w:r>
      <w:r w:rsidRPr="00B50A1B">
        <w:t>ource:</w:t>
      </w:r>
      <w:r w:rsidRPr="00954EED">
        <w:t xml:space="preserve"> </w:t>
      </w:r>
      <w:r>
        <w:t>ACIL Allen</w:t>
      </w:r>
    </w:p>
    <w:p w:rsidR="002B67E3" w:rsidRDefault="002B67E3">
      <w:pPr>
        <w:pStyle w:val="Caption"/>
      </w:pPr>
      <w:bookmarkStart w:id="318" w:name="_Ref365544434"/>
      <w:bookmarkStart w:id="319" w:name="_Toc370394733"/>
      <w:r>
        <w:lastRenderedPageBreak/>
        <w:t xml:space="preserve">Figure </w:t>
      </w:r>
      <w:fldSimple w:instr=" SEQ Figure \* ARABIC ">
        <w:r w:rsidR="00660A8E">
          <w:rPr>
            <w:noProof/>
          </w:rPr>
          <w:t>63</w:t>
        </w:r>
      </w:fldSimple>
      <w:bookmarkEnd w:id="318"/>
      <w:r w:rsidRPr="004E0C91">
        <w:rPr>
          <w:b/>
          <w:color w:val="000080"/>
        </w:rPr>
        <w:tab/>
      </w:r>
      <w:r w:rsidRPr="002B67E3">
        <w:rPr>
          <w:rStyle w:val="CaptionLabel"/>
        </w:rPr>
        <w:t>Change in output by generation grouping – Fast Improvement (unconstrained) sensitivity</w:t>
      </w:r>
      <w:bookmarkEnd w:id="319"/>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B67E3" w:rsidTr="002B67E3">
        <w:trPr>
          <w:cantSplit/>
        </w:trPr>
        <w:tc>
          <w:tcPr>
            <w:tcW w:w="5000" w:type="pct"/>
          </w:tcPr>
          <w:p w:rsidR="002B67E3" w:rsidRDefault="002B67E3" w:rsidP="002B67E3">
            <w:pPr>
              <w:pStyle w:val="SmallDeltasRightAligned"/>
              <w:keepNext/>
            </w:pPr>
            <w:r>
              <w:rPr>
                <w:noProof/>
                <w:lang w:eastAsia="en-AU"/>
              </w:rPr>
              <w:drawing>
                <wp:inline distT="0" distB="0" distL="0" distR="0" wp14:anchorId="7BFE4971" wp14:editId="65547AEB">
                  <wp:extent cx="481585" cy="23469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B67E3" w:rsidTr="002B67E3">
        <w:trPr>
          <w:cantSplit/>
        </w:trPr>
        <w:tc>
          <w:tcPr>
            <w:tcW w:w="5000" w:type="pct"/>
          </w:tcPr>
          <w:p w:rsidR="002B67E3" w:rsidRDefault="002B67E3" w:rsidP="002B67E3">
            <w:pPr>
              <w:pStyle w:val="Figure"/>
            </w:pPr>
            <w:r>
              <w:rPr>
                <w:noProof/>
                <w:lang w:eastAsia="en-AU"/>
              </w:rPr>
              <w:drawing>
                <wp:inline distT="0" distB="0" distL="0" distR="0" wp14:anchorId="74FC87C6" wp14:editId="16F1A12E">
                  <wp:extent cx="4681855" cy="2357755"/>
                  <wp:effectExtent l="0" t="0" r="4445"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81855" cy="2357755"/>
                          </a:xfrm>
                          <a:prstGeom prst="rect">
                            <a:avLst/>
                          </a:prstGeom>
                          <a:noFill/>
                          <a:ln>
                            <a:noFill/>
                          </a:ln>
                        </pic:spPr>
                      </pic:pic>
                    </a:graphicData>
                  </a:graphic>
                </wp:inline>
              </w:drawing>
            </w:r>
          </w:p>
        </w:tc>
      </w:tr>
    </w:tbl>
    <w:p w:rsidR="002B67E3" w:rsidRPr="00B50A1B" w:rsidRDefault="002B67E3" w:rsidP="002B67E3">
      <w:pPr>
        <w:pStyle w:val="Source"/>
        <w:rPr>
          <w:i/>
        </w:rPr>
      </w:pPr>
      <w:r>
        <w:t>S</w:t>
      </w:r>
      <w:r w:rsidRPr="00B50A1B">
        <w:t>ource:</w:t>
      </w:r>
      <w:r w:rsidRPr="00954EED">
        <w:t xml:space="preserve"> </w:t>
      </w:r>
      <w:r>
        <w:t>ACIL Allen</w:t>
      </w:r>
    </w:p>
    <w:p w:rsidR="002B67E3" w:rsidRDefault="002B67E3" w:rsidP="002B67E3">
      <w:pPr>
        <w:pStyle w:val="BodyText"/>
      </w:pPr>
      <w:r>
        <w:t>The change in emissions relative to the Central Policy scenario can be used to derive a solar PV capital cost elasticity of emissions, that is, the percentage change in emissions for a percentage change in solar PV capital costs. The figures presented below should be interpreted with caution due to the effect of build constrains on solar uptake. In all sensitivities in most years the elasticity is positive, as expected (that is, a reduction in solar capital costs results in a reduction in emissions, and vice versa). The elasticity in the Fast Improvement (constrained and unconstrained) sensitivities is initially similar until build constraints bind, at which time the elasticity in the constrained sensitivity reduces rapidly. The elasticity in the Slow Improvement sensitivity is generally lower, reflecting that the widespread adoption of solar is generally fairly late in the model period in the Central Policy scenario. Accordingly, solar output and emissions are only materially affected from the mid</w:t>
      </w:r>
      <w:r w:rsidR="00CD7BAB">
        <w:t>-</w:t>
      </w:r>
      <w:r>
        <w:t xml:space="preserve">2030s onwards, by which time other </w:t>
      </w:r>
      <w:r w:rsidR="00CD7BAB">
        <w:t xml:space="preserve">low-emissions </w:t>
      </w:r>
      <w:r>
        <w:t>technologies are relatively cost competitive with coal</w:t>
      </w:r>
      <w:r w:rsidR="00CD7BAB">
        <w:t>, and therefore a reduction in solar capital costs has a relatively small effect on emissions as solar can be substituted with other low-emissions technologies</w:t>
      </w:r>
      <w:r>
        <w:t xml:space="preserve">. Overall, this means that the increase in emissions for an increase in solar PV costs is relatively small in the Slow Improvement sensitivity. </w:t>
      </w:r>
    </w:p>
    <w:p w:rsidR="002B67E3" w:rsidRDefault="002B67E3">
      <w:pPr>
        <w:pStyle w:val="Caption"/>
      </w:pPr>
      <w:bookmarkStart w:id="320" w:name="_Toc370394734"/>
      <w:r>
        <w:lastRenderedPageBreak/>
        <w:t xml:space="preserve">Figure </w:t>
      </w:r>
      <w:fldSimple w:instr=" SEQ Figure \* ARABIC ">
        <w:r w:rsidR="00660A8E">
          <w:rPr>
            <w:noProof/>
          </w:rPr>
          <w:t>64</w:t>
        </w:r>
      </w:fldSimple>
      <w:r w:rsidRPr="004E0C91">
        <w:rPr>
          <w:b/>
          <w:color w:val="000080"/>
        </w:rPr>
        <w:tab/>
      </w:r>
      <w:r w:rsidRPr="002B67E3">
        <w:rPr>
          <w:rStyle w:val="CaptionLabel"/>
        </w:rPr>
        <w:t>Solar PV capital cost elasticity of emissions</w:t>
      </w:r>
      <w:bookmarkEnd w:id="320"/>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B67E3" w:rsidTr="002B67E3">
        <w:trPr>
          <w:cantSplit/>
        </w:trPr>
        <w:tc>
          <w:tcPr>
            <w:tcW w:w="5000" w:type="pct"/>
          </w:tcPr>
          <w:p w:rsidR="002B67E3" w:rsidRDefault="002B67E3" w:rsidP="002B67E3">
            <w:pPr>
              <w:pStyle w:val="SmallDeltasRightAligned"/>
              <w:keepNext/>
            </w:pPr>
            <w:r>
              <w:rPr>
                <w:noProof/>
                <w:lang w:eastAsia="en-AU"/>
              </w:rPr>
              <w:drawing>
                <wp:inline distT="0" distB="0" distL="0" distR="0" wp14:anchorId="4EC12AEA" wp14:editId="63983E9A">
                  <wp:extent cx="481585" cy="23469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B67E3" w:rsidTr="002B67E3">
        <w:trPr>
          <w:cantSplit/>
        </w:trPr>
        <w:tc>
          <w:tcPr>
            <w:tcW w:w="5000" w:type="pct"/>
          </w:tcPr>
          <w:p w:rsidR="002B67E3" w:rsidRDefault="001D2D53" w:rsidP="002B67E3">
            <w:pPr>
              <w:pStyle w:val="Figure"/>
            </w:pPr>
            <w:r>
              <w:rPr>
                <w:noProof/>
                <w:lang w:eastAsia="en-AU"/>
              </w:rPr>
              <w:drawing>
                <wp:inline distT="0" distB="0" distL="0" distR="0" wp14:anchorId="62A693DA" wp14:editId="2B830057">
                  <wp:extent cx="4675505" cy="2605405"/>
                  <wp:effectExtent l="0" t="0" r="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5505" cy="2605405"/>
                          </a:xfrm>
                          <a:prstGeom prst="rect">
                            <a:avLst/>
                          </a:prstGeom>
                          <a:noFill/>
                          <a:ln>
                            <a:noFill/>
                          </a:ln>
                        </pic:spPr>
                      </pic:pic>
                    </a:graphicData>
                  </a:graphic>
                </wp:inline>
              </w:drawing>
            </w:r>
          </w:p>
        </w:tc>
      </w:tr>
    </w:tbl>
    <w:p w:rsidR="002B67E3" w:rsidRPr="00B50A1B" w:rsidRDefault="002B67E3" w:rsidP="002B67E3">
      <w:pPr>
        <w:pStyle w:val="Source"/>
        <w:rPr>
          <w:i/>
        </w:rPr>
      </w:pPr>
      <w:r>
        <w:t>S</w:t>
      </w:r>
      <w:r w:rsidRPr="00B50A1B">
        <w:t>ource:</w:t>
      </w:r>
      <w:r w:rsidRPr="00954EED">
        <w:t xml:space="preserve"> </w:t>
      </w:r>
      <w:r>
        <w:t>ACIL Allen</w:t>
      </w:r>
    </w:p>
    <w:p w:rsidR="002B67E3" w:rsidRDefault="002B67E3" w:rsidP="002B67E3">
      <w:pPr>
        <w:pStyle w:val="Heading2"/>
        <w:pBdr>
          <w:bottom w:val="none" w:sz="0" w:space="0" w:color="auto"/>
        </w:pBdr>
      </w:pPr>
      <w:bookmarkStart w:id="321" w:name="_Toc365474061"/>
      <w:bookmarkStart w:id="322" w:name="_Toc370394662"/>
      <w:r>
        <w:t>Restrictions on geothermal and CCS</w:t>
      </w:r>
      <w:bookmarkEnd w:id="321"/>
      <w:bookmarkEnd w:id="322"/>
    </w:p>
    <w:p w:rsidR="002B67E3" w:rsidRDefault="002B67E3" w:rsidP="002B67E3">
      <w:pPr>
        <w:pStyle w:val="BodyText"/>
      </w:pPr>
      <w:r>
        <w:t>Three sensitivities were modelled to assess the importance of geothermal and CCS generation technologies on future emissions trajectories:</w:t>
      </w:r>
    </w:p>
    <w:p w:rsidR="002B67E3" w:rsidRDefault="002B67E3" w:rsidP="002B67E3">
      <w:pPr>
        <w:pStyle w:val="ListBullet"/>
        <w:spacing w:before="80" w:after="0"/>
      </w:pPr>
      <w:r>
        <w:t>A No CCS sensitivity, where all CCS technologies were excluded from the modelling</w:t>
      </w:r>
    </w:p>
    <w:p w:rsidR="002B67E3" w:rsidRDefault="002B67E3" w:rsidP="002B67E3">
      <w:pPr>
        <w:pStyle w:val="ListBullet"/>
        <w:spacing w:before="80" w:after="0"/>
      </w:pPr>
      <w:r>
        <w:t>A No Geothermal sensitivity, where geothermal generation was excluded from the modelling (with the exception of ARENA supported geothermal pilot projects, which were assumed to go ahead)</w:t>
      </w:r>
    </w:p>
    <w:p w:rsidR="002B67E3" w:rsidRDefault="002B67E3" w:rsidP="002B67E3">
      <w:pPr>
        <w:pStyle w:val="ListBullet"/>
        <w:spacing w:before="80" w:after="0"/>
      </w:pPr>
      <w:r>
        <w:t>A No CCS or Geothermal sensitivity, which excluded both technologies (whilst retaining the AR</w:t>
      </w:r>
      <w:r w:rsidR="00FF6FFD">
        <w:t>ENA geothermal pilot projects).</w:t>
      </w:r>
    </w:p>
    <w:p w:rsidR="002B67E3" w:rsidRDefault="002B67E3" w:rsidP="002B67E3">
      <w:pPr>
        <w:pStyle w:val="BodyText"/>
      </w:pPr>
      <w:r>
        <w:t xml:space="preserve">The effect of these technology restrictions on emissions are presented in aggregate in </w:t>
      </w:r>
      <w:r w:rsidR="002E3E79">
        <w:fldChar w:fldCharType="begin"/>
      </w:r>
      <w:r w:rsidR="002E3E79">
        <w:instrText xml:space="preserve"> REF _Ref365544455 \h </w:instrText>
      </w:r>
      <w:r w:rsidR="002E3E79">
        <w:fldChar w:fldCharType="separate"/>
      </w:r>
      <w:r w:rsidR="00660A8E">
        <w:t xml:space="preserve">Figure </w:t>
      </w:r>
      <w:r w:rsidR="00660A8E">
        <w:rPr>
          <w:noProof/>
        </w:rPr>
        <w:t>65</w:t>
      </w:r>
      <w:r w:rsidR="002E3E79">
        <w:fldChar w:fldCharType="end"/>
      </w:r>
      <w:r>
        <w:t xml:space="preserve">, and expressed as a difference from the Central Policy scenario in </w:t>
      </w:r>
      <w:r w:rsidR="002E3E79">
        <w:fldChar w:fldCharType="begin"/>
      </w:r>
      <w:r w:rsidR="002E3E79">
        <w:instrText xml:space="preserve"> REF _Ref365544462 \h </w:instrText>
      </w:r>
      <w:r w:rsidR="002E3E79">
        <w:fldChar w:fldCharType="separate"/>
      </w:r>
      <w:r w:rsidR="00660A8E">
        <w:t xml:space="preserve">Figure </w:t>
      </w:r>
      <w:r w:rsidR="00660A8E">
        <w:rPr>
          <w:noProof/>
        </w:rPr>
        <w:t>66</w:t>
      </w:r>
      <w:r w:rsidR="002E3E79">
        <w:fldChar w:fldCharType="end"/>
      </w:r>
      <w:r>
        <w:t>.</w:t>
      </w:r>
    </w:p>
    <w:p w:rsidR="002B67E3" w:rsidRDefault="002B67E3">
      <w:pPr>
        <w:pStyle w:val="Caption"/>
      </w:pPr>
      <w:bookmarkStart w:id="323" w:name="_Ref365544455"/>
      <w:bookmarkStart w:id="324" w:name="_Toc370394735"/>
      <w:r>
        <w:lastRenderedPageBreak/>
        <w:t xml:space="preserve">Figure </w:t>
      </w:r>
      <w:fldSimple w:instr=" SEQ Figure \* ARABIC ">
        <w:r w:rsidR="00660A8E">
          <w:rPr>
            <w:noProof/>
          </w:rPr>
          <w:t>65</w:t>
        </w:r>
      </w:fldSimple>
      <w:bookmarkEnd w:id="323"/>
      <w:r w:rsidRPr="004E0C91">
        <w:rPr>
          <w:b/>
          <w:color w:val="000080"/>
        </w:rPr>
        <w:tab/>
      </w:r>
      <w:r w:rsidRPr="002B67E3">
        <w:rPr>
          <w:rStyle w:val="CaptionLabel"/>
        </w:rPr>
        <w:t>Aggregate emissions – technology restriction sensitivities</w:t>
      </w:r>
      <w:bookmarkEnd w:id="324"/>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B67E3" w:rsidTr="002B67E3">
        <w:trPr>
          <w:cantSplit/>
        </w:trPr>
        <w:tc>
          <w:tcPr>
            <w:tcW w:w="5000" w:type="pct"/>
          </w:tcPr>
          <w:p w:rsidR="002B67E3" w:rsidRDefault="002B67E3" w:rsidP="002B67E3">
            <w:pPr>
              <w:pStyle w:val="SmallDeltasRightAligned"/>
              <w:keepNext/>
            </w:pPr>
            <w:r>
              <w:rPr>
                <w:noProof/>
                <w:lang w:eastAsia="en-AU"/>
              </w:rPr>
              <w:drawing>
                <wp:inline distT="0" distB="0" distL="0" distR="0" wp14:anchorId="5BB0E3E5" wp14:editId="2C239D50">
                  <wp:extent cx="481585" cy="23469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B67E3" w:rsidTr="002B67E3">
        <w:trPr>
          <w:cantSplit/>
        </w:trPr>
        <w:tc>
          <w:tcPr>
            <w:tcW w:w="5000" w:type="pct"/>
          </w:tcPr>
          <w:p w:rsidR="002B67E3" w:rsidRDefault="002B67E3" w:rsidP="002B67E3">
            <w:pPr>
              <w:pStyle w:val="Figure"/>
            </w:pPr>
            <w:r>
              <w:rPr>
                <w:noProof/>
                <w:lang w:eastAsia="en-AU"/>
              </w:rPr>
              <w:drawing>
                <wp:inline distT="0" distB="0" distL="0" distR="0" wp14:anchorId="6D56C6B9" wp14:editId="35129E0B">
                  <wp:extent cx="4673600" cy="260794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73600" cy="2607945"/>
                          </a:xfrm>
                          <a:prstGeom prst="rect">
                            <a:avLst/>
                          </a:prstGeom>
                          <a:noFill/>
                          <a:ln>
                            <a:noFill/>
                          </a:ln>
                        </pic:spPr>
                      </pic:pic>
                    </a:graphicData>
                  </a:graphic>
                </wp:inline>
              </w:drawing>
            </w:r>
          </w:p>
        </w:tc>
      </w:tr>
    </w:tbl>
    <w:p w:rsidR="002B67E3" w:rsidRPr="00B50A1B" w:rsidRDefault="002B67E3" w:rsidP="002B67E3">
      <w:pPr>
        <w:pStyle w:val="Source"/>
        <w:rPr>
          <w:i/>
        </w:rPr>
      </w:pPr>
      <w:r>
        <w:t>S</w:t>
      </w:r>
      <w:r w:rsidRPr="00B50A1B">
        <w:t>ource:</w:t>
      </w:r>
      <w:r w:rsidRPr="00954EED">
        <w:t xml:space="preserve"> </w:t>
      </w:r>
      <w:r>
        <w:t>ACIL Allen</w:t>
      </w:r>
    </w:p>
    <w:p w:rsidR="002B67E3" w:rsidRDefault="002B67E3">
      <w:pPr>
        <w:pStyle w:val="Caption"/>
      </w:pPr>
      <w:bookmarkStart w:id="325" w:name="_Ref365544462"/>
      <w:bookmarkStart w:id="326" w:name="_Toc370394736"/>
      <w:r>
        <w:t xml:space="preserve">Figure </w:t>
      </w:r>
      <w:fldSimple w:instr=" SEQ Figure \* ARABIC ">
        <w:r w:rsidR="00660A8E">
          <w:rPr>
            <w:noProof/>
          </w:rPr>
          <w:t>66</w:t>
        </w:r>
      </w:fldSimple>
      <w:bookmarkEnd w:id="325"/>
      <w:r w:rsidRPr="004E0C91">
        <w:rPr>
          <w:b/>
          <w:color w:val="000080"/>
        </w:rPr>
        <w:tab/>
      </w:r>
      <w:r w:rsidRPr="002B67E3">
        <w:rPr>
          <w:rStyle w:val="CaptionLabel"/>
        </w:rPr>
        <w:t>Emissions change relative to Central Policy scenario – technology restriction sensitivities</w:t>
      </w:r>
      <w:bookmarkEnd w:id="326"/>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B67E3" w:rsidTr="002B67E3">
        <w:trPr>
          <w:cantSplit/>
        </w:trPr>
        <w:tc>
          <w:tcPr>
            <w:tcW w:w="5000" w:type="pct"/>
          </w:tcPr>
          <w:p w:rsidR="002B67E3" w:rsidRDefault="002B67E3" w:rsidP="002B67E3">
            <w:pPr>
              <w:pStyle w:val="SmallDeltasRightAligned"/>
              <w:keepNext/>
            </w:pPr>
            <w:r>
              <w:rPr>
                <w:noProof/>
                <w:lang w:eastAsia="en-AU"/>
              </w:rPr>
              <w:drawing>
                <wp:inline distT="0" distB="0" distL="0" distR="0" wp14:anchorId="2645E8FC" wp14:editId="6307CEFB">
                  <wp:extent cx="481585" cy="234696"/>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B67E3" w:rsidTr="002B67E3">
        <w:trPr>
          <w:cantSplit/>
        </w:trPr>
        <w:tc>
          <w:tcPr>
            <w:tcW w:w="5000" w:type="pct"/>
          </w:tcPr>
          <w:p w:rsidR="002B67E3" w:rsidRDefault="002B67E3" w:rsidP="002B67E3">
            <w:pPr>
              <w:pStyle w:val="Figure"/>
            </w:pPr>
            <w:r>
              <w:rPr>
                <w:noProof/>
                <w:lang w:eastAsia="en-AU"/>
              </w:rPr>
              <w:drawing>
                <wp:inline distT="0" distB="0" distL="0" distR="0" wp14:anchorId="3D9C5F4E" wp14:editId="3301114C">
                  <wp:extent cx="4673600" cy="2607945"/>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73600" cy="2607945"/>
                          </a:xfrm>
                          <a:prstGeom prst="rect">
                            <a:avLst/>
                          </a:prstGeom>
                          <a:noFill/>
                          <a:ln>
                            <a:noFill/>
                          </a:ln>
                        </pic:spPr>
                      </pic:pic>
                    </a:graphicData>
                  </a:graphic>
                </wp:inline>
              </w:drawing>
            </w:r>
          </w:p>
        </w:tc>
      </w:tr>
    </w:tbl>
    <w:p w:rsidR="002B67E3" w:rsidRPr="00B50A1B" w:rsidRDefault="002B67E3" w:rsidP="002B67E3">
      <w:pPr>
        <w:pStyle w:val="Source"/>
        <w:rPr>
          <w:i/>
        </w:rPr>
      </w:pPr>
      <w:r>
        <w:t>S</w:t>
      </w:r>
      <w:r w:rsidRPr="00B50A1B">
        <w:t>ource:</w:t>
      </w:r>
      <w:r w:rsidRPr="00954EED">
        <w:t xml:space="preserve"> </w:t>
      </w:r>
      <w:r>
        <w:t>ACIL Allen</w:t>
      </w:r>
    </w:p>
    <w:p w:rsidR="002B67E3" w:rsidRDefault="002B67E3" w:rsidP="002B67E3">
      <w:pPr>
        <w:pStyle w:val="BodyText"/>
      </w:pPr>
      <w:r>
        <w:t xml:space="preserve">The drivers of these changes in emissions can be seen by which technologies displace CCS and/or geothermal in each sensitivity. The following three figures group display the change in output by generation technology between the Central Policy scenario and each sensitivity, with generators grouped into five categories: coal and cogeneration; natural gas and liquid fuel; renewable (excluding geothermal); CCS; and geothermal. </w:t>
      </w:r>
    </w:p>
    <w:p w:rsidR="002B67E3" w:rsidRDefault="002E3E79" w:rsidP="002B67E3">
      <w:pPr>
        <w:pStyle w:val="BodyText"/>
      </w:pPr>
      <w:r>
        <w:fldChar w:fldCharType="begin"/>
      </w:r>
      <w:r>
        <w:instrText xml:space="preserve"> REF _Ref365544471 \h </w:instrText>
      </w:r>
      <w:r>
        <w:fldChar w:fldCharType="separate"/>
      </w:r>
      <w:r w:rsidR="00660A8E">
        <w:t xml:space="preserve">Figure </w:t>
      </w:r>
      <w:r w:rsidR="00660A8E">
        <w:rPr>
          <w:noProof/>
        </w:rPr>
        <w:t>67</w:t>
      </w:r>
      <w:r>
        <w:fldChar w:fldCharType="end"/>
      </w:r>
      <w:r w:rsidR="002B67E3">
        <w:t xml:space="preserve"> illustrates how coal plays the key role in replacing CCS generation when it is excluded from the modelling, resulting in a relatively sharp increase in emissions. Conversely, when geothermal is excluded, all the other major generation groupings play a significant role in replacing it (see </w:t>
      </w:r>
      <w:r>
        <w:fldChar w:fldCharType="begin"/>
      </w:r>
      <w:r>
        <w:instrText xml:space="preserve"> REF _Ref365544475 \h </w:instrText>
      </w:r>
      <w:r>
        <w:fldChar w:fldCharType="separate"/>
      </w:r>
      <w:r w:rsidR="00660A8E">
        <w:t xml:space="preserve">Figure </w:t>
      </w:r>
      <w:r w:rsidR="00660A8E">
        <w:rPr>
          <w:noProof/>
        </w:rPr>
        <w:t>68</w:t>
      </w:r>
      <w:r>
        <w:fldChar w:fldCharType="end"/>
      </w:r>
      <w:r w:rsidR="002B67E3">
        <w:t xml:space="preserve">), with a correspondingly more muted effect on emissions. When both geothermal and CCS are excluded, other renewables play only a </w:t>
      </w:r>
      <w:r w:rsidR="002B67E3">
        <w:lastRenderedPageBreak/>
        <w:t>limited role in replacing their output, with the thermal (and relatively emissions-intensive) generation types increasing substantially (</w:t>
      </w:r>
      <w:r>
        <w:fldChar w:fldCharType="begin"/>
      </w:r>
      <w:r>
        <w:instrText xml:space="preserve"> REF _Ref365544482 \h </w:instrText>
      </w:r>
      <w:r>
        <w:fldChar w:fldCharType="separate"/>
      </w:r>
      <w:r w:rsidR="00660A8E">
        <w:t xml:space="preserve">Figure </w:t>
      </w:r>
      <w:r w:rsidR="00660A8E">
        <w:rPr>
          <w:noProof/>
        </w:rPr>
        <w:t>69</w:t>
      </w:r>
      <w:r>
        <w:fldChar w:fldCharType="end"/>
      </w:r>
      <w:r>
        <w:t>).</w:t>
      </w:r>
    </w:p>
    <w:p w:rsidR="002B67E3" w:rsidRDefault="002B67E3">
      <w:pPr>
        <w:pStyle w:val="Caption"/>
      </w:pPr>
      <w:bookmarkStart w:id="327" w:name="_Ref365544471"/>
      <w:bookmarkStart w:id="328" w:name="_Toc370394737"/>
      <w:r>
        <w:t xml:space="preserve">Figure </w:t>
      </w:r>
      <w:fldSimple w:instr=" SEQ Figure \* ARABIC ">
        <w:r w:rsidR="00660A8E">
          <w:rPr>
            <w:noProof/>
          </w:rPr>
          <w:t>67</w:t>
        </w:r>
      </w:fldSimple>
      <w:bookmarkEnd w:id="327"/>
      <w:r w:rsidRPr="004E0C91">
        <w:rPr>
          <w:b/>
          <w:color w:val="000080"/>
        </w:rPr>
        <w:tab/>
      </w:r>
      <w:r w:rsidRPr="002B67E3">
        <w:rPr>
          <w:rStyle w:val="CaptionLabel"/>
        </w:rPr>
        <w:t>Change in output by generation grouping – no CCS sensitivity</w:t>
      </w:r>
      <w:bookmarkEnd w:id="328"/>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B67E3" w:rsidTr="002B67E3">
        <w:trPr>
          <w:cantSplit/>
        </w:trPr>
        <w:tc>
          <w:tcPr>
            <w:tcW w:w="5000" w:type="pct"/>
          </w:tcPr>
          <w:p w:rsidR="002B67E3" w:rsidRDefault="002B67E3" w:rsidP="002B67E3">
            <w:pPr>
              <w:pStyle w:val="SmallDeltasRightAligned"/>
              <w:keepNext/>
            </w:pPr>
            <w:r>
              <w:rPr>
                <w:noProof/>
                <w:lang w:eastAsia="en-AU"/>
              </w:rPr>
              <w:drawing>
                <wp:inline distT="0" distB="0" distL="0" distR="0" wp14:anchorId="4B0161E8" wp14:editId="0F15DE32">
                  <wp:extent cx="481585" cy="23469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B67E3" w:rsidTr="002B67E3">
        <w:trPr>
          <w:cantSplit/>
        </w:trPr>
        <w:tc>
          <w:tcPr>
            <w:tcW w:w="5000" w:type="pct"/>
          </w:tcPr>
          <w:p w:rsidR="002B67E3" w:rsidRDefault="002B67E3" w:rsidP="002B67E3">
            <w:pPr>
              <w:pStyle w:val="Figure"/>
            </w:pPr>
            <w:r>
              <w:rPr>
                <w:noProof/>
                <w:lang w:eastAsia="en-AU"/>
              </w:rPr>
              <w:drawing>
                <wp:inline distT="0" distB="0" distL="0" distR="0" wp14:anchorId="54F9E0A1" wp14:editId="112B70BC">
                  <wp:extent cx="4673600" cy="234823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73600" cy="2348230"/>
                          </a:xfrm>
                          <a:prstGeom prst="rect">
                            <a:avLst/>
                          </a:prstGeom>
                          <a:noFill/>
                          <a:ln>
                            <a:noFill/>
                          </a:ln>
                        </pic:spPr>
                      </pic:pic>
                    </a:graphicData>
                  </a:graphic>
                </wp:inline>
              </w:drawing>
            </w:r>
          </w:p>
        </w:tc>
      </w:tr>
    </w:tbl>
    <w:p w:rsidR="002B67E3" w:rsidRPr="00B50A1B" w:rsidRDefault="002B67E3" w:rsidP="002B67E3">
      <w:pPr>
        <w:pStyle w:val="Source"/>
        <w:rPr>
          <w:i/>
        </w:rPr>
      </w:pPr>
      <w:r>
        <w:t>S</w:t>
      </w:r>
      <w:r w:rsidRPr="00B50A1B">
        <w:t>ource:</w:t>
      </w:r>
      <w:r w:rsidRPr="00954EED">
        <w:t xml:space="preserve"> </w:t>
      </w:r>
      <w:r>
        <w:t>ACIL Allen</w:t>
      </w:r>
    </w:p>
    <w:p w:rsidR="002B67E3" w:rsidRDefault="002B67E3">
      <w:pPr>
        <w:pStyle w:val="Caption"/>
      </w:pPr>
      <w:bookmarkStart w:id="329" w:name="_Ref365544475"/>
      <w:bookmarkStart w:id="330" w:name="_Toc370394738"/>
      <w:r>
        <w:t xml:space="preserve">Figure </w:t>
      </w:r>
      <w:fldSimple w:instr=" SEQ Figure \* ARABIC ">
        <w:r w:rsidR="00660A8E">
          <w:rPr>
            <w:noProof/>
          </w:rPr>
          <w:t>68</w:t>
        </w:r>
      </w:fldSimple>
      <w:bookmarkEnd w:id="329"/>
      <w:r w:rsidRPr="004E0C91">
        <w:rPr>
          <w:b/>
          <w:color w:val="000080"/>
        </w:rPr>
        <w:tab/>
      </w:r>
      <w:r w:rsidRPr="002B67E3">
        <w:rPr>
          <w:rStyle w:val="CaptionLabel"/>
        </w:rPr>
        <w:t>Change in output by generation grouping – no Geothermal sensitivity</w:t>
      </w:r>
      <w:bookmarkEnd w:id="330"/>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B67E3" w:rsidTr="002B67E3">
        <w:trPr>
          <w:cantSplit/>
        </w:trPr>
        <w:tc>
          <w:tcPr>
            <w:tcW w:w="5000" w:type="pct"/>
          </w:tcPr>
          <w:p w:rsidR="002B67E3" w:rsidRDefault="002B67E3" w:rsidP="002B67E3">
            <w:pPr>
              <w:pStyle w:val="SmallDeltasRightAligned"/>
              <w:keepNext/>
            </w:pPr>
            <w:r>
              <w:rPr>
                <w:noProof/>
                <w:lang w:eastAsia="en-AU"/>
              </w:rPr>
              <w:drawing>
                <wp:inline distT="0" distB="0" distL="0" distR="0" wp14:anchorId="4A909385" wp14:editId="27782A23">
                  <wp:extent cx="481585" cy="234696"/>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B67E3" w:rsidTr="002B67E3">
        <w:trPr>
          <w:cantSplit/>
        </w:trPr>
        <w:tc>
          <w:tcPr>
            <w:tcW w:w="5000" w:type="pct"/>
          </w:tcPr>
          <w:p w:rsidR="002B67E3" w:rsidRDefault="002B67E3" w:rsidP="002B67E3">
            <w:pPr>
              <w:pStyle w:val="Figure"/>
            </w:pPr>
            <w:r>
              <w:rPr>
                <w:noProof/>
                <w:lang w:eastAsia="en-AU"/>
              </w:rPr>
              <w:drawing>
                <wp:inline distT="0" distB="0" distL="0" distR="0" wp14:anchorId="47F54BDE" wp14:editId="286C649B">
                  <wp:extent cx="4673600" cy="234823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673600" cy="2348230"/>
                          </a:xfrm>
                          <a:prstGeom prst="rect">
                            <a:avLst/>
                          </a:prstGeom>
                          <a:noFill/>
                          <a:ln>
                            <a:noFill/>
                          </a:ln>
                        </pic:spPr>
                      </pic:pic>
                    </a:graphicData>
                  </a:graphic>
                </wp:inline>
              </w:drawing>
            </w:r>
          </w:p>
        </w:tc>
      </w:tr>
    </w:tbl>
    <w:p w:rsidR="002B67E3" w:rsidRPr="00B50A1B" w:rsidRDefault="002B67E3" w:rsidP="002B67E3">
      <w:pPr>
        <w:pStyle w:val="Source"/>
        <w:rPr>
          <w:i/>
        </w:rPr>
      </w:pPr>
      <w:r>
        <w:t>S</w:t>
      </w:r>
      <w:r w:rsidRPr="00B50A1B">
        <w:t>ource:</w:t>
      </w:r>
      <w:r w:rsidRPr="00954EED">
        <w:t xml:space="preserve"> </w:t>
      </w:r>
      <w:r>
        <w:t>ACIL Allen</w:t>
      </w:r>
    </w:p>
    <w:p w:rsidR="002B67E3" w:rsidRDefault="002B67E3">
      <w:pPr>
        <w:pStyle w:val="Caption"/>
      </w:pPr>
      <w:bookmarkStart w:id="331" w:name="_Ref365544482"/>
      <w:bookmarkStart w:id="332" w:name="_Toc370394739"/>
      <w:r>
        <w:lastRenderedPageBreak/>
        <w:t xml:space="preserve">Figure </w:t>
      </w:r>
      <w:fldSimple w:instr=" SEQ Figure \* ARABIC ">
        <w:r w:rsidR="00660A8E">
          <w:rPr>
            <w:noProof/>
          </w:rPr>
          <w:t>69</w:t>
        </w:r>
      </w:fldSimple>
      <w:bookmarkEnd w:id="331"/>
      <w:r w:rsidRPr="004E0C91">
        <w:rPr>
          <w:b/>
          <w:color w:val="000080"/>
        </w:rPr>
        <w:tab/>
      </w:r>
      <w:r w:rsidRPr="002B67E3">
        <w:rPr>
          <w:rStyle w:val="CaptionLabel"/>
        </w:rPr>
        <w:t>Change in output by generation grouping – no CCS or Geothermal sensitivity</w:t>
      </w:r>
      <w:bookmarkEnd w:id="332"/>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B67E3" w:rsidTr="002B67E3">
        <w:trPr>
          <w:cantSplit/>
        </w:trPr>
        <w:tc>
          <w:tcPr>
            <w:tcW w:w="5000" w:type="pct"/>
          </w:tcPr>
          <w:p w:rsidR="002B67E3" w:rsidRDefault="002B67E3" w:rsidP="002B67E3">
            <w:pPr>
              <w:pStyle w:val="SmallDeltasRightAligned"/>
              <w:keepNext/>
            </w:pPr>
            <w:r>
              <w:rPr>
                <w:noProof/>
                <w:lang w:eastAsia="en-AU"/>
              </w:rPr>
              <w:drawing>
                <wp:inline distT="0" distB="0" distL="0" distR="0" wp14:anchorId="615C69CB" wp14:editId="315388A2">
                  <wp:extent cx="481585" cy="234696"/>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B67E3" w:rsidTr="002B67E3">
        <w:trPr>
          <w:cantSplit/>
        </w:trPr>
        <w:tc>
          <w:tcPr>
            <w:tcW w:w="5000" w:type="pct"/>
          </w:tcPr>
          <w:p w:rsidR="002B67E3" w:rsidRDefault="002B67E3" w:rsidP="002B67E3">
            <w:pPr>
              <w:pStyle w:val="Figure"/>
            </w:pPr>
            <w:r>
              <w:rPr>
                <w:noProof/>
                <w:lang w:eastAsia="en-AU"/>
              </w:rPr>
              <w:drawing>
                <wp:inline distT="0" distB="0" distL="0" distR="0" wp14:anchorId="6CAD7A4D" wp14:editId="5639D8CD">
                  <wp:extent cx="4673600" cy="234823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73600" cy="2348230"/>
                          </a:xfrm>
                          <a:prstGeom prst="rect">
                            <a:avLst/>
                          </a:prstGeom>
                          <a:noFill/>
                          <a:ln>
                            <a:noFill/>
                          </a:ln>
                        </pic:spPr>
                      </pic:pic>
                    </a:graphicData>
                  </a:graphic>
                </wp:inline>
              </w:drawing>
            </w:r>
          </w:p>
        </w:tc>
      </w:tr>
    </w:tbl>
    <w:p w:rsidR="002B67E3" w:rsidRPr="00B50A1B" w:rsidRDefault="002B67E3" w:rsidP="002B67E3">
      <w:pPr>
        <w:pStyle w:val="Source"/>
        <w:rPr>
          <w:i/>
        </w:rPr>
      </w:pPr>
      <w:r>
        <w:t>S</w:t>
      </w:r>
      <w:r w:rsidRPr="00B50A1B">
        <w:t>ource:</w:t>
      </w:r>
      <w:r w:rsidRPr="00954EED">
        <w:t xml:space="preserve"> </w:t>
      </w:r>
      <w:r>
        <w:t>ACIL Allen</w:t>
      </w:r>
    </w:p>
    <w:p w:rsidR="002B67E3" w:rsidRDefault="002B67E3" w:rsidP="002B67E3">
      <w:pPr>
        <w:pStyle w:val="Heading2"/>
        <w:pBdr>
          <w:bottom w:val="none" w:sz="0" w:space="0" w:color="auto"/>
        </w:pBdr>
      </w:pPr>
      <w:bookmarkStart w:id="333" w:name="_Toc365474062"/>
      <w:bookmarkStart w:id="334" w:name="_Toc370394663"/>
      <w:r>
        <w:t>Summary of sensitivities</w:t>
      </w:r>
      <w:bookmarkEnd w:id="333"/>
      <w:bookmarkEnd w:id="334"/>
    </w:p>
    <w:p w:rsidR="002B67E3" w:rsidRDefault="002E3E79" w:rsidP="002B67E3">
      <w:pPr>
        <w:pStyle w:val="BodyText"/>
      </w:pPr>
      <w:r>
        <w:fldChar w:fldCharType="begin"/>
      </w:r>
      <w:r>
        <w:instrText xml:space="preserve"> REF _Ref365544494 \h </w:instrText>
      </w:r>
      <w:r>
        <w:fldChar w:fldCharType="separate"/>
      </w:r>
      <w:r w:rsidR="00660A8E">
        <w:t xml:space="preserve">Figure </w:t>
      </w:r>
      <w:r w:rsidR="00660A8E">
        <w:rPr>
          <w:noProof/>
        </w:rPr>
        <w:t>70</w:t>
      </w:r>
      <w:r>
        <w:fldChar w:fldCharType="end"/>
      </w:r>
      <w:r w:rsidR="002B67E3">
        <w:t xml:space="preserve"> summaries the change in emissions from the Central Policy scenario</w:t>
      </w:r>
      <w:r w:rsidR="008E4AC0">
        <w:t xml:space="preserve"> for each of the sensitivities.</w:t>
      </w:r>
    </w:p>
    <w:p w:rsidR="002B67E3" w:rsidRDefault="002B67E3">
      <w:pPr>
        <w:pStyle w:val="Caption"/>
      </w:pPr>
      <w:bookmarkStart w:id="335" w:name="_Ref365544494"/>
      <w:bookmarkStart w:id="336" w:name="_Toc370394740"/>
      <w:r>
        <w:t xml:space="preserve">Figure </w:t>
      </w:r>
      <w:fldSimple w:instr=" SEQ Figure \* ARABIC ">
        <w:r w:rsidR="00660A8E">
          <w:rPr>
            <w:noProof/>
          </w:rPr>
          <w:t>70</w:t>
        </w:r>
      </w:fldSimple>
      <w:bookmarkEnd w:id="335"/>
      <w:r w:rsidRPr="004E0C91">
        <w:rPr>
          <w:b/>
          <w:color w:val="000080"/>
        </w:rPr>
        <w:tab/>
      </w:r>
      <w:r w:rsidRPr="002B67E3">
        <w:rPr>
          <w:rStyle w:val="CaptionLabel"/>
        </w:rPr>
        <w:t>Change in emissions from Central Policy scenario – all sensitivities</w:t>
      </w:r>
      <w:bookmarkEnd w:id="336"/>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2B67E3" w:rsidTr="002B67E3">
        <w:trPr>
          <w:cantSplit/>
        </w:trPr>
        <w:tc>
          <w:tcPr>
            <w:tcW w:w="5000" w:type="pct"/>
          </w:tcPr>
          <w:p w:rsidR="002B67E3" w:rsidRDefault="002B67E3" w:rsidP="002B67E3">
            <w:pPr>
              <w:pStyle w:val="SmallDeltasRightAligned"/>
              <w:keepNext/>
            </w:pPr>
            <w:r>
              <w:rPr>
                <w:noProof/>
                <w:lang w:eastAsia="en-AU"/>
              </w:rPr>
              <w:drawing>
                <wp:inline distT="0" distB="0" distL="0" distR="0" wp14:anchorId="043F21D8" wp14:editId="05020821">
                  <wp:extent cx="481585" cy="23469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2B67E3" w:rsidTr="002B67E3">
        <w:trPr>
          <w:cantSplit/>
        </w:trPr>
        <w:tc>
          <w:tcPr>
            <w:tcW w:w="5000" w:type="pct"/>
          </w:tcPr>
          <w:p w:rsidR="002B67E3" w:rsidRDefault="002B67E3" w:rsidP="002B67E3">
            <w:pPr>
              <w:pStyle w:val="Figure"/>
            </w:pPr>
            <w:r>
              <w:rPr>
                <w:noProof/>
                <w:lang w:eastAsia="en-AU"/>
              </w:rPr>
              <w:drawing>
                <wp:inline distT="0" distB="0" distL="0" distR="0" wp14:anchorId="39FE975B" wp14:editId="77014ED4">
                  <wp:extent cx="4681855" cy="2787015"/>
                  <wp:effectExtent l="0" t="0" r="444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681855" cy="2787015"/>
                          </a:xfrm>
                          <a:prstGeom prst="rect">
                            <a:avLst/>
                          </a:prstGeom>
                          <a:noFill/>
                          <a:ln>
                            <a:noFill/>
                          </a:ln>
                        </pic:spPr>
                      </pic:pic>
                    </a:graphicData>
                  </a:graphic>
                </wp:inline>
              </w:drawing>
            </w:r>
          </w:p>
        </w:tc>
      </w:tr>
    </w:tbl>
    <w:p w:rsidR="002B67E3" w:rsidRPr="00B50A1B" w:rsidRDefault="002B67E3" w:rsidP="002B67E3">
      <w:pPr>
        <w:pStyle w:val="Source"/>
        <w:rPr>
          <w:i/>
        </w:rPr>
      </w:pPr>
      <w:r>
        <w:t>S</w:t>
      </w:r>
      <w:r w:rsidRPr="00B50A1B">
        <w:t>ource:</w:t>
      </w:r>
      <w:r w:rsidRPr="00954EED">
        <w:t xml:space="preserve"> </w:t>
      </w:r>
      <w:r>
        <w:t>ACIL Allen</w:t>
      </w:r>
    </w:p>
    <w:p w:rsidR="00CE43CE" w:rsidRDefault="00CE43CE" w:rsidP="00F25432">
      <w:pPr>
        <w:pStyle w:val="BodyText"/>
      </w:pPr>
    </w:p>
    <w:p w:rsidR="008B6E99" w:rsidRDefault="008B6E99" w:rsidP="00F25432">
      <w:pPr>
        <w:pStyle w:val="BodyText"/>
      </w:pPr>
    </w:p>
    <w:p w:rsidR="008B6E99" w:rsidRDefault="008B6E99" w:rsidP="00F25432">
      <w:pPr>
        <w:pStyle w:val="BodyText"/>
        <w:sectPr w:rsidR="008B6E99" w:rsidSect="00E63457">
          <w:headerReference w:type="even" r:id="rId104"/>
          <w:headerReference w:type="default" r:id="rId105"/>
          <w:footerReference w:type="even" r:id="rId106"/>
          <w:footerReference w:type="default" r:id="rId107"/>
          <w:headerReference w:type="first" r:id="rId108"/>
          <w:footerReference w:type="first" r:id="rId109"/>
          <w:pgSz w:w="11907" w:h="16839" w:code="9"/>
          <w:pgMar w:top="1134" w:right="850" w:bottom="907" w:left="3118" w:header="709" w:footer="567" w:gutter="567"/>
          <w:cols w:space="720"/>
          <w:docGrid w:linePitch="326"/>
        </w:sectPr>
      </w:pPr>
    </w:p>
    <w:p w:rsidR="008B6E99" w:rsidRDefault="008B6E99" w:rsidP="008B6E99">
      <w:pPr>
        <w:pStyle w:val="Heading7"/>
      </w:pPr>
      <w:bookmarkStart w:id="337" w:name="_Ref365542874"/>
      <w:bookmarkStart w:id="338" w:name="_Toc370394664"/>
      <w:r>
        <w:lastRenderedPageBreak/>
        <w:t>PowerMark LT</w:t>
      </w:r>
      <w:bookmarkEnd w:id="337"/>
      <w:bookmarkEnd w:id="338"/>
    </w:p>
    <w:p w:rsidR="008B6E99" w:rsidRDefault="008B6E99" w:rsidP="008B6E99">
      <w:pPr>
        <w:pStyle w:val="BodyText"/>
      </w:pPr>
      <w:r w:rsidRPr="00BC3850">
        <w:t>Unlike a detailed simulation model</w:t>
      </w:r>
      <w:r>
        <w:t>,</w:t>
      </w:r>
      <w:r w:rsidRPr="00BC3850">
        <w:t xml:space="preserve"> </w:t>
      </w:r>
      <w:r w:rsidRPr="009C6091">
        <w:rPr>
          <w:i/>
        </w:rPr>
        <w:t>PowerMark LT</w:t>
      </w:r>
      <w:r>
        <w:t xml:space="preserve"> utilises a sampled 50 or 100 point sequential representation of demand in each year, with each point weighted such that it provides a realistic representation of the demand population. A 100 point demand sample is used in this analysis. The sampling utilises a tree clustering process with a weighted pair-group centroid distance measure.</w:t>
      </w:r>
    </w:p>
    <w:p w:rsidR="008B6E99" w:rsidRDefault="008B6E99" w:rsidP="008B6E99">
      <w:pPr>
        <w:pStyle w:val="BodyText"/>
      </w:pPr>
      <w:r>
        <w:fldChar w:fldCharType="begin"/>
      </w:r>
      <w:r>
        <w:instrText xml:space="preserve"> REF _Ref365541854 \h </w:instrText>
      </w:r>
      <w:r>
        <w:fldChar w:fldCharType="separate"/>
      </w:r>
      <w:r w:rsidR="00660A8E">
        <w:t xml:space="preserve">Figure </w:t>
      </w:r>
      <w:r w:rsidR="00660A8E" w:rsidRPr="00660A8E">
        <w:rPr>
          <w:noProof/>
          <w:lang w:val="en-US"/>
        </w:rPr>
        <w:t>A</w:t>
      </w:r>
      <w:r w:rsidR="00660A8E">
        <w:rPr>
          <w:noProof/>
        </w:rPr>
        <w:t>1</w:t>
      </w:r>
      <w:r>
        <w:fldChar w:fldCharType="end"/>
      </w:r>
      <w:r>
        <w:t xml:space="preserve"> below shows the fit between a 100 point sampled Load Duration Curve (LDC) with an hourly load trace for a single region. The sampled series exhibits an extremely close fit with the population LDC. In this example, the average sampling error was only 0.36 MW (max 57 MW, min -53 MW).</w:t>
      </w:r>
    </w:p>
    <w:p w:rsidR="008B6E99" w:rsidRDefault="008B6E99" w:rsidP="008B6E99">
      <w:pPr>
        <w:pStyle w:val="BodyText"/>
      </w:pPr>
      <w:r>
        <w:t>It is important to maintain demand diversity across multiple regions. For this reason the sampling process described above is done for all regions simultaneously such that the resulting sampled demand curve is the closest possible representation for the whole market and preserves demand diversity. The process ensures that the peak demands for each region are preserved as well as the annual energy.</w:t>
      </w:r>
    </w:p>
    <w:p w:rsidR="008B6E99" w:rsidRDefault="008B6E99" w:rsidP="008B6E99">
      <w:pPr>
        <w:pStyle w:val="BodyText"/>
      </w:pPr>
      <w:r>
        <w:t>Given the propensity for changes to the underlying load shapes in each region (from influences such as embedded PV etc.), the sampling process is undertaken on grown half hourly demand traces for each year of the projection period which take account of these influences.</w:t>
      </w:r>
    </w:p>
    <w:p w:rsidR="008B6E99" w:rsidRDefault="008B6E99">
      <w:pPr>
        <w:pStyle w:val="Caption"/>
      </w:pPr>
      <w:bookmarkStart w:id="339" w:name="_Ref365541854"/>
      <w:bookmarkStart w:id="340" w:name="_Toc370394741"/>
      <w:r>
        <w:t xml:space="preserve">Figure </w:t>
      </w:r>
      <w:fldSimple w:instr=" STYLEREF 7 \s \* MERGEFORMAT ">
        <w:r w:rsidR="00660A8E" w:rsidRPr="00660A8E">
          <w:rPr>
            <w:noProof/>
            <w:lang w:val="en-US"/>
          </w:rPr>
          <w:t>A</w:t>
        </w:r>
      </w:fldSimple>
      <w:fldSimple w:instr=" SEQ Figure \* ARABIC \s 7 ">
        <w:r w:rsidR="00660A8E">
          <w:rPr>
            <w:noProof/>
          </w:rPr>
          <w:t>1</w:t>
        </w:r>
      </w:fldSimple>
      <w:bookmarkEnd w:id="339"/>
      <w:r w:rsidRPr="00204B45">
        <w:tab/>
      </w:r>
      <w:r w:rsidRPr="008B6E99">
        <w:rPr>
          <w:rStyle w:val="CaptionLabel"/>
        </w:rPr>
        <w:t>Comparison of 100 point sampled LDC with hourly trace (MW)</w:t>
      </w:r>
      <w:bookmarkEnd w:id="340"/>
    </w:p>
    <w:tbl>
      <w:tblPr>
        <w:tblW w:w="4999" w:type="pct"/>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71"/>
      </w:tblGrid>
      <w:tr w:rsidR="008B6E99" w:rsidTr="00450552">
        <w:trPr>
          <w:cantSplit/>
        </w:trPr>
        <w:tc>
          <w:tcPr>
            <w:tcW w:w="5000" w:type="pct"/>
          </w:tcPr>
          <w:p w:rsidR="008B6E99" w:rsidRDefault="008B6E99" w:rsidP="00450552">
            <w:pPr>
              <w:pStyle w:val="SmallDeltasRightAligned"/>
              <w:keepNext/>
              <w:keepLines/>
            </w:pPr>
            <w:r>
              <w:rPr>
                <w:noProof/>
                <w:lang w:eastAsia="en-AU"/>
              </w:rPr>
              <w:drawing>
                <wp:inline distT="0" distB="0" distL="0" distR="0" wp14:anchorId="083A13E1" wp14:editId="371951C4">
                  <wp:extent cx="481585" cy="234696"/>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8B6E99" w:rsidTr="00450552">
        <w:trPr>
          <w:cantSplit/>
        </w:trPr>
        <w:tc>
          <w:tcPr>
            <w:tcW w:w="5000" w:type="pct"/>
          </w:tcPr>
          <w:p w:rsidR="008B6E99" w:rsidRDefault="008B6E99" w:rsidP="00450552">
            <w:pPr>
              <w:pStyle w:val="Figure"/>
              <w:keepLines/>
            </w:pPr>
            <w:r w:rsidRPr="00282DBC">
              <w:rPr>
                <w:noProof/>
                <w:lang w:eastAsia="en-AU"/>
              </w:rPr>
              <w:drawing>
                <wp:inline distT="0" distB="0" distL="0" distR="0" wp14:anchorId="61629A6D" wp14:editId="1ECB39B7">
                  <wp:extent cx="4673600" cy="2419350"/>
                  <wp:effectExtent l="19050" t="0" r="0" b="0"/>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srcRect/>
                          <a:stretch>
                            <a:fillRect/>
                          </a:stretch>
                        </pic:blipFill>
                        <pic:spPr bwMode="auto">
                          <a:xfrm>
                            <a:off x="0" y="0"/>
                            <a:ext cx="4673600" cy="2419350"/>
                          </a:xfrm>
                          <a:prstGeom prst="rect">
                            <a:avLst/>
                          </a:prstGeom>
                          <a:noFill/>
                          <a:ln w="9525">
                            <a:noFill/>
                            <a:miter lim="800000"/>
                            <a:headEnd/>
                            <a:tailEnd/>
                          </a:ln>
                        </pic:spPr>
                      </pic:pic>
                    </a:graphicData>
                  </a:graphic>
                </wp:inline>
              </w:drawing>
            </w:r>
          </w:p>
        </w:tc>
      </w:tr>
    </w:tbl>
    <w:p w:rsidR="008B6E99" w:rsidRPr="00B50A1B" w:rsidRDefault="008B6E99" w:rsidP="00450552">
      <w:pPr>
        <w:pStyle w:val="Source"/>
        <w:rPr>
          <w:i/>
        </w:rPr>
      </w:pPr>
      <w:r>
        <w:t>S</w:t>
      </w:r>
      <w:r w:rsidRPr="00B50A1B">
        <w:t>ource:</w:t>
      </w:r>
      <w:r w:rsidRPr="00954EED">
        <w:t xml:space="preserve"> </w:t>
      </w:r>
      <w:r w:rsidRPr="001B52A9">
        <w:rPr>
          <w:i/>
        </w:rPr>
        <w:t>PowerMark LT</w:t>
      </w:r>
    </w:p>
    <w:p w:rsidR="008B6E99" w:rsidRPr="008B6E99" w:rsidRDefault="008B6E99" w:rsidP="008B6E99">
      <w:pPr>
        <w:pStyle w:val="BodyText"/>
      </w:pPr>
    </w:p>
    <w:p w:rsidR="00AF721D" w:rsidRDefault="00AF721D" w:rsidP="00F25432">
      <w:pPr>
        <w:pStyle w:val="BodyText"/>
      </w:pPr>
    </w:p>
    <w:p w:rsidR="008B6E99" w:rsidRDefault="008B6E99" w:rsidP="00F25432">
      <w:pPr>
        <w:pStyle w:val="BodyText"/>
      </w:pPr>
    </w:p>
    <w:p w:rsidR="008B6E99" w:rsidRDefault="008B6E99" w:rsidP="00F25432">
      <w:pPr>
        <w:pStyle w:val="BodyText"/>
        <w:sectPr w:rsidR="008B6E99" w:rsidSect="008B6E99">
          <w:footerReference w:type="default" r:id="rId111"/>
          <w:pgSz w:w="11907" w:h="16839" w:code="9"/>
          <w:pgMar w:top="1134" w:right="850" w:bottom="907" w:left="3118" w:header="709" w:footer="567" w:gutter="567"/>
          <w:pgNumType w:start="1" w:chapStyle="7"/>
          <w:cols w:space="720"/>
          <w:docGrid w:linePitch="326"/>
        </w:sectPr>
      </w:pPr>
    </w:p>
    <w:p w:rsidR="008B6E99" w:rsidRDefault="008B6E99" w:rsidP="008B6E99">
      <w:pPr>
        <w:pStyle w:val="Heading7"/>
      </w:pPr>
      <w:bookmarkStart w:id="341" w:name="_Ref365542881"/>
      <w:bookmarkStart w:id="342" w:name="_Toc370394665"/>
      <w:r>
        <w:lastRenderedPageBreak/>
        <w:t>RECMark</w:t>
      </w:r>
      <w:bookmarkEnd w:id="341"/>
      <w:bookmarkEnd w:id="342"/>
    </w:p>
    <w:p w:rsidR="008B6E99" w:rsidRDefault="008B6E99" w:rsidP="008B6E99">
      <w:pPr>
        <w:pStyle w:val="Heading8"/>
        <w:pBdr>
          <w:bottom w:val="none" w:sz="0" w:space="0" w:color="auto"/>
        </w:pBdr>
      </w:pPr>
      <w:bookmarkStart w:id="343" w:name="_Toc335143692"/>
      <w:r>
        <w:t>LRET implementation</w:t>
      </w:r>
      <w:bookmarkEnd w:id="343"/>
    </w:p>
    <w:p w:rsidR="008B6E99" w:rsidRDefault="008B6E99" w:rsidP="008B6E99">
      <w:pPr>
        <w:pStyle w:val="BodyText"/>
      </w:pPr>
      <w:r>
        <w:t xml:space="preserve">The key features of the LRET are implemented within </w:t>
      </w:r>
      <w:r w:rsidRPr="00893582">
        <w:rPr>
          <w:i/>
        </w:rPr>
        <w:t>RECMark</w:t>
      </w:r>
      <w:r>
        <w:t xml:space="preserve"> as discussed in the following sections.</w:t>
      </w:r>
    </w:p>
    <w:p w:rsidR="008B6E99" w:rsidRDefault="008B6E99" w:rsidP="008B6E99">
      <w:pPr>
        <w:pStyle w:val="Heading9nonumber"/>
      </w:pPr>
      <w:bookmarkStart w:id="344" w:name="_Toc335143693"/>
      <w:r>
        <w:t>Banking/borrowing</w:t>
      </w:r>
      <w:bookmarkEnd w:id="344"/>
    </w:p>
    <w:p w:rsidR="008B6E99" w:rsidRDefault="008B6E99" w:rsidP="008B6E99">
      <w:pPr>
        <w:pStyle w:val="BodyText"/>
      </w:pPr>
      <w:r>
        <w:t xml:space="preserve">As per the schemes design, unlimited banking of permits is allowed. That is, permits created can be created and withheld for surrender in later years. </w:t>
      </w:r>
      <w:r w:rsidRPr="007D0A4F">
        <w:rPr>
          <w:i/>
        </w:rPr>
        <w:t>RECMark</w:t>
      </w:r>
      <w:r>
        <w:t xml:space="preserve"> allows an unlimited number of LGCs to be banked throughout the scheme. Note that all banked LGCs up until the end of calendar year 2010 will be eligible to be used against the LRET, regardless of how they were created.</w:t>
      </w:r>
    </w:p>
    <w:p w:rsidR="008B6E99" w:rsidRDefault="008B6E99" w:rsidP="008B6E99">
      <w:pPr>
        <w:pStyle w:val="BodyText"/>
      </w:pPr>
      <w:r>
        <w:t>Borrowing under the scheme is effectively limited to 10% of each liable entities liability.</w:t>
      </w:r>
      <w:r>
        <w:rPr>
          <w:rStyle w:val="FootnoteReference"/>
        </w:rPr>
        <w:footnoteReference w:id="7"/>
      </w:r>
      <w:r>
        <w:t xml:space="preserve"> This provision is provided because it is often difficult for a retailer to accurately predict what its liability will be. The 10% provides liable parties some leeway in estimating liabilities. With perfect foresight, this provision could be gamed, with liable parties only surrendering 90% of required LGCs and </w:t>
      </w:r>
      <w:r w:rsidR="00550182">
        <w:t>carrying forward the shortfall.</w:t>
      </w:r>
    </w:p>
    <w:p w:rsidR="008B6E99" w:rsidRDefault="008B6E99" w:rsidP="008B6E99">
      <w:pPr>
        <w:pStyle w:val="Heading9nonumber"/>
      </w:pPr>
      <w:bookmarkStart w:id="345" w:name="_Toc335143694"/>
      <w:r>
        <w:t>Shortfall penalty</w:t>
      </w:r>
      <w:bookmarkEnd w:id="345"/>
    </w:p>
    <w:p w:rsidR="008B6E99" w:rsidRDefault="008B6E99" w:rsidP="008B6E99">
      <w:pPr>
        <w:pStyle w:val="BodyText"/>
      </w:pPr>
      <w:r>
        <w:t>The shortfall charge as specified within the regulation is $65 per MWh not-indexed (constant in nominal terms over the life of the scheme). This represents a significant increase over the $40/MWh shortfall charge under the old MRET scheme.</w:t>
      </w:r>
    </w:p>
    <w:p w:rsidR="008B6E99" w:rsidRDefault="008B6E99" w:rsidP="008B6E99">
      <w:pPr>
        <w:pStyle w:val="BodyText"/>
      </w:pPr>
      <w:r>
        <w:t>As penalties paid are not deductible business expenses (they are treated as fines), the effective pre-tax p</w:t>
      </w:r>
      <w:r w:rsidR="00550182">
        <w:t>enalty is therefore $92.86/REC (</w:t>
      </w:r>
      <w:r>
        <w:t>$65/(1-30%), assuming a 30% marginal tax rate). The penalty is not indexed so it declines in real terms over the period to 2030.</w:t>
      </w:r>
    </w:p>
    <w:p w:rsidR="008B6E99" w:rsidRPr="00DC73E6" w:rsidRDefault="008B6E99" w:rsidP="008B6E99">
      <w:pPr>
        <w:pStyle w:val="Heading8"/>
        <w:pBdr>
          <w:bottom w:val="none" w:sz="0" w:space="0" w:color="auto"/>
        </w:pBdr>
      </w:pPr>
      <w:bookmarkStart w:id="346" w:name="_Toc335143695"/>
      <w:r>
        <w:t>Certificate demand</w:t>
      </w:r>
      <w:bookmarkEnd w:id="346"/>
    </w:p>
    <w:p w:rsidR="008B6E99" w:rsidRDefault="008B6E99" w:rsidP="008B6E99">
      <w:pPr>
        <w:pStyle w:val="BodyText"/>
      </w:pPr>
      <w:r>
        <w:t>There are three sources of demand for LGCs: demand for LGCs to offset mandatory obligations under the scheme, LGCs to acquit GreenPower sales and certificates associated with desalination plants/other voluntary schemes. While there is a good deal of uncertainty in relation to GreenPower and desalination volumes, in aggregate these make up a small proportion of overall demand and variations to these assumptions are unlikely to alter the outlook significantly.</w:t>
      </w:r>
    </w:p>
    <w:p w:rsidR="008B6E99" w:rsidRDefault="008B6E99" w:rsidP="008B6E99">
      <w:pPr>
        <w:pStyle w:val="BodyText"/>
      </w:pPr>
      <w:r>
        <w:t xml:space="preserve">While the requirement to surrender LGCs applies to each individual entity, </w:t>
      </w:r>
      <w:r w:rsidRPr="00BD3EF8">
        <w:rPr>
          <w:i/>
        </w:rPr>
        <w:t>RECMark</w:t>
      </w:r>
      <w:r>
        <w:t xml:space="preserve"> treats the demand-side as a single entity. As such, it does not distinguish between parties and their respective LGC positions.</w:t>
      </w:r>
      <w:r>
        <w:rPr>
          <w:rStyle w:val="FootnoteReference"/>
        </w:rPr>
        <w:footnoteReference w:id="8"/>
      </w:r>
    </w:p>
    <w:p w:rsidR="008B6E99" w:rsidRDefault="008B6E99" w:rsidP="008B6E99">
      <w:pPr>
        <w:pStyle w:val="BodyText"/>
      </w:pPr>
      <w:r w:rsidRPr="00C352AB">
        <w:rPr>
          <w:i/>
        </w:rPr>
        <w:t>RECMark</w:t>
      </w:r>
      <w:r>
        <w:t xml:space="preserve"> assumes there is zero mandated demand for LGCs at prices above the tax-adjusted shortfall penalty price. While some have suggested liable entities may be willing to buy certificates at prices above these levels to avoid reputational damage, </w:t>
      </w:r>
      <w:r w:rsidRPr="00BD3EF8">
        <w:rPr>
          <w:i/>
        </w:rPr>
        <w:t>RECMark</w:t>
      </w:r>
      <w:r>
        <w:t xml:space="preserve"> does not explicitly account for this.</w:t>
      </w:r>
    </w:p>
    <w:p w:rsidR="008B6E99" w:rsidRDefault="008B6E99" w:rsidP="008B6E99">
      <w:pPr>
        <w:pStyle w:val="BodyText"/>
      </w:pPr>
      <w:r>
        <w:lastRenderedPageBreak/>
        <w:t>Note that the demand figures include the 850 GWh allowance for waste coal mine gas (WCMG) to 2020. This is offset by an 850 GWh supply-side assumption for pre-existing WCMG operators, such that the inclusion has no impact upon LRET outcomes.</w:t>
      </w:r>
    </w:p>
    <w:p w:rsidR="008B6E99" w:rsidRDefault="008B6E99" w:rsidP="008B6E99">
      <w:pPr>
        <w:pStyle w:val="Heading8"/>
        <w:pBdr>
          <w:bottom w:val="none" w:sz="0" w:space="0" w:color="auto"/>
        </w:pBdr>
      </w:pPr>
      <w:bookmarkStart w:id="347" w:name="_Ref327212708"/>
      <w:bookmarkStart w:id="348" w:name="_Ref327213300"/>
      <w:bookmarkStart w:id="349" w:name="_Toc335143699"/>
      <w:r>
        <w:t>Certificate supply</w:t>
      </w:r>
      <w:bookmarkEnd w:id="347"/>
      <w:bookmarkEnd w:id="348"/>
      <w:bookmarkEnd w:id="349"/>
    </w:p>
    <w:p w:rsidR="008B6E99" w:rsidRDefault="008B6E99" w:rsidP="008B6E99">
      <w:pPr>
        <w:pStyle w:val="BodyText"/>
      </w:pPr>
      <w:r>
        <w:t>The modelling considers two types of certificate supply: existing/committed accredited generators and potential new entrants.</w:t>
      </w:r>
    </w:p>
    <w:p w:rsidR="008B6E99" w:rsidRDefault="008B6E99" w:rsidP="008B6E99">
      <w:pPr>
        <w:pStyle w:val="Heading9nonumber"/>
      </w:pPr>
      <w:bookmarkStart w:id="350" w:name="_Ref327213378"/>
      <w:bookmarkStart w:id="351" w:name="_Toc335143700"/>
      <w:r>
        <w:t>Existing generators</w:t>
      </w:r>
      <w:bookmarkEnd w:id="350"/>
      <w:bookmarkEnd w:id="351"/>
    </w:p>
    <w:p w:rsidR="008B6E99" w:rsidRDefault="008B6E99" w:rsidP="008B6E99">
      <w:pPr>
        <w:pStyle w:val="BodyText"/>
      </w:pPr>
      <w:r>
        <w:t>Contribution from existing accredited generators and those under construction are done at the individual power station level. For most, this involves projecting LGC creation rates at levels similar to recent history. Those that are currently under construction have assumptions about commissioning timing and production ramp up.</w:t>
      </w:r>
    </w:p>
    <w:p w:rsidR="008B6E99" w:rsidRDefault="008B6E99" w:rsidP="008B6E99">
      <w:pPr>
        <w:pStyle w:val="Heading9nonumber"/>
      </w:pPr>
      <w:r>
        <w:t>New entrants</w:t>
      </w:r>
    </w:p>
    <w:p w:rsidR="008B6E99" w:rsidRDefault="008B6E99" w:rsidP="008B6E99">
      <w:pPr>
        <w:pStyle w:val="BodyText"/>
      </w:pPr>
      <w:r>
        <w:t xml:space="preserve">A range of specific projects and various generic new entrant technologies are presented to the model for deployment. Capital costs for these technologies are discussed further in Section </w:t>
      </w:r>
      <w:r>
        <w:fldChar w:fldCharType="begin"/>
      </w:r>
      <w:r>
        <w:instrText xml:space="preserve"> REF _Ref350241098 \n \h </w:instrText>
      </w:r>
      <w:r>
        <w:fldChar w:fldCharType="separate"/>
      </w:r>
      <w:r w:rsidR="00660A8E">
        <w:t>3.4</w:t>
      </w:r>
      <w:r>
        <w:fldChar w:fldCharType="end"/>
      </w:r>
      <w:r>
        <w:t>.</w:t>
      </w:r>
    </w:p>
    <w:p w:rsidR="008B6E99" w:rsidRDefault="008B6E99" w:rsidP="008B6E99">
      <w:pPr>
        <w:pStyle w:val="BodyText"/>
      </w:pPr>
      <w:r>
        <w:t>With a number of the smaller, niche renewables technologies, it is difficult to project deployment when modelling the LRET at the macro level. These include:</w:t>
      </w:r>
    </w:p>
    <w:p w:rsidR="008B6E99" w:rsidRDefault="008B6E99" w:rsidP="008B6E99">
      <w:pPr>
        <w:pStyle w:val="ListBullet"/>
        <w:spacing w:before="80" w:after="0"/>
        <w:jc w:val="both"/>
      </w:pPr>
      <w:r>
        <w:t>Landfill gas where projects are very site specific and local transmission connection costs can be a significant component of capital costs. Ultimately the resource base is limited by suitable landfill sites</w:t>
      </w:r>
    </w:p>
    <w:p w:rsidR="008B6E99" w:rsidRDefault="008B6E99" w:rsidP="008B6E99">
      <w:pPr>
        <w:pStyle w:val="ListBullet"/>
        <w:spacing w:before="80" w:after="0"/>
        <w:jc w:val="both"/>
      </w:pPr>
      <w:r>
        <w:t>Bagasse where projects are mill specific and the timing of which, is determined by the need for mill refurbishment more so than the economics of the cogeneration units. The resource base is also limited by the amount of sugar cane crop processed.</w:t>
      </w:r>
    </w:p>
    <w:p w:rsidR="008B6E99" w:rsidRDefault="008B6E99" w:rsidP="008B6E99">
      <w:pPr>
        <w:pStyle w:val="ListBullet"/>
        <w:spacing w:before="80" w:after="0"/>
        <w:jc w:val="both"/>
      </w:pPr>
      <w:r>
        <w:t>Wood and wood waste plants which are typically small-scale developments where feedstock availability and network connection are key variables. Lager projects (such as Gunns’ Bell Bay) are reliant upon the underlying paper mill development rather than the economics of generation. Fuel transport and handling costs typically are constraining factors.</w:t>
      </w:r>
    </w:p>
    <w:p w:rsidR="008B6E99" w:rsidRDefault="008B6E99" w:rsidP="008B6E99">
      <w:pPr>
        <w:pStyle w:val="ListBullet"/>
        <w:spacing w:before="80" w:after="0"/>
        <w:jc w:val="both"/>
      </w:pPr>
      <w:r>
        <w:t>Embedded solar PV systems above the current 100 kW LRET cut-off (but not considered utility scale)</w:t>
      </w:r>
    </w:p>
    <w:p w:rsidR="008B6E99" w:rsidRDefault="008B6E99" w:rsidP="008B6E99">
      <w:pPr>
        <w:pStyle w:val="ListBullet"/>
        <w:spacing w:before="80" w:after="0"/>
        <w:jc w:val="both"/>
      </w:pPr>
      <w:r>
        <w:t>Other technologies such as those using agricultural/food wastes and municipal wastes which are small and it is often difficult to obtain representative capital cost estimates.</w:t>
      </w:r>
    </w:p>
    <w:p w:rsidR="008B6E99" w:rsidRDefault="008B6E99" w:rsidP="008B6E99">
      <w:pPr>
        <w:pStyle w:val="BodyText"/>
      </w:pPr>
      <w:r>
        <w:t xml:space="preserve">To account for uptake of these technologies, ACIL </w:t>
      </w:r>
      <w:r w:rsidR="004F6D61">
        <w:t>Allen</w:t>
      </w:r>
      <w:r>
        <w:t xml:space="preserve"> makes projections of LRET contribution based on historical growth and ultimate resource potential rather than explicitly ‘modelling’ deployment through </w:t>
      </w:r>
      <w:r w:rsidRPr="006A55E6">
        <w:rPr>
          <w:i/>
        </w:rPr>
        <w:t>RECMark</w:t>
      </w:r>
      <w:r>
        <w:t>.</w:t>
      </w:r>
    </w:p>
    <w:p w:rsidR="008B6E99" w:rsidRDefault="008B6E99" w:rsidP="008B6E99">
      <w:pPr>
        <w:pStyle w:val="Heading8"/>
        <w:pBdr>
          <w:bottom w:val="none" w:sz="0" w:space="0" w:color="auto"/>
        </w:pBdr>
      </w:pPr>
      <w:r>
        <w:t>Supply-demand balance</w:t>
      </w:r>
    </w:p>
    <w:p w:rsidR="008B6E99" w:rsidRDefault="009C355B" w:rsidP="008B6E99">
      <w:pPr>
        <w:pStyle w:val="BodyText"/>
      </w:pPr>
      <w:r>
        <w:fldChar w:fldCharType="begin"/>
      </w:r>
      <w:r>
        <w:instrText xml:space="preserve"> REF _Ref365544530 \h </w:instrText>
      </w:r>
      <w:r>
        <w:fldChar w:fldCharType="separate"/>
      </w:r>
      <w:r w:rsidR="00660A8E">
        <w:t xml:space="preserve">Figure </w:t>
      </w:r>
      <w:r w:rsidR="00660A8E" w:rsidRPr="00660A8E">
        <w:rPr>
          <w:noProof/>
          <w:lang w:val="en-US"/>
        </w:rPr>
        <w:t>B</w:t>
      </w:r>
      <w:r w:rsidR="00660A8E">
        <w:rPr>
          <w:noProof/>
        </w:rPr>
        <w:t>1</w:t>
      </w:r>
      <w:r>
        <w:fldChar w:fldCharType="end"/>
      </w:r>
      <w:r w:rsidR="008B6E99">
        <w:t xml:space="preserve"> shows historical and projected LGC creation from existing renewable generators, generators that are under construction, from</w:t>
      </w:r>
      <w:r w:rsidR="00550182">
        <w:t xml:space="preserve"> </w:t>
      </w:r>
      <w:r w:rsidR="008B6E99">
        <w:t xml:space="preserve">WCMG generators entitled to create LGCs, and from niche small-scale generators such as landfill gas, bagasse and small-scale solar above 100 kW but below utility scale. </w:t>
      </w:r>
      <w:r>
        <w:fldChar w:fldCharType="begin"/>
      </w:r>
      <w:r>
        <w:instrText xml:space="preserve"> REF _Ref365544530 \h </w:instrText>
      </w:r>
      <w:r>
        <w:fldChar w:fldCharType="separate"/>
      </w:r>
      <w:r w:rsidR="00660A8E">
        <w:t xml:space="preserve">Figure </w:t>
      </w:r>
      <w:r w:rsidR="00660A8E" w:rsidRPr="00660A8E">
        <w:rPr>
          <w:noProof/>
          <w:lang w:val="en-US"/>
        </w:rPr>
        <w:t>B</w:t>
      </w:r>
      <w:r w:rsidR="00660A8E">
        <w:rPr>
          <w:noProof/>
        </w:rPr>
        <w:t>1</w:t>
      </w:r>
      <w:r>
        <w:fldChar w:fldCharType="end"/>
      </w:r>
      <w:r w:rsidR="008B6E99">
        <w:t xml:space="preserve"> also shows aggregate demand for LGCs over the period to 2030 as defined by the annual legislated LRET target. </w:t>
      </w:r>
      <w:r w:rsidR="008B6E99" w:rsidRPr="0094041F">
        <w:rPr>
          <w:i/>
        </w:rPr>
        <w:t>RECMark</w:t>
      </w:r>
      <w:r w:rsidR="008B6E99">
        <w:t xml:space="preserve"> seeks to fill the gap between committed and assumed future supply and demand by deploying further LGC-</w:t>
      </w:r>
      <w:r w:rsidR="008B6E99">
        <w:lastRenderedPageBreak/>
        <w:t>eligible generation at least cost over the period to 2030 and explicitly considers the economics of those installations for the period beyond 2030.</w:t>
      </w:r>
    </w:p>
    <w:p w:rsidR="008B6E99" w:rsidRDefault="008B6E99" w:rsidP="008B6E99">
      <w:pPr>
        <w:pStyle w:val="Caption"/>
        <w:ind w:left="-1843"/>
      </w:pPr>
      <w:bookmarkStart w:id="352" w:name="_Ref365544530"/>
      <w:bookmarkStart w:id="353" w:name="_Toc370394742"/>
      <w:r>
        <w:t xml:space="preserve">Figure </w:t>
      </w:r>
      <w:fldSimple w:instr=" STYLEREF 7 \s \* MERGEFORMAT ">
        <w:r w:rsidR="00660A8E" w:rsidRPr="00660A8E">
          <w:rPr>
            <w:noProof/>
            <w:lang w:val="en-US"/>
          </w:rPr>
          <w:t>B</w:t>
        </w:r>
      </w:fldSimple>
      <w:fldSimple w:instr=" SEQ Figure \* ARABIC \s 7 ">
        <w:r w:rsidR="00660A8E">
          <w:rPr>
            <w:noProof/>
          </w:rPr>
          <w:t>1</w:t>
        </w:r>
      </w:fldSimple>
      <w:bookmarkEnd w:id="352"/>
      <w:r w:rsidRPr="00204B45">
        <w:tab/>
      </w:r>
      <w:r w:rsidRPr="008B6E99">
        <w:rPr>
          <w:rStyle w:val="CaptionLabel"/>
        </w:rPr>
        <w:t>LGC supply demand balance 2001 to 2030</w:t>
      </w:r>
      <w:bookmarkEnd w:id="353"/>
    </w:p>
    <w:tbl>
      <w:tblPr>
        <w:tblW w:w="6922" w:type="pct"/>
        <w:tblInd w:w="-283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0206"/>
      </w:tblGrid>
      <w:tr w:rsidR="008B6E99" w:rsidTr="008B6E99">
        <w:trPr>
          <w:cantSplit/>
        </w:trPr>
        <w:tc>
          <w:tcPr>
            <w:tcW w:w="5000" w:type="pct"/>
          </w:tcPr>
          <w:p w:rsidR="008B6E99" w:rsidRDefault="008B6E99" w:rsidP="00450552">
            <w:pPr>
              <w:pStyle w:val="SmallDeltasRightAligned"/>
              <w:keepNext/>
              <w:keepLines/>
            </w:pPr>
            <w:r>
              <w:rPr>
                <w:noProof/>
                <w:lang w:eastAsia="en-AU"/>
              </w:rPr>
              <w:drawing>
                <wp:inline distT="0" distB="0" distL="0" distR="0" wp14:anchorId="7571ED74" wp14:editId="2EAF8263">
                  <wp:extent cx="481585" cy="234696"/>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LALLEN_MASTERLOGO_DELTAS_PURPLE_TRANS small -da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85" cy="234696"/>
                          </a:xfrm>
                          <a:prstGeom prst="rect">
                            <a:avLst/>
                          </a:prstGeom>
                        </pic:spPr>
                      </pic:pic>
                    </a:graphicData>
                  </a:graphic>
                </wp:inline>
              </w:drawing>
            </w:r>
          </w:p>
        </w:tc>
      </w:tr>
      <w:tr w:rsidR="008B6E99" w:rsidTr="008B6E99">
        <w:trPr>
          <w:cantSplit/>
        </w:trPr>
        <w:tc>
          <w:tcPr>
            <w:tcW w:w="5000" w:type="pct"/>
          </w:tcPr>
          <w:p w:rsidR="008B6E99" w:rsidRDefault="008B6E99" w:rsidP="00450552">
            <w:pPr>
              <w:pStyle w:val="Figure"/>
              <w:keepLines/>
            </w:pPr>
            <w:r>
              <w:rPr>
                <w:noProof/>
                <w:lang w:eastAsia="en-AU"/>
              </w:rPr>
              <w:drawing>
                <wp:inline distT="0" distB="0" distL="0" distR="0" wp14:anchorId="1E29E490" wp14:editId="48321E8F">
                  <wp:extent cx="5943600" cy="3005455"/>
                  <wp:effectExtent l="0" t="0" r="0" b="4445"/>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bl>
    <w:p w:rsidR="008B6E99" w:rsidRDefault="008B6E99" w:rsidP="008B6E99">
      <w:pPr>
        <w:pStyle w:val="Note"/>
        <w:ind w:left="-2835"/>
      </w:pPr>
      <w:r>
        <w:rPr>
          <w:i/>
        </w:rPr>
        <w:t>Note:</w:t>
      </w:r>
      <w:r>
        <w:t xml:space="preserve"> </w:t>
      </w:r>
      <w:r w:rsidRPr="008B6E99">
        <w:t>Assumed new LGCs represent contributions from niche technologies (Landfill gas, Bagasse, Wood, Sewage Gas, and embedded solar PV above 100 kW in size). Historical REC Registry data current to 20 March 2013</w:t>
      </w:r>
    </w:p>
    <w:p w:rsidR="008B6E99" w:rsidRPr="00B50A1B" w:rsidRDefault="008B6E99" w:rsidP="008B6E99">
      <w:pPr>
        <w:pStyle w:val="Source"/>
        <w:ind w:left="-2835"/>
        <w:rPr>
          <w:i/>
        </w:rPr>
      </w:pPr>
      <w:r>
        <w:t>S</w:t>
      </w:r>
      <w:r w:rsidRPr="00B50A1B">
        <w:t>ource:</w:t>
      </w:r>
      <w:r w:rsidRPr="00954EED">
        <w:t xml:space="preserve"> </w:t>
      </w:r>
      <w:r>
        <w:t>ACIL Allen analysis</w:t>
      </w:r>
    </w:p>
    <w:p w:rsidR="008B6E99" w:rsidRPr="008B6E99" w:rsidRDefault="008B6E99" w:rsidP="008B6E99">
      <w:pPr>
        <w:pStyle w:val="BodyText"/>
      </w:pPr>
    </w:p>
    <w:p w:rsidR="00AF721D" w:rsidRDefault="00AF721D" w:rsidP="00F25432">
      <w:pPr>
        <w:pStyle w:val="BodyText"/>
      </w:pPr>
    </w:p>
    <w:p w:rsidR="00C31AFF" w:rsidRDefault="00C31AFF" w:rsidP="00F25432">
      <w:pPr>
        <w:pStyle w:val="BodyText"/>
      </w:pPr>
    </w:p>
    <w:p w:rsidR="00DC3BEE" w:rsidRPr="00F5205D" w:rsidRDefault="00DC3BEE" w:rsidP="0041114B">
      <w:pPr>
        <w:pStyle w:val="BodyText"/>
      </w:pPr>
    </w:p>
    <w:sectPr w:rsidR="00DC3BEE" w:rsidRPr="00F5205D" w:rsidSect="008B6E99">
      <w:footerReference w:type="default" r:id="rId113"/>
      <w:pgSz w:w="11907" w:h="16839" w:code="9"/>
      <w:pgMar w:top="1134" w:right="850" w:bottom="907" w:left="3118" w:header="709" w:footer="567" w:gutter="567"/>
      <w:pgNumType w:start="1" w:chapStyle="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6D6" w:rsidRDefault="009926D6">
      <w:r>
        <w:separator/>
      </w:r>
    </w:p>
  </w:endnote>
  <w:endnote w:type="continuationSeparator" w:id="0">
    <w:p w:rsidR="009926D6" w:rsidRDefault="00992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Novecento UltraLight">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ovecento Book">
    <w:altName w:val="Arial"/>
    <w:panose1 w:val="00000000000000000000"/>
    <w:charset w:val="00"/>
    <w:family w:val="modern"/>
    <w:notTrueType/>
    <w:pitch w:val="variable"/>
    <w:sig w:usb0="00000007" w:usb1="00000000" w:usb2="00000000" w:usb3="00000000" w:csb0="00000093" w:csb1="00000000"/>
  </w:font>
  <w:font w:name="HelveticaNeueLT Std Lt C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0E" w:rsidRDefault="0083740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0E" w:rsidRDefault="0083740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267" w:type="pct"/>
      <w:tblInd w:w="-1922" w:type="dxa"/>
      <w:tblBorders>
        <w:insideH w:val="single" w:sz="8" w:space="0" w:color="auto"/>
        <w:insideV w:val="single" w:sz="8" w:space="0" w:color="auto"/>
      </w:tblBorders>
      <w:tblLook w:val="04A0" w:firstRow="1" w:lastRow="0" w:firstColumn="1" w:lastColumn="0" w:noHBand="0" w:noVBand="1"/>
    </w:tblPr>
    <w:tblGrid>
      <w:gridCol w:w="8837"/>
      <w:gridCol w:w="674"/>
    </w:tblGrid>
    <w:tr w:rsidR="0083740E" w:rsidRPr="00126062" w:rsidTr="000E21BF">
      <w:trPr>
        <w:trHeight w:val="288"/>
      </w:trPr>
      <w:tc>
        <w:tcPr>
          <w:tcW w:w="8834" w:type="dxa"/>
          <w:vAlign w:val="bottom"/>
        </w:tcPr>
        <w:p w:rsidR="0083740E" w:rsidRPr="00126062" w:rsidRDefault="0083740E" w:rsidP="000E21BF">
          <w:pPr>
            <w:pStyle w:val="PortraitFooter"/>
            <w:rPr>
              <w:b/>
              <w:bCs/>
              <w:color w:val="4F81BD"/>
              <w14:numForm w14:val="oldStyle"/>
            </w:rPr>
          </w:pPr>
          <w:r w:rsidRPr="00126062">
            <w:fldChar w:fldCharType="begin"/>
          </w:r>
          <w:r w:rsidRPr="00126062">
            <w:instrText xml:space="preserve"> IF</w:instrText>
          </w:r>
          <w:r w:rsidRPr="00126062">
            <w:fldChar w:fldCharType="begin"/>
          </w:r>
          <w:r w:rsidRPr="00126062">
            <w:instrText xml:space="preserve"> STYLEREF </w:instrText>
          </w:r>
          <w:r>
            <w:instrText>"</w:instrText>
          </w:r>
          <w:r w:rsidRPr="00126062">
            <w:instrText>Title</w:instrText>
          </w:r>
          <w:r>
            <w:instrText xml:space="preserve"> SHORT"</w:instrText>
          </w:r>
          <w:r w:rsidRPr="00126062">
            <w:instrText xml:space="preserve"> \* Charformat </w:instrText>
          </w:r>
          <w:r w:rsidRPr="00126062">
            <w:fldChar w:fldCharType="separate"/>
          </w:r>
          <w:r w:rsidR="00660A8E">
            <w:rPr>
              <w:noProof/>
            </w:rPr>
            <w:instrText>Electricity sector emissions</w:instrText>
          </w:r>
          <w:r w:rsidRPr="00126062">
            <w:fldChar w:fldCharType="end"/>
          </w:r>
          <w:r w:rsidRPr="00126062">
            <w:instrText xml:space="preserve"> &lt;&gt; "Error*" </w:instrText>
          </w:r>
          <w:r w:rsidR="009926D6">
            <w:fldChar w:fldCharType="begin"/>
          </w:r>
          <w:r w:rsidR="009926D6">
            <w:instrText xml:space="preserve"> STYLEREF "Title SHORT" \* Charformat </w:instrText>
          </w:r>
          <w:r w:rsidR="009926D6">
            <w:fldChar w:fldCharType="separate"/>
          </w:r>
          <w:r w:rsidR="00660A8E">
            <w:rPr>
              <w:noProof/>
            </w:rPr>
            <w:instrText>Electricity sector emissions</w:instrText>
          </w:r>
          <w:r w:rsidR="009926D6">
            <w:rPr>
              <w:noProof/>
            </w:rPr>
            <w:fldChar w:fldCharType="end"/>
          </w:r>
          <w:r w:rsidRPr="00126062">
            <w:instrText xml:space="preserve"> </w:instrText>
          </w:r>
          <w:r w:rsidRPr="00126062">
            <w:fldChar w:fldCharType="separate"/>
          </w:r>
          <w:r w:rsidR="00660A8E">
            <w:rPr>
              <w:noProof/>
            </w:rPr>
            <w:t>Electricity sector emissions</w:t>
          </w:r>
          <w:r w:rsidRPr="00126062">
            <w:fldChar w:fldCharType="end"/>
          </w:r>
          <w:r>
            <w:t xml:space="preserve"> </w:t>
          </w:r>
          <w:r w:rsidRPr="00126062">
            <w:fldChar w:fldCharType="begin"/>
          </w:r>
          <w:r w:rsidRPr="00126062">
            <w:instrText xml:space="preserve"> IF</w:instrText>
          </w:r>
          <w:r w:rsidR="009926D6">
            <w:fldChar w:fldCharType="begin"/>
          </w:r>
          <w:r w:rsidR="009926D6">
            <w:instrText xml:space="preserve"> STYLEREF Title \* Charformat </w:instrText>
          </w:r>
          <w:r w:rsidR="009926D6">
            <w:fldChar w:fldCharType="separate"/>
          </w:r>
          <w:r w:rsidR="00660A8E">
            <w:rPr>
              <w:noProof/>
            </w:rPr>
            <w:instrText>modelling of the Australian electricity generation sector</w:instrText>
          </w:r>
          <w:r w:rsidR="009926D6">
            <w:rPr>
              <w:noProof/>
            </w:rPr>
            <w:fldChar w:fldCharType="end"/>
          </w:r>
          <w:r w:rsidRPr="00126062">
            <w:instrText xml:space="preserve"> &lt;&gt; "Error*" </w:instrText>
          </w:r>
          <w:r w:rsidR="009926D6">
            <w:fldChar w:fldCharType="begin"/>
          </w:r>
          <w:r w:rsidR="009926D6">
            <w:instrText xml:space="preserve"> STYLEREF Title \* Charformat </w:instrText>
          </w:r>
          <w:r w:rsidR="009926D6">
            <w:fldChar w:fldCharType="separate"/>
          </w:r>
          <w:r w:rsidR="00660A8E">
            <w:rPr>
              <w:noProof/>
            </w:rPr>
            <w:instrText>modelling of the Australian electricity generation sector</w:instrText>
          </w:r>
          <w:r w:rsidR="009926D6">
            <w:rPr>
              <w:noProof/>
            </w:rPr>
            <w:fldChar w:fldCharType="end"/>
          </w:r>
          <w:r w:rsidRPr="00126062">
            <w:instrText xml:space="preserve"> </w:instrText>
          </w:r>
          <w:r w:rsidRPr="00126062">
            <w:fldChar w:fldCharType="separate"/>
          </w:r>
          <w:r w:rsidR="00660A8E">
            <w:rPr>
              <w:noProof/>
            </w:rPr>
            <w:t>modelling of the Australian electricity generation sector</w:t>
          </w:r>
          <w:r w:rsidRPr="00126062">
            <w:fldChar w:fldCharType="end"/>
          </w:r>
        </w:p>
      </w:tc>
      <w:tc>
        <w:tcPr>
          <w:tcW w:w="674" w:type="dxa"/>
        </w:tcPr>
        <w:p w:rsidR="0083740E" w:rsidRPr="00452AD3" w:rsidRDefault="0083740E" w:rsidP="000E21BF">
          <w:pPr>
            <w:jc w:val="right"/>
            <w:rPr>
              <w:rStyle w:val="PageNumber"/>
            </w:rPr>
          </w:pPr>
          <w:r w:rsidRPr="00452AD3">
            <w:rPr>
              <w:rStyle w:val="PageNumber"/>
            </w:rPr>
            <w:fldChar w:fldCharType="begin"/>
          </w:r>
          <w:r w:rsidRPr="00452AD3">
            <w:rPr>
              <w:rStyle w:val="PageNumber"/>
            </w:rPr>
            <w:instrText xml:space="preserve"> PAGE   \* MERGEFORMAT </w:instrText>
          </w:r>
          <w:r w:rsidRPr="00452AD3">
            <w:rPr>
              <w:rStyle w:val="PageNumber"/>
            </w:rPr>
            <w:fldChar w:fldCharType="separate"/>
          </w:r>
          <w:r w:rsidR="00660A8E">
            <w:rPr>
              <w:rStyle w:val="PageNumber"/>
              <w:noProof/>
            </w:rPr>
            <w:t>A-1</w:t>
          </w:r>
          <w:r w:rsidRPr="00452AD3">
            <w:rPr>
              <w:rStyle w:val="PageNumber"/>
            </w:rPr>
            <w:fldChar w:fldCharType="end"/>
          </w:r>
        </w:p>
      </w:tc>
    </w:tr>
  </w:tbl>
  <w:p w:rsidR="0083740E" w:rsidRPr="00452AD3" w:rsidRDefault="0083740E" w:rsidP="00452AD3">
    <w:pPr>
      <w:pStyle w:val="Footer"/>
      <w:tabs>
        <w:tab w:val="right" w:pos="6521"/>
      </w:tabs>
      <w:jc w:val="right"/>
      <w:rPr>
        <w:rFonts w:ascii="Novecento Book" w:eastAsiaTheme="minorHAnsi" w:hAnsi="Novecento Book"/>
        <w:szCs w:val="1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267" w:type="pct"/>
      <w:tblInd w:w="-1922" w:type="dxa"/>
      <w:tblBorders>
        <w:insideH w:val="single" w:sz="8" w:space="0" w:color="auto"/>
        <w:insideV w:val="single" w:sz="8" w:space="0" w:color="auto"/>
      </w:tblBorders>
      <w:tblLook w:val="04A0" w:firstRow="1" w:lastRow="0" w:firstColumn="1" w:lastColumn="0" w:noHBand="0" w:noVBand="1"/>
    </w:tblPr>
    <w:tblGrid>
      <w:gridCol w:w="8837"/>
      <w:gridCol w:w="674"/>
    </w:tblGrid>
    <w:tr w:rsidR="0083740E" w:rsidRPr="00126062" w:rsidTr="000E21BF">
      <w:trPr>
        <w:trHeight w:val="288"/>
      </w:trPr>
      <w:tc>
        <w:tcPr>
          <w:tcW w:w="8834" w:type="dxa"/>
          <w:vAlign w:val="bottom"/>
        </w:tcPr>
        <w:p w:rsidR="0083740E" w:rsidRPr="00126062" w:rsidRDefault="0083740E" w:rsidP="000E21BF">
          <w:pPr>
            <w:pStyle w:val="PortraitFooter"/>
            <w:rPr>
              <w:b/>
              <w:bCs/>
              <w:color w:val="4F81BD"/>
              <w14:numForm w14:val="oldStyle"/>
            </w:rPr>
          </w:pPr>
          <w:r w:rsidRPr="00126062">
            <w:fldChar w:fldCharType="begin"/>
          </w:r>
          <w:r w:rsidRPr="00126062">
            <w:instrText xml:space="preserve"> IF</w:instrText>
          </w:r>
          <w:r w:rsidRPr="00126062">
            <w:fldChar w:fldCharType="begin"/>
          </w:r>
          <w:r w:rsidRPr="00126062">
            <w:instrText xml:space="preserve"> STYLEREF </w:instrText>
          </w:r>
          <w:r>
            <w:instrText>"</w:instrText>
          </w:r>
          <w:r w:rsidRPr="00126062">
            <w:instrText>Title</w:instrText>
          </w:r>
          <w:r>
            <w:instrText xml:space="preserve"> SHORT"</w:instrText>
          </w:r>
          <w:r w:rsidRPr="00126062">
            <w:instrText xml:space="preserve"> \* Charformat </w:instrText>
          </w:r>
          <w:r w:rsidRPr="00126062">
            <w:fldChar w:fldCharType="separate"/>
          </w:r>
          <w:r w:rsidR="00660A8E">
            <w:rPr>
              <w:noProof/>
            </w:rPr>
            <w:instrText>Electricity sector emissions</w:instrText>
          </w:r>
          <w:r w:rsidRPr="00126062">
            <w:fldChar w:fldCharType="end"/>
          </w:r>
          <w:r w:rsidRPr="00126062">
            <w:instrText xml:space="preserve"> &lt;&gt; "Error*" </w:instrText>
          </w:r>
          <w:r w:rsidR="009926D6">
            <w:fldChar w:fldCharType="begin"/>
          </w:r>
          <w:r w:rsidR="009926D6">
            <w:instrText xml:space="preserve"> STYLEREF "Title SHORT" \* Charformat </w:instrText>
          </w:r>
          <w:r w:rsidR="009926D6">
            <w:fldChar w:fldCharType="separate"/>
          </w:r>
          <w:r w:rsidR="00660A8E">
            <w:rPr>
              <w:noProof/>
            </w:rPr>
            <w:instrText>Electricity sector emissions</w:instrText>
          </w:r>
          <w:r w:rsidR="009926D6">
            <w:rPr>
              <w:noProof/>
            </w:rPr>
            <w:fldChar w:fldCharType="end"/>
          </w:r>
          <w:r w:rsidRPr="00126062">
            <w:instrText xml:space="preserve"> </w:instrText>
          </w:r>
          <w:r w:rsidRPr="00126062">
            <w:fldChar w:fldCharType="separate"/>
          </w:r>
          <w:r w:rsidR="00660A8E">
            <w:rPr>
              <w:noProof/>
            </w:rPr>
            <w:t>Electricity sector emissions</w:t>
          </w:r>
          <w:r w:rsidRPr="00126062">
            <w:fldChar w:fldCharType="end"/>
          </w:r>
          <w:r>
            <w:t xml:space="preserve"> </w:t>
          </w:r>
          <w:r w:rsidRPr="00126062">
            <w:fldChar w:fldCharType="begin"/>
          </w:r>
          <w:r w:rsidRPr="00126062">
            <w:instrText xml:space="preserve"> IF</w:instrText>
          </w:r>
          <w:r w:rsidR="009926D6">
            <w:fldChar w:fldCharType="begin"/>
          </w:r>
          <w:r w:rsidR="009926D6">
            <w:instrText xml:space="preserve"> STYLEREF Title \* Charformat </w:instrText>
          </w:r>
          <w:r w:rsidR="009926D6">
            <w:fldChar w:fldCharType="separate"/>
          </w:r>
          <w:r w:rsidR="00660A8E">
            <w:rPr>
              <w:noProof/>
            </w:rPr>
            <w:instrText>modelling of the Australian electricity generation sector</w:instrText>
          </w:r>
          <w:r w:rsidR="009926D6">
            <w:rPr>
              <w:noProof/>
            </w:rPr>
            <w:fldChar w:fldCharType="end"/>
          </w:r>
          <w:r w:rsidRPr="00126062">
            <w:instrText xml:space="preserve"> &lt;&gt; "Error*" </w:instrText>
          </w:r>
          <w:r w:rsidR="009926D6">
            <w:fldChar w:fldCharType="begin"/>
          </w:r>
          <w:r w:rsidR="009926D6">
            <w:instrText xml:space="preserve"> STYLEREF Title \* Charformat </w:instrText>
          </w:r>
          <w:r w:rsidR="009926D6">
            <w:fldChar w:fldCharType="separate"/>
          </w:r>
          <w:r w:rsidR="00660A8E">
            <w:rPr>
              <w:noProof/>
            </w:rPr>
            <w:instrText>modelling of the Australian electricity generation sector</w:instrText>
          </w:r>
          <w:r w:rsidR="009926D6">
            <w:rPr>
              <w:noProof/>
            </w:rPr>
            <w:fldChar w:fldCharType="end"/>
          </w:r>
          <w:r w:rsidRPr="00126062">
            <w:instrText xml:space="preserve"> </w:instrText>
          </w:r>
          <w:r w:rsidRPr="00126062">
            <w:fldChar w:fldCharType="separate"/>
          </w:r>
          <w:r w:rsidR="00660A8E">
            <w:rPr>
              <w:noProof/>
            </w:rPr>
            <w:t>modelling of the Australian electricity generation sector</w:t>
          </w:r>
          <w:r w:rsidRPr="00126062">
            <w:fldChar w:fldCharType="end"/>
          </w:r>
        </w:p>
      </w:tc>
      <w:tc>
        <w:tcPr>
          <w:tcW w:w="674" w:type="dxa"/>
        </w:tcPr>
        <w:p w:rsidR="0083740E" w:rsidRPr="00452AD3" w:rsidRDefault="0083740E" w:rsidP="000E21BF">
          <w:pPr>
            <w:jc w:val="right"/>
            <w:rPr>
              <w:rStyle w:val="PageNumber"/>
            </w:rPr>
          </w:pPr>
          <w:r w:rsidRPr="00452AD3">
            <w:rPr>
              <w:rStyle w:val="PageNumber"/>
            </w:rPr>
            <w:fldChar w:fldCharType="begin"/>
          </w:r>
          <w:r w:rsidRPr="00452AD3">
            <w:rPr>
              <w:rStyle w:val="PageNumber"/>
            </w:rPr>
            <w:instrText xml:space="preserve"> PAGE   \* MERGEFORMAT </w:instrText>
          </w:r>
          <w:r w:rsidRPr="00452AD3">
            <w:rPr>
              <w:rStyle w:val="PageNumber"/>
            </w:rPr>
            <w:fldChar w:fldCharType="separate"/>
          </w:r>
          <w:r w:rsidR="00660A8E">
            <w:rPr>
              <w:rStyle w:val="PageNumber"/>
              <w:noProof/>
            </w:rPr>
            <w:t>B-3</w:t>
          </w:r>
          <w:r w:rsidRPr="00452AD3">
            <w:rPr>
              <w:rStyle w:val="PageNumber"/>
            </w:rPr>
            <w:fldChar w:fldCharType="end"/>
          </w:r>
        </w:p>
      </w:tc>
    </w:tr>
  </w:tbl>
  <w:p w:rsidR="0083740E" w:rsidRPr="00452AD3" w:rsidRDefault="0083740E" w:rsidP="00452AD3">
    <w:pPr>
      <w:pStyle w:val="Footer"/>
      <w:tabs>
        <w:tab w:val="right" w:pos="6521"/>
      </w:tabs>
      <w:jc w:val="right"/>
      <w:rPr>
        <w:rFonts w:ascii="Novecento Book" w:eastAsiaTheme="minorHAnsi" w:hAnsi="Novecento Book"/>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0E" w:rsidRDefault="008374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0E" w:rsidRDefault="008374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267" w:type="pct"/>
      <w:tblInd w:w="-1922" w:type="dxa"/>
      <w:tblBorders>
        <w:insideH w:val="single" w:sz="8" w:space="0" w:color="auto"/>
        <w:insideV w:val="single" w:sz="8" w:space="0" w:color="auto"/>
      </w:tblBorders>
      <w:tblLook w:val="04A0" w:firstRow="1" w:lastRow="0" w:firstColumn="1" w:lastColumn="0" w:noHBand="0" w:noVBand="1"/>
    </w:tblPr>
    <w:tblGrid>
      <w:gridCol w:w="9033"/>
      <w:gridCol w:w="478"/>
    </w:tblGrid>
    <w:tr w:rsidR="0083740E" w:rsidRPr="00126062" w:rsidTr="003739E4">
      <w:trPr>
        <w:trHeight w:val="288"/>
      </w:trPr>
      <w:tc>
        <w:tcPr>
          <w:tcW w:w="9029" w:type="dxa"/>
          <w:vAlign w:val="bottom"/>
        </w:tcPr>
        <w:p w:rsidR="0083740E" w:rsidRPr="00126062" w:rsidRDefault="0083740E" w:rsidP="003739E4">
          <w:pPr>
            <w:pStyle w:val="PortraitFooter"/>
            <w:rPr>
              <w:b/>
              <w:bCs/>
              <w:color w:val="4F81BD"/>
              <w14:numForm w14:val="oldStyle"/>
            </w:rPr>
          </w:pPr>
        </w:p>
      </w:tc>
      <w:tc>
        <w:tcPr>
          <w:tcW w:w="478" w:type="dxa"/>
        </w:tcPr>
        <w:p w:rsidR="0083740E" w:rsidRPr="00126062" w:rsidRDefault="0083740E" w:rsidP="003739E4">
          <w:pPr>
            <w:jc w:val="right"/>
            <w:rPr>
              <w:rFonts w:ascii="HelveticaNeueLT Std Lt Cn" w:eastAsia="Calibri" w:hAnsi="HelveticaNeueLT Std Lt Cn"/>
            </w:rPr>
          </w:pPr>
          <w:r w:rsidRPr="00126062">
            <w:rPr>
              <w:rFonts w:ascii="HelveticaNeueLT Std Lt Cn" w:eastAsia="Calibri" w:hAnsi="HelveticaNeueLT Std Lt Cn"/>
            </w:rPr>
            <w:fldChar w:fldCharType="begin"/>
          </w:r>
          <w:r w:rsidRPr="00126062">
            <w:rPr>
              <w:rFonts w:ascii="HelveticaNeueLT Std Lt Cn" w:eastAsia="Calibri" w:hAnsi="HelveticaNeueLT Std Lt Cn"/>
            </w:rPr>
            <w:instrText xml:space="preserve"> PAGE   \* MERGEFORMAT </w:instrText>
          </w:r>
          <w:r w:rsidRPr="00126062">
            <w:rPr>
              <w:rFonts w:ascii="HelveticaNeueLT Std Lt Cn" w:eastAsia="Calibri" w:hAnsi="HelveticaNeueLT Std Lt Cn"/>
            </w:rPr>
            <w:fldChar w:fldCharType="separate"/>
          </w:r>
          <w:r w:rsidR="00660A8E">
            <w:rPr>
              <w:rFonts w:ascii="HelveticaNeueLT Std Lt Cn" w:eastAsia="Calibri" w:hAnsi="HelveticaNeueLT Std Lt Cn"/>
              <w:noProof/>
            </w:rPr>
            <w:t>v</w:t>
          </w:r>
          <w:r w:rsidRPr="00126062">
            <w:rPr>
              <w:rFonts w:ascii="HelveticaNeueLT Std Lt Cn" w:eastAsia="Calibri" w:hAnsi="HelveticaNeueLT Std Lt Cn"/>
            </w:rPr>
            <w:fldChar w:fldCharType="end"/>
          </w:r>
        </w:p>
      </w:tc>
    </w:tr>
  </w:tbl>
  <w:p w:rsidR="0083740E" w:rsidRPr="00126062" w:rsidRDefault="0083740E" w:rsidP="003739E4">
    <w:pPr>
      <w:pStyle w:val="Footer"/>
      <w:tabs>
        <w:tab w:val="right" w:pos="6521"/>
      </w:tabs>
      <w:jc w:val="right"/>
      <w:rPr>
        <w:rFonts w:ascii="Novecento Book" w:eastAsiaTheme="minorHAnsi" w:hAnsi="Novecento Book"/>
        <w:szCs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267" w:type="pct"/>
      <w:tblInd w:w="-1922" w:type="dxa"/>
      <w:tblBorders>
        <w:insideH w:val="single" w:sz="8" w:space="0" w:color="auto"/>
        <w:insideV w:val="single" w:sz="8" w:space="0" w:color="auto"/>
      </w:tblBorders>
      <w:tblLook w:val="04A0" w:firstRow="1" w:lastRow="0" w:firstColumn="1" w:lastColumn="0" w:noHBand="0" w:noVBand="1"/>
    </w:tblPr>
    <w:tblGrid>
      <w:gridCol w:w="9033"/>
      <w:gridCol w:w="478"/>
    </w:tblGrid>
    <w:tr w:rsidR="0083740E" w:rsidRPr="00126062" w:rsidTr="003739E4">
      <w:trPr>
        <w:trHeight w:val="288"/>
      </w:trPr>
      <w:tc>
        <w:tcPr>
          <w:tcW w:w="9029" w:type="dxa"/>
          <w:vAlign w:val="bottom"/>
        </w:tcPr>
        <w:p w:rsidR="0083740E" w:rsidRPr="00126062" w:rsidRDefault="0083740E" w:rsidP="003739E4">
          <w:pPr>
            <w:pStyle w:val="PortraitFooter"/>
            <w:rPr>
              <w:b/>
              <w:bCs/>
              <w:color w:val="4F81BD"/>
              <w14:numForm w14:val="oldStyle"/>
            </w:rPr>
          </w:pPr>
          <w:r w:rsidRPr="00126062">
            <w:fldChar w:fldCharType="begin"/>
          </w:r>
          <w:r w:rsidRPr="00126062">
            <w:instrText xml:space="preserve"> IF</w:instrText>
          </w:r>
          <w:r w:rsidRPr="00126062">
            <w:fldChar w:fldCharType="begin"/>
          </w:r>
          <w:r w:rsidRPr="00126062">
            <w:instrText xml:space="preserve"> STYLEREF </w:instrText>
          </w:r>
          <w:r>
            <w:instrText>"</w:instrText>
          </w:r>
          <w:r w:rsidRPr="00126062">
            <w:instrText>Title</w:instrText>
          </w:r>
          <w:r>
            <w:instrText xml:space="preserve"> SHORT"</w:instrText>
          </w:r>
          <w:r w:rsidRPr="00126062">
            <w:instrText xml:space="preserve"> \* Charformat </w:instrText>
          </w:r>
          <w:r w:rsidRPr="00126062">
            <w:fldChar w:fldCharType="separate"/>
          </w:r>
          <w:r w:rsidR="00660A8E">
            <w:rPr>
              <w:noProof/>
            </w:rPr>
            <w:instrText>Electricity sector emissions</w:instrText>
          </w:r>
          <w:r w:rsidRPr="00126062">
            <w:fldChar w:fldCharType="end"/>
          </w:r>
          <w:r w:rsidRPr="00126062">
            <w:instrText xml:space="preserve"> &lt;&gt; "Error*" </w:instrText>
          </w:r>
          <w:r w:rsidR="009926D6">
            <w:fldChar w:fldCharType="begin"/>
          </w:r>
          <w:r w:rsidR="009926D6">
            <w:instrText xml:space="preserve"> STYLEREF "Title SHORT" \* Charformat </w:instrText>
          </w:r>
          <w:r w:rsidR="009926D6">
            <w:fldChar w:fldCharType="separate"/>
          </w:r>
          <w:r w:rsidR="00660A8E">
            <w:rPr>
              <w:noProof/>
            </w:rPr>
            <w:instrText>Electricity sector emissions</w:instrText>
          </w:r>
          <w:r w:rsidR="009926D6">
            <w:rPr>
              <w:noProof/>
            </w:rPr>
            <w:fldChar w:fldCharType="end"/>
          </w:r>
          <w:r w:rsidRPr="00126062">
            <w:instrText xml:space="preserve"> </w:instrText>
          </w:r>
          <w:r w:rsidRPr="00126062">
            <w:fldChar w:fldCharType="separate"/>
          </w:r>
          <w:r w:rsidR="00660A8E">
            <w:rPr>
              <w:noProof/>
            </w:rPr>
            <w:t>Electricity sector emissions</w:t>
          </w:r>
          <w:r w:rsidRPr="00126062">
            <w:fldChar w:fldCharType="end"/>
          </w:r>
          <w:r>
            <w:t xml:space="preserve"> </w:t>
          </w:r>
          <w:r w:rsidRPr="00126062">
            <w:fldChar w:fldCharType="begin"/>
          </w:r>
          <w:r w:rsidRPr="00126062">
            <w:instrText xml:space="preserve"> IF</w:instrText>
          </w:r>
          <w:r w:rsidR="009926D6">
            <w:fldChar w:fldCharType="begin"/>
          </w:r>
          <w:r w:rsidR="009926D6">
            <w:instrText xml:space="preserve"> STYLEREF Title \* Charformat </w:instrText>
          </w:r>
          <w:r w:rsidR="009926D6">
            <w:fldChar w:fldCharType="separate"/>
          </w:r>
          <w:r w:rsidR="00660A8E">
            <w:rPr>
              <w:noProof/>
            </w:rPr>
            <w:instrText>modelling of the Australian electricity generation sector</w:instrText>
          </w:r>
          <w:r w:rsidR="009926D6">
            <w:rPr>
              <w:noProof/>
            </w:rPr>
            <w:fldChar w:fldCharType="end"/>
          </w:r>
          <w:r w:rsidRPr="00126062">
            <w:instrText xml:space="preserve"> &lt;&gt; "Error*" </w:instrText>
          </w:r>
          <w:r w:rsidR="009926D6">
            <w:fldChar w:fldCharType="begin"/>
          </w:r>
          <w:r w:rsidR="009926D6">
            <w:instrText xml:space="preserve"> STYLEREF Title \* Charformat </w:instrText>
          </w:r>
          <w:r w:rsidR="009926D6">
            <w:fldChar w:fldCharType="separate"/>
          </w:r>
          <w:r w:rsidR="00660A8E">
            <w:rPr>
              <w:noProof/>
            </w:rPr>
            <w:instrText>modelling of the Australian electricity generation sector</w:instrText>
          </w:r>
          <w:r w:rsidR="009926D6">
            <w:rPr>
              <w:noProof/>
            </w:rPr>
            <w:fldChar w:fldCharType="end"/>
          </w:r>
          <w:r w:rsidRPr="00126062">
            <w:instrText xml:space="preserve"> </w:instrText>
          </w:r>
          <w:r w:rsidRPr="00126062">
            <w:fldChar w:fldCharType="separate"/>
          </w:r>
          <w:r w:rsidR="00660A8E">
            <w:rPr>
              <w:noProof/>
            </w:rPr>
            <w:t>modelling of the Australian electricity generation sector</w:t>
          </w:r>
          <w:r w:rsidRPr="00126062">
            <w:fldChar w:fldCharType="end"/>
          </w:r>
        </w:p>
      </w:tc>
      <w:tc>
        <w:tcPr>
          <w:tcW w:w="478" w:type="dxa"/>
        </w:tcPr>
        <w:p w:rsidR="0083740E" w:rsidRPr="00B957D3" w:rsidRDefault="0083740E" w:rsidP="003739E4">
          <w:pPr>
            <w:jc w:val="right"/>
            <w:rPr>
              <w:rStyle w:val="PageNumber"/>
            </w:rPr>
          </w:pPr>
          <w:r w:rsidRPr="00B957D3">
            <w:rPr>
              <w:rStyle w:val="PageNumber"/>
            </w:rPr>
            <w:fldChar w:fldCharType="begin"/>
          </w:r>
          <w:r w:rsidRPr="00B957D3">
            <w:rPr>
              <w:rStyle w:val="PageNumber"/>
            </w:rPr>
            <w:instrText xml:space="preserve"> PAGE   \* MERGEFORMAT </w:instrText>
          </w:r>
          <w:r w:rsidRPr="00B957D3">
            <w:rPr>
              <w:rStyle w:val="PageNumber"/>
            </w:rPr>
            <w:fldChar w:fldCharType="separate"/>
          </w:r>
          <w:r w:rsidR="00660A8E">
            <w:rPr>
              <w:rStyle w:val="PageNumber"/>
              <w:noProof/>
            </w:rPr>
            <w:t>xi</w:t>
          </w:r>
          <w:r w:rsidRPr="00B957D3">
            <w:rPr>
              <w:rStyle w:val="PageNumber"/>
            </w:rPr>
            <w:fldChar w:fldCharType="end"/>
          </w:r>
        </w:p>
      </w:tc>
    </w:tr>
  </w:tbl>
  <w:p w:rsidR="0083740E" w:rsidRPr="00126062" w:rsidRDefault="0083740E" w:rsidP="003739E4">
    <w:pPr>
      <w:pStyle w:val="Footer"/>
      <w:tabs>
        <w:tab w:val="right" w:pos="6521"/>
      </w:tabs>
      <w:jc w:val="right"/>
      <w:rPr>
        <w:rFonts w:ascii="Novecento Book" w:eastAsiaTheme="minorHAnsi" w:hAnsi="Novecento Book"/>
        <w:szCs w:val="1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267" w:type="pct"/>
      <w:tblInd w:w="-1922" w:type="dxa"/>
      <w:tblBorders>
        <w:insideH w:val="single" w:sz="8" w:space="0" w:color="auto"/>
        <w:insideV w:val="single" w:sz="8" w:space="0" w:color="auto"/>
      </w:tblBorders>
      <w:tblLook w:val="04A0" w:firstRow="1" w:lastRow="0" w:firstColumn="1" w:lastColumn="0" w:noHBand="0" w:noVBand="1"/>
    </w:tblPr>
    <w:tblGrid>
      <w:gridCol w:w="8837"/>
      <w:gridCol w:w="674"/>
    </w:tblGrid>
    <w:tr w:rsidR="0083740E" w:rsidRPr="00126062" w:rsidTr="000E21BF">
      <w:trPr>
        <w:trHeight w:val="288"/>
      </w:trPr>
      <w:tc>
        <w:tcPr>
          <w:tcW w:w="8834" w:type="dxa"/>
          <w:vAlign w:val="bottom"/>
        </w:tcPr>
        <w:p w:rsidR="0083740E" w:rsidRPr="00126062" w:rsidRDefault="0083740E" w:rsidP="000E21BF">
          <w:pPr>
            <w:pStyle w:val="PortraitFooter"/>
            <w:rPr>
              <w:b/>
              <w:bCs/>
              <w:color w:val="4F81BD"/>
              <w14:numForm w14:val="oldStyle"/>
            </w:rPr>
          </w:pPr>
          <w:r w:rsidRPr="00126062">
            <w:fldChar w:fldCharType="begin"/>
          </w:r>
          <w:r w:rsidRPr="00126062">
            <w:instrText xml:space="preserve"> IF</w:instrText>
          </w:r>
          <w:r w:rsidRPr="00126062">
            <w:fldChar w:fldCharType="begin"/>
          </w:r>
          <w:r w:rsidRPr="00126062">
            <w:instrText xml:space="preserve"> STYLEREF </w:instrText>
          </w:r>
          <w:r>
            <w:instrText>"</w:instrText>
          </w:r>
          <w:r w:rsidRPr="00126062">
            <w:instrText>Title</w:instrText>
          </w:r>
          <w:r>
            <w:instrText xml:space="preserve"> SHORT"</w:instrText>
          </w:r>
          <w:r w:rsidRPr="00126062">
            <w:instrText xml:space="preserve"> \* Charformat </w:instrText>
          </w:r>
          <w:r w:rsidRPr="00126062">
            <w:fldChar w:fldCharType="separate"/>
          </w:r>
          <w:r w:rsidR="00660A8E">
            <w:rPr>
              <w:noProof/>
            </w:rPr>
            <w:instrText>Electricity sector emissions</w:instrText>
          </w:r>
          <w:r w:rsidRPr="00126062">
            <w:fldChar w:fldCharType="end"/>
          </w:r>
          <w:r w:rsidRPr="00126062">
            <w:instrText xml:space="preserve"> &lt;&gt; "Error*" </w:instrText>
          </w:r>
          <w:r w:rsidR="009926D6">
            <w:fldChar w:fldCharType="begin"/>
          </w:r>
          <w:r w:rsidR="009926D6">
            <w:instrText xml:space="preserve"> STYLEREF "Title SHORT" \* Charformat </w:instrText>
          </w:r>
          <w:r w:rsidR="009926D6">
            <w:fldChar w:fldCharType="separate"/>
          </w:r>
          <w:r w:rsidR="00660A8E">
            <w:rPr>
              <w:noProof/>
            </w:rPr>
            <w:instrText>Electricity sector emissions</w:instrText>
          </w:r>
          <w:r w:rsidR="009926D6">
            <w:rPr>
              <w:noProof/>
            </w:rPr>
            <w:fldChar w:fldCharType="end"/>
          </w:r>
          <w:r w:rsidRPr="00126062">
            <w:instrText xml:space="preserve"> </w:instrText>
          </w:r>
          <w:r w:rsidRPr="00126062">
            <w:fldChar w:fldCharType="separate"/>
          </w:r>
          <w:r w:rsidR="00660A8E">
            <w:rPr>
              <w:noProof/>
            </w:rPr>
            <w:t>Electricity sector emissions</w:t>
          </w:r>
          <w:r w:rsidRPr="00126062">
            <w:fldChar w:fldCharType="end"/>
          </w:r>
          <w:r>
            <w:t xml:space="preserve"> </w:t>
          </w:r>
          <w:r w:rsidRPr="00126062">
            <w:fldChar w:fldCharType="begin"/>
          </w:r>
          <w:r w:rsidRPr="00126062">
            <w:instrText xml:space="preserve"> IF</w:instrText>
          </w:r>
          <w:r w:rsidR="009926D6">
            <w:fldChar w:fldCharType="begin"/>
          </w:r>
          <w:r w:rsidR="009926D6">
            <w:instrText xml:space="preserve"> STYLEREF Title \* Charformat </w:instrText>
          </w:r>
          <w:r w:rsidR="009926D6">
            <w:fldChar w:fldCharType="separate"/>
          </w:r>
          <w:r w:rsidR="00660A8E">
            <w:rPr>
              <w:noProof/>
            </w:rPr>
            <w:instrText>modelling of the Australian electricity generation sector</w:instrText>
          </w:r>
          <w:r w:rsidR="009926D6">
            <w:rPr>
              <w:noProof/>
            </w:rPr>
            <w:fldChar w:fldCharType="end"/>
          </w:r>
          <w:r w:rsidRPr="00126062">
            <w:instrText xml:space="preserve"> &lt;&gt; "Error*" </w:instrText>
          </w:r>
          <w:r w:rsidR="009926D6">
            <w:fldChar w:fldCharType="begin"/>
          </w:r>
          <w:r w:rsidR="009926D6">
            <w:instrText xml:space="preserve"> STYLEREF Title \* Charformat </w:instrText>
          </w:r>
          <w:r w:rsidR="009926D6">
            <w:fldChar w:fldCharType="separate"/>
          </w:r>
          <w:r w:rsidR="00660A8E">
            <w:rPr>
              <w:noProof/>
            </w:rPr>
            <w:instrText>modelling of the Australian electricity generation sector</w:instrText>
          </w:r>
          <w:r w:rsidR="009926D6">
            <w:rPr>
              <w:noProof/>
            </w:rPr>
            <w:fldChar w:fldCharType="end"/>
          </w:r>
          <w:r w:rsidRPr="00126062">
            <w:instrText xml:space="preserve"> </w:instrText>
          </w:r>
          <w:r w:rsidRPr="00126062">
            <w:fldChar w:fldCharType="separate"/>
          </w:r>
          <w:r w:rsidR="00660A8E">
            <w:rPr>
              <w:noProof/>
            </w:rPr>
            <w:t>modelling of the Australian electricity generation sector</w:t>
          </w:r>
          <w:r w:rsidRPr="00126062">
            <w:fldChar w:fldCharType="end"/>
          </w:r>
        </w:p>
      </w:tc>
      <w:tc>
        <w:tcPr>
          <w:tcW w:w="674" w:type="dxa"/>
        </w:tcPr>
        <w:p w:rsidR="0083740E" w:rsidRPr="00452AD3" w:rsidRDefault="0083740E" w:rsidP="000E21BF">
          <w:pPr>
            <w:jc w:val="right"/>
            <w:rPr>
              <w:rStyle w:val="PageNumber"/>
            </w:rPr>
          </w:pPr>
          <w:r w:rsidRPr="00452AD3">
            <w:rPr>
              <w:rStyle w:val="PageNumber"/>
            </w:rPr>
            <w:fldChar w:fldCharType="begin"/>
          </w:r>
          <w:r w:rsidRPr="00452AD3">
            <w:rPr>
              <w:rStyle w:val="PageNumber"/>
            </w:rPr>
            <w:instrText xml:space="preserve"> PAGE   \* MERGEFORMAT </w:instrText>
          </w:r>
          <w:r w:rsidRPr="00452AD3">
            <w:rPr>
              <w:rStyle w:val="PageNumber"/>
            </w:rPr>
            <w:fldChar w:fldCharType="separate"/>
          </w:r>
          <w:r w:rsidR="00660A8E">
            <w:rPr>
              <w:rStyle w:val="PageNumber"/>
              <w:noProof/>
            </w:rPr>
            <w:t>19</w:t>
          </w:r>
          <w:r w:rsidRPr="00452AD3">
            <w:rPr>
              <w:rStyle w:val="PageNumber"/>
            </w:rPr>
            <w:fldChar w:fldCharType="end"/>
          </w:r>
        </w:p>
      </w:tc>
    </w:tr>
  </w:tbl>
  <w:p w:rsidR="0083740E" w:rsidRPr="00452AD3" w:rsidRDefault="0083740E" w:rsidP="00452AD3">
    <w:pPr>
      <w:pStyle w:val="Footer"/>
      <w:tabs>
        <w:tab w:val="right" w:pos="6521"/>
      </w:tabs>
      <w:jc w:val="right"/>
      <w:rPr>
        <w:rFonts w:ascii="Novecento Book" w:eastAsiaTheme="minorHAnsi" w:hAnsi="Novecento Book"/>
        <w:szCs w:val="1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H w:val="single" w:sz="8" w:space="0" w:color="auto"/>
        <w:insideV w:val="single" w:sz="8" w:space="0" w:color="auto"/>
      </w:tblBorders>
      <w:tblLook w:val="04A0" w:firstRow="1" w:lastRow="0" w:firstColumn="1" w:lastColumn="0" w:noHBand="0" w:noVBand="1"/>
    </w:tblPr>
    <w:tblGrid>
      <w:gridCol w:w="14529"/>
      <w:gridCol w:w="769"/>
    </w:tblGrid>
    <w:tr w:rsidR="0083740E" w:rsidRPr="00126062" w:rsidTr="00E63457">
      <w:trPr>
        <w:trHeight w:val="288"/>
      </w:trPr>
      <w:tc>
        <w:tcPr>
          <w:tcW w:w="9029" w:type="dxa"/>
          <w:vAlign w:val="bottom"/>
        </w:tcPr>
        <w:p w:rsidR="0083740E" w:rsidRPr="00126062" w:rsidRDefault="0083740E" w:rsidP="00E63457">
          <w:pPr>
            <w:pStyle w:val="LandscapeFooter"/>
            <w:rPr>
              <w:b w:val="0"/>
              <w:bCs/>
              <w:color w:val="4F81BD"/>
              <w14:numForm w14:val="oldStyle"/>
            </w:rPr>
          </w:pPr>
          <w:r w:rsidRPr="00126062">
            <w:fldChar w:fldCharType="begin"/>
          </w:r>
          <w:r w:rsidRPr="00126062">
            <w:instrText xml:space="preserve"> IF</w:instrText>
          </w:r>
          <w:r w:rsidRPr="00126062">
            <w:fldChar w:fldCharType="begin"/>
          </w:r>
          <w:r w:rsidRPr="00126062">
            <w:instrText xml:space="preserve"> STYLEREF </w:instrText>
          </w:r>
          <w:r>
            <w:instrText>"</w:instrText>
          </w:r>
          <w:r w:rsidRPr="00126062">
            <w:instrText>Title</w:instrText>
          </w:r>
          <w:r>
            <w:instrText xml:space="preserve"> SHORT"</w:instrText>
          </w:r>
          <w:r w:rsidRPr="00126062">
            <w:instrText xml:space="preserve"> \* Charformat </w:instrText>
          </w:r>
          <w:r w:rsidRPr="00126062">
            <w:fldChar w:fldCharType="separate"/>
          </w:r>
          <w:r w:rsidR="00660A8E">
            <w:rPr>
              <w:noProof/>
            </w:rPr>
            <w:instrText>Electricity sector emissions</w:instrText>
          </w:r>
          <w:r w:rsidRPr="00126062">
            <w:fldChar w:fldCharType="end"/>
          </w:r>
          <w:r w:rsidRPr="00126062">
            <w:instrText xml:space="preserve"> &lt;&gt; "Error*" </w:instrText>
          </w:r>
          <w:r w:rsidR="009926D6">
            <w:fldChar w:fldCharType="begin"/>
          </w:r>
          <w:r w:rsidR="009926D6">
            <w:instrText xml:space="preserve"> STYLEREF "Title SHORT" \* Charformat </w:instrText>
          </w:r>
          <w:r w:rsidR="009926D6">
            <w:fldChar w:fldCharType="separate"/>
          </w:r>
          <w:r w:rsidR="00660A8E">
            <w:rPr>
              <w:noProof/>
            </w:rPr>
            <w:instrText>Electricity sector emissions</w:instrText>
          </w:r>
          <w:r w:rsidR="009926D6">
            <w:rPr>
              <w:noProof/>
            </w:rPr>
            <w:fldChar w:fldCharType="end"/>
          </w:r>
          <w:r w:rsidRPr="00126062">
            <w:instrText xml:space="preserve"> </w:instrText>
          </w:r>
          <w:r w:rsidRPr="00126062">
            <w:fldChar w:fldCharType="separate"/>
          </w:r>
          <w:r w:rsidR="00660A8E">
            <w:rPr>
              <w:noProof/>
            </w:rPr>
            <w:t>Electricity sector emissions</w:t>
          </w:r>
          <w:r w:rsidRPr="00126062">
            <w:fldChar w:fldCharType="end"/>
          </w:r>
          <w:r>
            <w:t xml:space="preserve"> </w:t>
          </w:r>
          <w:r w:rsidRPr="00126062">
            <w:fldChar w:fldCharType="begin"/>
          </w:r>
          <w:r w:rsidRPr="00126062">
            <w:instrText xml:space="preserve"> IF</w:instrText>
          </w:r>
          <w:r w:rsidR="009926D6">
            <w:fldChar w:fldCharType="begin"/>
          </w:r>
          <w:r w:rsidR="009926D6">
            <w:instrText xml:space="preserve"> STYLEREF Title \* Charformat </w:instrText>
          </w:r>
          <w:r w:rsidR="009926D6">
            <w:fldChar w:fldCharType="separate"/>
          </w:r>
          <w:r w:rsidR="00660A8E">
            <w:rPr>
              <w:noProof/>
            </w:rPr>
            <w:instrText>modelling of the Australian electricity generation sector</w:instrText>
          </w:r>
          <w:r w:rsidR="009926D6">
            <w:rPr>
              <w:noProof/>
            </w:rPr>
            <w:fldChar w:fldCharType="end"/>
          </w:r>
          <w:r w:rsidRPr="00126062">
            <w:instrText xml:space="preserve"> &lt;&gt; "Error*" </w:instrText>
          </w:r>
          <w:r w:rsidR="009926D6">
            <w:fldChar w:fldCharType="begin"/>
          </w:r>
          <w:r w:rsidR="009926D6">
            <w:instrText xml:space="preserve"> STYLEREF Title \* Charformat </w:instrText>
          </w:r>
          <w:r w:rsidR="009926D6">
            <w:fldChar w:fldCharType="separate"/>
          </w:r>
          <w:r w:rsidR="00660A8E">
            <w:rPr>
              <w:noProof/>
            </w:rPr>
            <w:instrText>modelling of the Australian electricity generation sector</w:instrText>
          </w:r>
          <w:r w:rsidR="009926D6">
            <w:rPr>
              <w:noProof/>
            </w:rPr>
            <w:fldChar w:fldCharType="end"/>
          </w:r>
          <w:r w:rsidRPr="00126062">
            <w:instrText xml:space="preserve"> </w:instrText>
          </w:r>
          <w:r w:rsidRPr="00126062">
            <w:fldChar w:fldCharType="separate"/>
          </w:r>
          <w:r w:rsidR="00660A8E">
            <w:rPr>
              <w:noProof/>
            </w:rPr>
            <w:t>modelling of the Australian electricity generation sector</w:t>
          </w:r>
          <w:r w:rsidRPr="00126062">
            <w:fldChar w:fldCharType="end"/>
          </w:r>
        </w:p>
      </w:tc>
      <w:tc>
        <w:tcPr>
          <w:tcW w:w="478" w:type="dxa"/>
        </w:tcPr>
        <w:p w:rsidR="0083740E" w:rsidRPr="00126062" w:rsidRDefault="0083740E" w:rsidP="00E63457">
          <w:pPr>
            <w:jc w:val="right"/>
            <w:rPr>
              <w:rFonts w:ascii="HelveticaNeueLT Std Lt Cn" w:eastAsia="Calibri" w:hAnsi="HelveticaNeueLT Std Lt Cn"/>
            </w:rPr>
          </w:pPr>
          <w:r w:rsidRPr="00126062">
            <w:rPr>
              <w:rFonts w:ascii="HelveticaNeueLT Std Lt Cn" w:eastAsia="Calibri" w:hAnsi="HelveticaNeueLT Std Lt Cn"/>
            </w:rPr>
            <w:fldChar w:fldCharType="begin"/>
          </w:r>
          <w:r w:rsidRPr="00126062">
            <w:rPr>
              <w:rFonts w:ascii="HelveticaNeueLT Std Lt Cn" w:eastAsia="Calibri" w:hAnsi="HelveticaNeueLT Std Lt Cn"/>
            </w:rPr>
            <w:instrText xml:space="preserve"> PAGE   \* MERGEFORMAT </w:instrText>
          </w:r>
          <w:r w:rsidRPr="00126062">
            <w:rPr>
              <w:rFonts w:ascii="HelveticaNeueLT Std Lt Cn" w:eastAsia="Calibri" w:hAnsi="HelveticaNeueLT Std Lt Cn"/>
            </w:rPr>
            <w:fldChar w:fldCharType="separate"/>
          </w:r>
          <w:r w:rsidR="00660A8E">
            <w:rPr>
              <w:rFonts w:ascii="HelveticaNeueLT Std Lt Cn" w:eastAsia="Calibri" w:hAnsi="HelveticaNeueLT Std Lt Cn"/>
              <w:noProof/>
            </w:rPr>
            <w:t>20</w:t>
          </w:r>
          <w:r w:rsidRPr="00126062">
            <w:rPr>
              <w:rFonts w:ascii="HelveticaNeueLT Std Lt Cn" w:eastAsia="Calibri" w:hAnsi="HelveticaNeueLT Std Lt Cn"/>
            </w:rPr>
            <w:fldChar w:fldCharType="end"/>
          </w:r>
        </w:p>
      </w:tc>
    </w:tr>
  </w:tbl>
  <w:p w:rsidR="0083740E" w:rsidRPr="00126062" w:rsidRDefault="0083740E" w:rsidP="00E63457">
    <w:pPr>
      <w:pStyle w:val="Footer"/>
      <w:tabs>
        <w:tab w:val="right" w:pos="6521"/>
      </w:tabs>
      <w:jc w:val="right"/>
      <w:rPr>
        <w:rFonts w:ascii="Novecento Book" w:eastAsiaTheme="minorHAnsi" w:hAnsi="Novecento Book"/>
        <w:szCs w:val="1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0E" w:rsidRDefault="0083740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267" w:type="pct"/>
      <w:tblInd w:w="-1922" w:type="dxa"/>
      <w:tblBorders>
        <w:insideH w:val="single" w:sz="8" w:space="0" w:color="auto"/>
        <w:insideV w:val="single" w:sz="8" w:space="0" w:color="auto"/>
      </w:tblBorders>
      <w:tblLook w:val="04A0" w:firstRow="1" w:lastRow="0" w:firstColumn="1" w:lastColumn="0" w:noHBand="0" w:noVBand="1"/>
    </w:tblPr>
    <w:tblGrid>
      <w:gridCol w:w="8837"/>
      <w:gridCol w:w="674"/>
    </w:tblGrid>
    <w:tr w:rsidR="0083740E" w:rsidRPr="00126062" w:rsidTr="000E21BF">
      <w:trPr>
        <w:trHeight w:val="288"/>
      </w:trPr>
      <w:tc>
        <w:tcPr>
          <w:tcW w:w="8834" w:type="dxa"/>
          <w:vAlign w:val="bottom"/>
        </w:tcPr>
        <w:p w:rsidR="0083740E" w:rsidRPr="00126062" w:rsidRDefault="0083740E" w:rsidP="000E21BF">
          <w:pPr>
            <w:pStyle w:val="PortraitFooter"/>
            <w:rPr>
              <w:b/>
              <w:bCs/>
              <w:color w:val="4F81BD"/>
              <w14:numForm w14:val="oldStyle"/>
            </w:rPr>
          </w:pPr>
          <w:r w:rsidRPr="00126062">
            <w:fldChar w:fldCharType="begin"/>
          </w:r>
          <w:r w:rsidRPr="00126062">
            <w:instrText xml:space="preserve"> IF</w:instrText>
          </w:r>
          <w:r w:rsidRPr="00126062">
            <w:fldChar w:fldCharType="begin"/>
          </w:r>
          <w:r w:rsidRPr="00126062">
            <w:instrText xml:space="preserve"> STYLEREF </w:instrText>
          </w:r>
          <w:r>
            <w:instrText>"</w:instrText>
          </w:r>
          <w:r w:rsidRPr="00126062">
            <w:instrText>Title</w:instrText>
          </w:r>
          <w:r>
            <w:instrText xml:space="preserve"> SHORT"</w:instrText>
          </w:r>
          <w:r w:rsidRPr="00126062">
            <w:instrText xml:space="preserve"> \* Charformat </w:instrText>
          </w:r>
          <w:r w:rsidRPr="00126062">
            <w:fldChar w:fldCharType="separate"/>
          </w:r>
          <w:r w:rsidR="00660A8E">
            <w:rPr>
              <w:noProof/>
            </w:rPr>
            <w:instrText>Electricity sector emissions</w:instrText>
          </w:r>
          <w:r w:rsidRPr="00126062">
            <w:fldChar w:fldCharType="end"/>
          </w:r>
          <w:r w:rsidRPr="00126062">
            <w:instrText xml:space="preserve"> &lt;&gt; "Error*" </w:instrText>
          </w:r>
          <w:r w:rsidR="009926D6">
            <w:fldChar w:fldCharType="begin"/>
          </w:r>
          <w:r w:rsidR="009926D6">
            <w:instrText xml:space="preserve"> STYLEREF "Title SHORT" \* Charformat </w:instrText>
          </w:r>
          <w:r w:rsidR="009926D6">
            <w:fldChar w:fldCharType="separate"/>
          </w:r>
          <w:r w:rsidR="00660A8E">
            <w:rPr>
              <w:noProof/>
            </w:rPr>
            <w:instrText>Electricity sector emissions</w:instrText>
          </w:r>
          <w:r w:rsidR="009926D6">
            <w:rPr>
              <w:noProof/>
            </w:rPr>
            <w:fldChar w:fldCharType="end"/>
          </w:r>
          <w:r w:rsidRPr="00126062">
            <w:instrText xml:space="preserve"> </w:instrText>
          </w:r>
          <w:r w:rsidRPr="00126062">
            <w:fldChar w:fldCharType="separate"/>
          </w:r>
          <w:r w:rsidR="00660A8E">
            <w:rPr>
              <w:noProof/>
            </w:rPr>
            <w:t>Electricity sector emissions</w:t>
          </w:r>
          <w:r w:rsidRPr="00126062">
            <w:fldChar w:fldCharType="end"/>
          </w:r>
          <w:r>
            <w:t xml:space="preserve"> </w:t>
          </w:r>
          <w:r w:rsidRPr="00126062">
            <w:fldChar w:fldCharType="begin"/>
          </w:r>
          <w:r w:rsidRPr="00126062">
            <w:instrText xml:space="preserve"> IF</w:instrText>
          </w:r>
          <w:r w:rsidR="009926D6">
            <w:fldChar w:fldCharType="begin"/>
          </w:r>
          <w:r w:rsidR="009926D6">
            <w:instrText xml:space="preserve"> STYLEREF Title \* Charformat </w:instrText>
          </w:r>
          <w:r w:rsidR="009926D6">
            <w:fldChar w:fldCharType="separate"/>
          </w:r>
          <w:r w:rsidR="00660A8E">
            <w:rPr>
              <w:noProof/>
            </w:rPr>
            <w:instrText>modelling of the Australian electricity generation sector</w:instrText>
          </w:r>
          <w:r w:rsidR="009926D6">
            <w:rPr>
              <w:noProof/>
            </w:rPr>
            <w:fldChar w:fldCharType="end"/>
          </w:r>
          <w:r w:rsidRPr="00126062">
            <w:instrText xml:space="preserve"> &lt;&gt; "Error*" </w:instrText>
          </w:r>
          <w:r w:rsidR="009926D6">
            <w:fldChar w:fldCharType="begin"/>
          </w:r>
          <w:r w:rsidR="009926D6">
            <w:instrText xml:space="preserve"> STYLEREF Title \* Charformat </w:instrText>
          </w:r>
          <w:r w:rsidR="009926D6">
            <w:fldChar w:fldCharType="separate"/>
          </w:r>
          <w:r w:rsidR="00660A8E">
            <w:rPr>
              <w:noProof/>
            </w:rPr>
            <w:instrText>modelling of the Australian electricity generation sector</w:instrText>
          </w:r>
          <w:r w:rsidR="009926D6">
            <w:rPr>
              <w:noProof/>
            </w:rPr>
            <w:fldChar w:fldCharType="end"/>
          </w:r>
          <w:r w:rsidRPr="00126062">
            <w:instrText xml:space="preserve"> </w:instrText>
          </w:r>
          <w:r w:rsidRPr="00126062">
            <w:fldChar w:fldCharType="separate"/>
          </w:r>
          <w:r w:rsidR="00660A8E">
            <w:rPr>
              <w:noProof/>
            </w:rPr>
            <w:t>modelling of the Australian electricity generation sector</w:t>
          </w:r>
          <w:r w:rsidRPr="00126062">
            <w:fldChar w:fldCharType="end"/>
          </w:r>
        </w:p>
      </w:tc>
      <w:tc>
        <w:tcPr>
          <w:tcW w:w="674" w:type="dxa"/>
        </w:tcPr>
        <w:p w:rsidR="0083740E" w:rsidRPr="00452AD3" w:rsidRDefault="0083740E" w:rsidP="000E21BF">
          <w:pPr>
            <w:jc w:val="right"/>
            <w:rPr>
              <w:rStyle w:val="PageNumber"/>
            </w:rPr>
          </w:pPr>
          <w:r w:rsidRPr="00452AD3">
            <w:rPr>
              <w:rStyle w:val="PageNumber"/>
            </w:rPr>
            <w:fldChar w:fldCharType="begin"/>
          </w:r>
          <w:r w:rsidRPr="00452AD3">
            <w:rPr>
              <w:rStyle w:val="PageNumber"/>
            </w:rPr>
            <w:instrText xml:space="preserve"> PAGE   \* MERGEFORMAT </w:instrText>
          </w:r>
          <w:r w:rsidRPr="00452AD3">
            <w:rPr>
              <w:rStyle w:val="PageNumber"/>
            </w:rPr>
            <w:fldChar w:fldCharType="separate"/>
          </w:r>
          <w:r w:rsidR="00660A8E">
            <w:rPr>
              <w:rStyle w:val="PageNumber"/>
              <w:noProof/>
            </w:rPr>
            <w:t>57</w:t>
          </w:r>
          <w:r w:rsidRPr="00452AD3">
            <w:rPr>
              <w:rStyle w:val="PageNumber"/>
            </w:rPr>
            <w:fldChar w:fldCharType="end"/>
          </w:r>
        </w:p>
      </w:tc>
    </w:tr>
  </w:tbl>
  <w:p w:rsidR="0083740E" w:rsidRPr="00452AD3" w:rsidRDefault="0083740E" w:rsidP="00452AD3">
    <w:pPr>
      <w:pStyle w:val="Footer"/>
      <w:tabs>
        <w:tab w:val="right" w:pos="6521"/>
      </w:tabs>
      <w:jc w:val="right"/>
      <w:rPr>
        <w:rFonts w:ascii="Novecento Book" w:eastAsiaTheme="minorHAnsi" w:hAnsi="Novecento Book"/>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6D6" w:rsidRDefault="009926D6">
      <w:r>
        <w:separator/>
      </w:r>
    </w:p>
  </w:footnote>
  <w:footnote w:type="continuationSeparator" w:id="0">
    <w:p w:rsidR="009926D6" w:rsidRDefault="009926D6">
      <w:r>
        <w:continuationSeparator/>
      </w:r>
    </w:p>
  </w:footnote>
  <w:footnote w:id="1">
    <w:p w:rsidR="0083740E" w:rsidRDefault="0083740E" w:rsidP="00653055">
      <w:pPr>
        <w:pStyle w:val="FootnoteText"/>
      </w:pPr>
      <w:r>
        <w:rPr>
          <w:rStyle w:val="FootnoteReference"/>
        </w:rPr>
        <w:footnoteRef/>
      </w:r>
      <w:r>
        <w:t xml:space="preserve"> The </w:t>
      </w:r>
      <w:r w:rsidRPr="001E004F">
        <w:rPr>
          <w:i/>
        </w:rPr>
        <w:t>PowerMark LT</w:t>
      </w:r>
      <w:r>
        <w:t xml:space="preserve"> model is formulated as a linear program. A mixed integer linear program (MILP) formulation is required to introduce standard increments of new entrant capacity however this increases solution time enormously.</w:t>
      </w:r>
    </w:p>
  </w:footnote>
  <w:footnote w:id="2">
    <w:p w:rsidR="0083740E" w:rsidRDefault="0083740E" w:rsidP="00653055">
      <w:pPr>
        <w:pStyle w:val="FootnoteText"/>
      </w:pPr>
      <w:r>
        <w:rPr>
          <w:rStyle w:val="FootnoteReference"/>
        </w:rPr>
        <w:footnoteRef/>
      </w:r>
      <w:r>
        <w:t xml:space="preserve"> Interest during construction represents the financial cost associated with incurring a portion of construction costs in advance of the commissioning date. Accordingly, these costs are assumed to incur interest until the commissioning date. Interest during construction costs are added to the total capital cost within the modelling based on the time profile of construction for each technology. </w:t>
      </w:r>
    </w:p>
  </w:footnote>
  <w:footnote w:id="3">
    <w:p w:rsidR="0083740E" w:rsidRDefault="0083740E" w:rsidP="004F4406">
      <w:pPr>
        <w:pStyle w:val="FootnoteText"/>
      </w:pPr>
      <w:r>
        <w:rPr>
          <w:rStyle w:val="FootnoteReference"/>
        </w:rPr>
        <w:footnoteRef/>
      </w:r>
      <w:r>
        <w:t xml:space="preserve"> </w:t>
      </w:r>
      <w:r w:rsidRPr="001D5C76">
        <w:t>CO2CRC Technologies</w:t>
      </w:r>
      <w:r>
        <w:t>, The Costs of CO</w:t>
      </w:r>
      <w:r w:rsidRPr="007B4074">
        <w:rPr>
          <w:vertAlign w:val="subscript"/>
        </w:rPr>
        <w:t>2</w:t>
      </w:r>
      <w:r>
        <w:t xml:space="preserve"> Transport and Injection in Australia, 2009</w:t>
      </w:r>
    </w:p>
  </w:footnote>
  <w:footnote w:id="4">
    <w:p w:rsidR="0083740E" w:rsidRDefault="0083740E" w:rsidP="004F4406">
      <w:pPr>
        <w:pStyle w:val="FootnoteText"/>
      </w:pPr>
      <w:r>
        <w:rPr>
          <w:rStyle w:val="FootnoteReference"/>
        </w:rPr>
        <w:footnoteRef/>
      </w:r>
      <w:r>
        <w:t xml:space="preserve"> </w:t>
      </w:r>
      <w:r w:rsidRPr="00C44097">
        <w:t>Simulation models typically use the notion of an opportunity cost for the water which attempts to maximise the net revenue of the plant but not break the energy constraint.</w:t>
      </w:r>
    </w:p>
  </w:footnote>
  <w:footnote w:id="5">
    <w:p w:rsidR="0083740E" w:rsidRDefault="0083740E" w:rsidP="004F4406">
      <w:pPr>
        <w:pStyle w:val="FootnoteText"/>
      </w:pPr>
      <w:r>
        <w:rPr>
          <w:rStyle w:val="FootnoteReference"/>
        </w:rPr>
        <w:footnoteRef/>
      </w:r>
      <w:r>
        <w:t xml:space="preserve"> Other smaller existing solar developments are treated as non-scheduled or embedded generation and are therefore handled outside of the </w:t>
      </w:r>
      <w:r w:rsidRPr="00561B62">
        <w:rPr>
          <w:i/>
        </w:rPr>
        <w:t>PowerMark LT</w:t>
      </w:r>
      <w:r>
        <w:t xml:space="preserve"> modelling.</w:t>
      </w:r>
    </w:p>
  </w:footnote>
  <w:footnote w:id="6">
    <w:p w:rsidR="0083740E" w:rsidRDefault="0083740E" w:rsidP="004F4406">
      <w:pPr>
        <w:pStyle w:val="FootnoteText"/>
      </w:pPr>
      <w:r>
        <w:rPr>
          <w:rStyle w:val="FootnoteReference"/>
        </w:rPr>
        <w:footnoteRef/>
      </w:r>
      <w:r>
        <w:t xml:space="preserve"> </w:t>
      </w:r>
      <w:r w:rsidRPr="003978B4">
        <w:t>For integrated mine mouth brown coal</w:t>
      </w:r>
      <w:r>
        <w:t xml:space="preserve"> power stations, fixed O&amp;M costs</w:t>
      </w:r>
      <w:r w:rsidRPr="003978B4">
        <w:t xml:space="preserve"> also include mine overheads as in most cases the closure of the power station would also result in closure of the mine.</w:t>
      </w:r>
    </w:p>
  </w:footnote>
  <w:footnote w:id="7">
    <w:p w:rsidR="0083740E" w:rsidRDefault="0083740E" w:rsidP="008B6E99">
      <w:pPr>
        <w:pStyle w:val="FootnoteText"/>
      </w:pPr>
      <w:r>
        <w:rPr>
          <w:rStyle w:val="FootnoteReference"/>
        </w:rPr>
        <w:footnoteRef/>
      </w:r>
      <w:r>
        <w:t xml:space="preserve"> </w:t>
      </w:r>
      <w:r w:rsidRPr="00210CF0">
        <w:t>Renewable Energy (Electricity) Act 2000</w:t>
      </w:r>
      <w:r>
        <w:t>, Section 36(2)</w:t>
      </w:r>
    </w:p>
  </w:footnote>
  <w:footnote w:id="8">
    <w:p w:rsidR="0083740E" w:rsidRDefault="0083740E" w:rsidP="008B6E99">
      <w:pPr>
        <w:pStyle w:val="FootnoteText"/>
      </w:pPr>
      <w:r>
        <w:rPr>
          <w:rStyle w:val="FootnoteReference"/>
        </w:rPr>
        <w:footnoteRef/>
      </w:r>
      <w:r>
        <w:t xml:space="preserve"> Another way of thinking of this is that all parties freely trade with one another without any transaction costs.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0E" w:rsidRDefault="0083740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0E" w:rsidRDefault="008374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0E" w:rsidRPr="00126062" w:rsidRDefault="0083740E" w:rsidP="000E21BF">
    <w:pPr>
      <w:pBdr>
        <w:top w:val="single" w:sz="6" w:space="2" w:color="A6A6A6" w:themeColor="background1" w:themeShade="A6"/>
      </w:pBdr>
      <w:tabs>
        <w:tab w:val="left" w:pos="567"/>
      </w:tabs>
      <w:jc w:val="right"/>
      <w:rPr>
        <w:rFonts w:ascii="Novecento Book" w:hAnsi="Novecento Book"/>
        <w:b/>
        <w:spacing w:val="22"/>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0E" w:rsidRDefault="0083740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0E" w:rsidRPr="00126062" w:rsidRDefault="0083740E" w:rsidP="003739E4">
    <w:pPr>
      <w:pStyle w:val="AACHeader"/>
    </w:pPr>
    <w:r>
      <w:t xml:space="preserve">ACIL ALLEN </w:t>
    </w:r>
    <w:r>
      <w:rPr>
        <w:color w:val="BFBFBF" w:themeColor="background1" w:themeShade="BF"/>
      </w:rPr>
      <w:t>CONSULTING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0E" w:rsidRPr="003800C1" w:rsidRDefault="0083740E" w:rsidP="003739E4">
    <w:pPr>
      <w:pStyle w:val="AACHeader"/>
      <w:tabs>
        <w:tab w:val="left" w:pos="2410"/>
      </w:tabs>
    </w:pPr>
    <w:r>
      <w:t xml:space="preserve">ACIL ALLEN </w:t>
    </w:r>
    <w:r>
      <w:rPr>
        <w:color w:val="BFBFBF" w:themeColor="background1" w:themeShade="BF"/>
      </w:rPr>
      <w:t>CONSULTING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0E" w:rsidRPr="00C57B63" w:rsidRDefault="0083740E" w:rsidP="00EA4292">
    <w:pPr>
      <w:pStyle w:val="AACHeader"/>
    </w:pPr>
    <w:r w:rsidRPr="00C57B63">
      <w:t xml:space="preserve">ACIL ALLEN </w:t>
    </w:r>
    <w:r w:rsidRPr="00C57B63">
      <w:rPr>
        <w:color w:val="BFBFBF" w:themeColor="background1" w:themeShade="BF"/>
      </w:rPr>
      <w:t>CONSULTING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0E" w:rsidRPr="00126062" w:rsidRDefault="0083740E" w:rsidP="00E63457">
    <w:pPr>
      <w:pStyle w:val="LandscapeHeader"/>
    </w:pPr>
    <w:r>
      <w:t xml:space="preserve">ACIL ALLEN </w:t>
    </w:r>
    <w:r>
      <w:rPr>
        <w:color w:val="BFBFBF" w:themeColor="background1" w:themeShade="BF"/>
      </w:rPr>
      <w:t>CONSULTING</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0E" w:rsidRDefault="0083740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40E" w:rsidRPr="00C57B63" w:rsidRDefault="0083740E" w:rsidP="00EA4292">
    <w:pPr>
      <w:pStyle w:val="AACHeader"/>
    </w:pPr>
    <w:r w:rsidRPr="00C57B63">
      <w:t xml:space="preserve">ACIL ALLEN </w:t>
    </w:r>
    <w:r w:rsidRPr="00C57B63">
      <w:rPr>
        <w:color w:val="BFBFBF" w:themeColor="background1" w:themeShade="BF"/>
      </w:rPr>
      <w:t>CONSULTING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14FE6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11495BE"/>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1A349728"/>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88EA846"/>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33072CA"/>
    <w:multiLevelType w:val="multilevel"/>
    <w:tmpl w:val="78C8103E"/>
    <w:styleLink w:val="ACILAllenNumberedList"/>
    <w:lvl w:ilvl="0">
      <w:start w:val="1"/>
      <w:numFmt w:val="decimal"/>
      <w:pStyle w:val="ListNumber"/>
      <w:lvlText w:val="%1."/>
      <w:lvlJc w:val="left"/>
      <w:pPr>
        <w:ind w:left="340" w:hanging="340"/>
      </w:pPr>
      <w:rPr>
        <w:rFonts w:asciiTheme="minorHAnsi" w:hAnsiTheme="minorHAnsi" w:hint="default"/>
      </w:rPr>
    </w:lvl>
    <w:lvl w:ilvl="1">
      <w:start w:val="1"/>
      <w:numFmt w:val="lowerLetter"/>
      <w:pStyle w:val="ListNumber2"/>
      <w:lvlText w:val="%2)"/>
      <w:lvlJc w:val="left"/>
      <w:pPr>
        <w:ind w:left="709" w:hanging="369"/>
      </w:pPr>
      <w:rPr>
        <w:rFonts w:hint="default"/>
      </w:rPr>
    </w:lvl>
    <w:lvl w:ilvl="2">
      <w:start w:val="1"/>
      <w:numFmt w:val="lowerRoman"/>
      <w:pStyle w:val="ListNumber3"/>
      <w:lvlText w:val="%3)"/>
      <w:lvlJc w:val="left"/>
      <w:pPr>
        <w:ind w:left="1213" w:hanging="504"/>
      </w:pPr>
      <w:rPr>
        <w:rFonts w:hint="default"/>
      </w:rPr>
    </w:lvl>
    <w:lvl w:ilvl="3">
      <w:start w:val="1"/>
      <w:numFmt w:val="decimal"/>
      <w:lvlText w:val="(%4)"/>
      <w:lvlJc w:val="left"/>
      <w:pPr>
        <w:ind w:left="1701" w:hanging="499"/>
      </w:pPr>
      <w:rPr>
        <w:rFonts w:hint="default"/>
      </w:rPr>
    </w:lvl>
    <w:lvl w:ilvl="4">
      <w:start w:val="1"/>
      <w:numFmt w:val="lowerLetter"/>
      <w:lvlText w:val="(%5)"/>
      <w:lvlJc w:val="left"/>
      <w:pPr>
        <w:ind w:left="2126" w:hanging="357"/>
      </w:pPr>
      <w:rPr>
        <w:rFonts w:hint="default"/>
      </w:rPr>
    </w:lvl>
    <w:lvl w:ilvl="5">
      <w:start w:val="1"/>
      <w:numFmt w:val="lowerRoman"/>
      <w:lvlText w:val="(%6)"/>
      <w:lvlJc w:val="left"/>
      <w:pPr>
        <w:ind w:left="2880" w:hanging="360"/>
      </w:pPr>
      <w:rPr>
        <w:rFonts w:hint="default"/>
      </w:rPr>
    </w:lvl>
    <w:lvl w:ilvl="6">
      <w:start w:val="1"/>
      <w:numFmt w:val="none"/>
      <w:lvlText w:val="%7"/>
      <w:lvlJc w:val="left"/>
      <w:pPr>
        <w:ind w:left="3240" w:hanging="360"/>
      </w:pPr>
      <w:rPr>
        <w:rFonts w:ascii="Garamond" w:hAnsi="Garamond" w:hint="default"/>
      </w:rPr>
    </w:lvl>
    <w:lvl w:ilvl="7">
      <w:start w:val="1"/>
      <w:numFmt w:val="none"/>
      <w:lvlText w:val="%8"/>
      <w:lvlJc w:val="left"/>
      <w:pPr>
        <w:ind w:left="3600" w:hanging="360"/>
      </w:pPr>
      <w:rPr>
        <w:rFonts w:ascii="Garamond" w:hAnsi="Garamond" w:hint="default"/>
      </w:rPr>
    </w:lvl>
    <w:lvl w:ilvl="8">
      <w:start w:val="1"/>
      <w:numFmt w:val="none"/>
      <w:lvlText w:val="%9"/>
      <w:lvlJc w:val="left"/>
      <w:pPr>
        <w:ind w:left="3960" w:hanging="360"/>
      </w:pPr>
      <w:rPr>
        <w:rFonts w:ascii="Garamond" w:hAnsi="Garamond" w:hint="default"/>
      </w:rPr>
    </w:lvl>
  </w:abstractNum>
  <w:abstractNum w:abstractNumId="5">
    <w:nsid w:val="088509EA"/>
    <w:multiLevelType w:val="multilevel"/>
    <w:tmpl w:val="9DB25304"/>
    <w:styleLink w:val="ACILAllenTableListNumbering"/>
    <w:lvl w:ilvl="0">
      <w:start w:val="1"/>
      <w:numFmt w:val="decimal"/>
      <w:pStyle w:val="Tablelistnumber"/>
      <w:lvlText w:val="%1."/>
      <w:lvlJc w:val="left"/>
      <w:pPr>
        <w:ind w:left="284" w:hanging="284"/>
      </w:pPr>
      <w:rPr>
        <w:rFonts w:asciiTheme="minorHAnsi" w:hAnsiTheme="minorHAnsi" w:hint="default"/>
        <w:caps w:val="0"/>
        <w:strike w:val="0"/>
        <w:dstrike w:val="0"/>
        <w:vanish w:val="0"/>
        <w:color w:val="auto"/>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Tablelistnumber2"/>
      <w:lvlText w:val="%2)"/>
      <w:lvlJc w:val="left"/>
      <w:pPr>
        <w:ind w:left="567" w:hanging="283"/>
      </w:pPr>
      <w:rPr>
        <w:rFonts w:hint="default"/>
      </w:rPr>
    </w:lvl>
    <w:lvl w:ilvl="2">
      <w:start w:val="1"/>
      <w:numFmt w:val="lowerRoman"/>
      <w:pStyle w:val="Tablelistnumber3"/>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6">
    <w:nsid w:val="0C6824A6"/>
    <w:multiLevelType w:val="multilevel"/>
    <w:tmpl w:val="32403E0C"/>
    <w:styleLink w:val="ATBoxBulletedList"/>
    <w:lvl w:ilvl="0">
      <w:numFmt w:val="bullet"/>
      <w:lvlText w:val=""/>
      <w:lvlJc w:val="left"/>
      <w:pPr>
        <w:tabs>
          <w:tab w:val="num" w:pos="454"/>
        </w:tabs>
        <w:ind w:left="454" w:hanging="227"/>
      </w:pPr>
      <w:rPr>
        <w:rFonts w:ascii="Symbol" w:hAnsi="Symbol" w:hint="default"/>
        <w:color w:val="auto"/>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Garamond" w:hAnsi="Garamond" w:hint="default"/>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7">
    <w:nsid w:val="0FBC535B"/>
    <w:multiLevelType w:val="multilevel"/>
    <w:tmpl w:val="CC5C7C98"/>
    <w:styleLink w:val="ACILAllenDashedList"/>
    <w:lvl w:ilvl="0">
      <w:start w:val="1"/>
      <w:numFmt w:val="bullet"/>
      <w:pStyle w:val="ListDash"/>
      <w:lvlText w:val=""/>
      <w:lvlJc w:val="left"/>
      <w:pPr>
        <w:ind w:left="284" w:hanging="284"/>
      </w:pPr>
      <w:rPr>
        <w:rFonts w:ascii="Symbol" w:hAnsi="Symbol" w:hint="default"/>
      </w:rPr>
    </w:lvl>
    <w:lvl w:ilvl="1">
      <w:start w:val="1"/>
      <w:numFmt w:val="bullet"/>
      <w:pStyle w:val="ListDash2"/>
      <w:lvlText w:val=""/>
      <w:lvlJc w:val="left"/>
      <w:pPr>
        <w:ind w:left="851" w:hanging="284"/>
      </w:pPr>
      <w:rPr>
        <w:rFonts w:ascii="Symbol" w:hAnsi="Symbol" w:hint="default"/>
      </w:rPr>
    </w:lvl>
    <w:lvl w:ilvl="2">
      <w:start w:val="1"/>
      <w:numFmt w:val="bullet"/>
      <w:pStyle w:val="ListDash3"/>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8">
    <w:nsid w:val="0FD50E2C"/>
    <w:multiLevelType w:val="multilevel"/>
    <w:tmpl w:val="71F6571A"/>
    <w:styleLink w:val="ATbulletedlist"/>
    <w:lvl w:ilvl="0">
      <w:start w:val="1"/>
      <w:numFmt w:val="bullet"/>
      <w:lvlText w:val="•"/>
      <w:lvlJc w:val="left"/>
      <w:pPr>
        <w:ind w:left="340" w:hanging="340"/>
      </w:pPr>
      <w:rPr>
        <w:rFonts w:ascii="Garamond" w:hAnsi="Garamond" w:hint="default"/>
      </w:rPr>
    </w:lvl>
    <w:lvl w:ilvl="1">
      <w:start w:val="1"/>
      <w:numFmt w:val="bullet"/>
      <w:lvlText w:val="−"/>
      <w:lvlJc w:val="left"/>
      <w:pPr>
        <w:ind w:left="680" w:hanging="340"/>
      </w:pPr>
      <w:rPr>
        <w:rFonts w:ascii="Garamond" w:hAnsi="Garamond"/>
        <w:sz w:val="24"/>
      </w:rPr>
    </w:lvl>
    <w:lvl w:ilvl="2">
      <w:start w:val="1"/>
      <w:numFmt w:val="bullet"/>
      <w:lvlText w:val="…"/>
      <w:lvlJc w:val="left"/>
      <w:pPr>
        <w:ind w:left="1020" w:hanging="340"/>
      </w:pPr>
      <w:rPr>
        <w:rFonts w:ascii="Garamond" w:hAnsi="Garamond" w:hint="default"/>
      </w:rPr>
    </w:lvl>
    <w:lvl w:ilvl="3">
      <w:start w:val="1"/>
      <w:numFmt w:val="bullet"/>
      <w:lvlText w:val="•"/>
      <w:lvlJc w:val="left"/>
      <w:pPr>
        <w:ind w:left="1360" w:hanging="340"/>
      </w:pPr>
      <w:rPr>
        <w:rFonts w:ascii="Garamond" w:hAnsi="Garamond" w:hint="default"/>
      </w:rPr>
    </w:lvl>
    <w:lvl w:ilvl="4">
      <w:start w:val="1"/>
      <w:numFmt w:val="bullet"/>
      <w:lvlText w:val="−"/>
      <w:lvlJc w:val="left"/>
      <w:pPr>
        <w:ind w:left="1700" w:hanging="340"/>
      </w:pPr>
      <w:rPr>
        <w:rFonts w:ascii="Garamond" w:hAnsi="Garamond" w:hint="default"/>
      </w:rPr>
    </w:lvl>
    <w:lvl w:ilvl="5">
      <w:start w:val="1"/>
      <w:numFmt w:val="bullet"/>
      <w:lvlText w:val="…"/>
      <w:lvlJc w:val="left"/>
      <w:pPr>
        <w:ind w:left="2040" w:hanging="340"/>
      </w:pPr>
      <w:rPr>
        <w:rFonts w:ascii="Garamond" w:hAnsi="Garamond" w:hint="default"/>
      </w:rPr>
    </w:lvl>
    <w:lvl w:ilvl="6">
      <w:start w:val="1"/>
      <w:numFmt w:val="none"/>
      <w:lvlText w:val="%7"/>
      <w:lvlJc w:val="left"/>
      <w:pPr>
        <w:ind w:left="2380" w:hanging="340"/>
      </w:pPr>
      <w:rPr>
        <w:rFonts w:ascii="Garamond" w:hAnsi="Garamond" w:hint="default"/>
      </w:rPr>
    </w:lvl>
    <w:lvl w:ilvl="7">
      <w:start w:val="1"/>
      <w:numFmt w:val="none"/>
      <w:lvlText w:val="%8"/>
      <w:lvlJc w:val="left"/>
      <w:pPr>
        <w:ind w:left="2720" w:hanging="340"/>
      </w:pPr>
      <w:rPr>
        <w:rFonts w:ascii="Garamond" w:hAnsi="Garamond" w:hint="default"/>
      </w:rPr>
    </w:lvl>
    <w:lvl w:ilvl="8">
      <w:start w:val="1"/>
      <w:numFmt w:val="none"/>
      <w:lvlText w:val="%9"/>
      <w:lvlJc w:val="left"/>
      <w:pPr>
        <w:ind w:left="3060" w:hanging="340"/>
      </w:pPr>
      <w:rPr>
        <w:rFonts w:ascii="Garamond" w:hAnsi="Garamond" w:hint="default"/>
      </w:rPr>
    </w:lvl>
  </w:abstractNum>
  <w:abstractNum w:abstractNumId="9">
    <w:nsid w:val="17B8215F"/>
    <w:multiLevelType w:val="hybridMultilevel"/>
    <w:tmpl w:val="1A48B7F6"/>
    <w:lvl w:ilvl="0" w:tplc="91EEC954">
      <w:start w:val="1"/>
      <w:numFmt w:val="bullet"/>
      <w:pStyle w:val="TableQuoteBullet"/>
      <w:lvlText w:val=""/>
      <w:lvlJc w:val="left"/>
      <w:pPr>
        <w:ind w:left="473" w:hanging="360"/>
      </w:pPr>
      <w:rPr>
        <w:rFonts w:ascii="Wingdings" w:hAnsi="Wingdings"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0">
    <w:nsid w:val="184A0171"/>
    <w:multiLevelType w:val="multilevel"/>
    <w:tmpl w:val="CC5C7C98"/>
    <w:numStyleLink w:val="ACILAllenDashedList"/>
  </w:abstractNum>
  <w:abstractNum w:abstractNumId="11">
    <w:nsid w:val="245C079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B0B0719"/>
    <w:multiLevelType w:val="multilevel"/>
    <w:tmpl w:val="4D4E1F7C"/>
    <w:styleLink w:val="PartNumber"/>
    <w:lvl w:ilvl="0">
      <w:start w:val="1"/>
      <w:numFmt w:val="cardinalText"/>
      <w:suff w:val="nothing"/>
      <w:lvlText w:val="Part %1"/>
      <w:lvlJc w:val="left"/>
      <w:pPr>
        <w:ind w:left="360" w:hanging="360"/>
      </w:pPr>
      <w:rPr>
        <w:rFonts w:hint="default"/>
        <w:spacing w:val="40"/>
        <w:sz w:val="160"/>
      </w:rPr>
    </w:lvl>
    <w:lvl w:ilvl="1">
      <w:start w:val="1"/>
      <w:numFmt w:val="upperRoman"/>
      <w:suff w:val="nothing"/>
      <w:lvlText w:val="%2"/>
      <w:lvlJc w:val="center"/>
      <w:pPr>
        <w:ind w:left="0" w:firstLine="0"/>
      </w:pPr>
      <w:rPr>
        <w:rFonts w:ascii="Georgia" w:hAnsi="Georgia" w:hint="default"/>
        <w:b/>
        <w:i w:val="0"/>
        <w:color w:val="FFFFFF" w:themeColor="background1"/>
        <w:sz w:val="96"/>
      </w:rPr>
    </w:lvl>
    <w:lvl w:ilvl="2">
      <w:start w:val="1"/>
      <w:numFmt w:val="none"/>
      <w:suff w:val="nothing"/>
      <w:lvlText w:val=""/>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8"/>
      <w:lvlJc w:val="left"/>
      <w:pPr>
        <w:ind w:left="2880" w:hanging="360"/>
      </w:pPr>
      <w:rPr>
        <w:rFonts w:hint="default"/>
      </w:rPr>
    </w:lvl>
    <w:lvl w:ilvl="8">
      <w:start w:val="1"/>
      <w:numFmt w:val="none"/>
      <w:suff w:val="nothing"/>
      <w:lvlText w:val="%9"/>
      <w:lvlJc w:val="left"/>
      <w:pPr>
        <w:ind w:left="3240" w:hanging="360"/>
      </w:pPr>
      <w:rPr>
        <w:rFonts w:hint="default"/>
      </w:rPr>
    </w:lvl>
  </w:abstractNum>
  <w:abstractNum w:abstractNumId="13">
    <w:nsid w:val="2FAA5670"/>
    <w:multiLevelType w:val="multilevel"/>
    <w:tmpl w:val="5F4A1496"/>
    <w:styleLink w:val="ACILAllenPartNumbers"/>
    <w:lvl w:ilvl="0">
      <w:start w:val="1"/>
      <w:numFmt w:val="cardinalText"/>
      <w:suff w:val="nothing"/>
      <w:lvlText w:val="Part %1"/>
      <w:lvlJc w:val="left"/>
      <w:pPr>
        <w:ind w:left="360" w:hanging="360"/>
      </w:pPr>
      <w:rPr>
        <w:rFonts w:hint="default"/>
        <w:spacing w:val="40"/>
        <w:sz w:val="160"/>
      </w:rPr>
    </w:lvl>
    <w:lvl w:ilvl="1">
      <w:start w:val="1"/>
      <w:numFmt w:val="upperRoman"/>
      <w:suff w:val="nothing"/>
      <w:lvlText w:val="%2"/>
      <w:lvlJc w:val="center"/>
      <w:pPr>
        <w:ind w:left="0" w:firstLine="0"/>
      </w:pPr>
      <w:rPr>
        <w:rFonts w:ascii="Georgia" w:hAnsi="Georgia" w:hint="default"/>
        <w:b/>
        <w:i w:val="0"/>
        <w:color w:val="FFFFFF" w:themeColor="background1"/>
        <w:sz w:val="96"/>
      </w:rPr>
    </w:lvl>
    <w:lvl w:ilvl="2">
      <w:start w:val="1"/>
      <w:numFmt w:val="none"/>
      <w:suff w:val="nothing"/>
      <w:lvlText w:val=""/>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8"/>
      <w:lvlJc w:val="left"/>
      <w:pPr>
        <w:ind w:left="2880" w:hanging="360"/>
      </w:pPr>
      <w:rPr>
        <w:rFonts w:hint="default"/>
      </w:rPr>
    </w:lvl>
    <w:lvl w:ilvl="8">
      <w:start w:val="1"/>
      <w:numFmt w:val="none"/>
      <w:suff w:val="nothing"/>
      <w:lvlText w:val="%9"/>
      <w:lvlJc w:val="left"/>
      <w:pPr>
        <w:ind w:left="3240" w:hanging="360"/>
      </w:pPr>
      <w:rPr>
        <w:rFonts w:hint="default"/>
      </w:rPr>
    </w:lvl>
  </w:abstractNum>
  <w:abstractNum w:abstractNumId="14">
    <w:nsid w:val="315B3B8E"/>
    <w:multiLevelType w:val="multilevel"/>
    <w:tmpl w:val="DAC2F05A"/>
    <w:lvl w:ilvl="0">
      <w:start w:val="1"/>
      <w:numFmt w:val="bullet"/>
      <w:lvlText w:val=""/>
      <w:lvlJc w:val="left"/>
      <w:pPr>
        <w:ind w:left="360" w:hanging="360"/>
      </w:pPr>
      <w:rPr>
        <w:rFonts w:ascii="Wingdings" w:hAnsi="Wingdings" w:hint="default"/>
      </w:rPr>
    </w:lvl>
    <w:lvl w:ilvl="1">
      <w:start w:val="1"/>
      <w:numFmt w:val="bullet"/>
      <w:lvlText w:val=""/>
      <w:lvlJc w:val="left"/>
      <w:pPr>
        <w:ind w:left="680" w:hanging="340"/>
      </w:pPr>
      <w:rPr>
        <w:rFonts w:ascii="Wingdings" w:hAnsi="Wingdings" w:hint="default"/>
        <w:sz w:val="24"/>
      </w:rPr>
    </w:lvl>
    <w:lvl w:ilvl="2">
      <w:start w:val="1"/>
      <w:numFmt w:val="bullet"/>
      <w:lvlText w:val="…"/>
      <w:lvlJc w:val="left"/>
      <w:pPr>
        <w:ind w:left="1020" w:hanging="340"/>
      </w:pPr>
      <w:rPr>
        <w:rFonts w:ascii="Garamond" w:hAnsi="Garamond" w:hint="default"/>
      </w:rPr>
    </w:lvl>
    <w:lvl w:ilvl="3">
      <w:start w:val="1"/>
      <w:numFmt w:val="none"/>
      <w:suff w:val="nothing"/>
      <w:lvlText w:val=""/>
      <w:lvlJc w:val="left"/>
      <w:pPr>
        <w:ind w:left="1021" w:hanging="1"/>
      </w:pPr>
      <w:rPr>
        <w:rFonts w:hint="default"/>
      </w:rPr>
    </w:lvl>
    <w:lvl w:ilvl="4">
      <w:start w:val="1"/>
      <w:numFmt w:val="none"/>
      <w:suff w:val="nothing"/>
      <w:lvlText w:val=""/>
      <w:lvlJc w:val="left"/>
      <w:pPr>
        <w:ind w:left="1700" w:hanging="340"/>
      </w:pPr>
      <w:rPr>
        <w:rFonts w:hint="default"/>
      </w:rPr>
    </w:lvl>
    <w:lvl w:ilvl="5">
      <w:start w:val="1"/>
      <w:numFmt w:val="none"/>
      <w:suff w:val="nothing"/>
      <w:lvlText w:val=""/>
      <w:lvlJc w:val="left"/>
      <w:pPr>
        <w:ind w:left="2040" w:hanging="340"/>
      </w:pPr>
      <w:rPr>
        <w:rFonts w:hint="default"/>
      </w:rPr>
    </w:lvl>
    <w:lvl w:ilvl="6">
      <w:start w:val="1"/>
      <w:numFmt w:val="none"/>
      <w:suff w:val="nothing"/>
      <w:lvlText w:val=""/>
      <w:lvlJc w:val="left"/>
      <w:pPr>
        <w:ind w:left="2380" w:hanging="340"/>
      </w:pPr>
      <w:rPr>
        <w:rFonts w:hint="default"/>
      </w:rPr>
    </w:lvl>
    <w:lvl w:ilvl="7">
      <w:start w:val="1"/>
      <w:numFmt w:val="none"/>
      <w:suff w:val="nothing"/>
      <w:lvlText w:val=""/>
      <w:lvlJc w:val="left"/>
      <w:pPr>
        <w:ind w:left="2720" w:hanging="340"/>
      </w:pPr>
      <w:rPr>
        <w:rFonts w:hint="default"/>
      </w:rPr>
    </w:lvl>
    <w:lvl w:ilvl="8">
      <w:start w:val="1"/>
      <w:numFmt w:val="none"/>
      <w:suff w:val="nothing"/>
      <w:lvlText w:val=""/>
      <w:lvlJc w:val="left"/>
      <w:pPr>
        <w:ind w:left="3060" w:hanging="340"/>
      </w:pPr>
      <w:rPr>
        <w:rFonts w:hint="default"/>
      </w:rPr>
    </w:lvl>
  </w:abstractNum>
  <w:abstractNum w:abstractNumId="15">
    <w:nsid w:val="35D26D71"/>
    <w:multiLevelType w:val="multilevel"/>
    <w:tmpl w:val="6D863370"/>
    <w:styleLink w:val="ACILAllenBoxBulletedList"/>
    <w:lvl w:ilvl="0">
      <w:numFmt w:val="bullet"/>
      <w:pStyle w:val="BoxListBullet"/>
      <w:lvlText w:val=""/>
      <w:lvlJc w:val="left"/>
      <w:pPr>
        <w:ind w:left="284" w:hanging="284"/>
      </w:pPr>
      <w:rPr>
        <w:rFonts w:ascii="Wingdings" w:hAnsi="Wingdings" w:hint="default"/>
        <w:color w:val="auto"/>
      </w:rPr>
    </w:lvl>
    <w:lvl w:ilvl="1">
      <w:start w:val="1"/>
      <w:numFmt w:val="bullet"/>
      <w:pStyle w:val="BoxListBullet2"/>
      <w:lvlText w:val=""/>
      <w:lvlJc w:val="left"/>
      <w:pPr>
        <w:ind w:left="567" w:hanging="283"/>
      </w:pPr>
      <w:rPr>
        <w:rFonts w:ascii="Wingdings" w:hAnsi="Wingdings" w:hint="default"/>
      </w:rPr>
    </w:lvl>
    <w:lvl w:ilvl="2">
      <w:start w:val="1"/>
      <w:numFmt w:val="bullet"/>
      <w:pStyle w:val="BoxListBullet3"/>
      <w:lvlText w:val="…"/>
      <w:lvlJc w:val="left"/>
      <w:pPr>
        <w:ind w:left="851" w:hanging="284"/>
      </w:pPr>
      <w:rPr>
        <w:rFonts w:ascii="Times New Roman" w:hAnsi="Times New Roman" w:cs="Times New Roman"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3760228F"/>
    <w:multiLevelType w:val="multilevel"/>
    <w:tmpl w:val="F70294B2"/>
    <w:numStyleLink w:val="ACILAllenBulletedlist"/>
  </w:abstractNum>
  <w:abstractNum w:abstractNumId="17">
    <w:nsid w:val="3BCD694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3222DA2"/>
    <w:multiLevelType w:val="hybridMultilevel"/>
    <w:tmpl w:val="E48C4CF4"/>
    <w:lvl w:ilvl="0" w:tplc="ECBEBE16">
      <w:start w:val="1"/>
      <w:numFmt w:val="bullet"/>
      <w:pStyle w:val="BoxQuoteListBullet"/>
      <w:lvlText w:val=""/>
      <w:lvlJc w:val="left"/>
      <w:pPr>
        <w:ind w:left="587" w:hanging="360"/>
      </w:pPr>
      <w:rPr>
        <w:rFonts w:ascii="Symbol" w:hAnsi="Symbol" w:hint="default"/>
      </w:rPr>
    </w:lvl>
    <w:lvl w:ilvl="1" w:tplc="45683542" w:tentative="1">
      <w:start w:val="1"/>
      <w:numFmt w:val="bullet"/>
      <w:lvlText w:val="o"/>
      <w:lvlJc w:val="left"/>
      <w:pPr>
        <w:ind w:left="1307" w:hanging="360"/>
      </w:pPr>
      <w:rPr>
        <w:rFonts w:ascii="Courier New" w:hAnsi="Courier New" w:cs="Courier New" w:hint="default"/>
      </w:rPr>
    </w:lvl>
    <w:lvl w:ilvl="2" w:tplc="87A8D99A" w:tentative="1">
      <w:start w:val="1"/>
      <w:numFmt w:val="bullet"/>
      <w:lvlText w:val=""/>
      <w:lvlJc w:val="left"/>
      <w:pPr>
        <w:ind w:left="2027" w:hanging="360"/>
      </w:pPr>
      <w:rPr>
        <w:rFonts w:ascii="Wingdings" w:hAnsi="Wingdings" w:hint="default"/>
      </w:rPr>
    </w:lvl>
    <w:lvl w:ilvl="3" w:tplc="95429438" w:tentative="1">
      <w:start w:val="1"/>
      <w:numFmt w:val="bullet"/>
      <w:lvlText w:val=""/>
      <w:lvlJc w:val="left"/>
      <w:pPr>
        <w:ind w:left="2747" w:hanging="360"/>
      </w:pPr>
      <w:rPr>
        <w:rFonts w:ascii="Symbol" w:hAnsi="Symbol" w:hint="default"/>
      </w:rPr>
    </w:lvl>
    <w:lvl w:ilvl="4" w:tplc="BA586674" w:tentative="1">
      <w:start w:val="1"/>
      <w:numFmt w:val="bullet"/>
      <w:lvlText w:val="o"/>
      <w:lvlJc w:val="left"/>
      <w:pPr>
        <w:ind w:left="3467" w:hanging="360"/>
      </w:pPr>
      <w:rPr>
        <w:rFonts w:ascii="Courier New" w:hAnsi="Courier New" w:cs="Courier New" w:hint="default"/>
      </w:rPr>
    </w:lvl>
    <w:lvl w:ilvl="5" w:tplc="0F7A370E" w:tentative="1">
      <w:start w:val="1"/>
      <w:numFmt w:val="bullet"/>
      <w:lvlText w:val=""/>
      <w:lvlJc w:val="left"/>
      <w:pPr>
        <w:ind w:left="4187" w:hanging="360"/>
      </w:pPr>
      <w:rPr>
        <w:rFonts w:ascii="Wingdings" w:hAnsi="Wingdings" w:hint="default"/>
      </w:rPr>
    </w:lvl>
    <w:lvl w:ilvl="6" w:tplc="84D461FC" w:tentative="1">
      <w:start w:val="1"/>
      <w:numFmt w:val="bullet"/>
      <w:lvlText w:val=""/>
      <w:lvlJc w:val="left"/>
      <w:pPr>
        <w:ind w:left="4907" w:hanging="360"/>
      </w:pPr>
      <w:rPr>
        <w:rFonts w:ascii="Symbol" w:hAnsi="Symbol" w:hint="default"/>
      </w:rPr>
    </w:lvl>
    <w:lvl w:ilvl="7" w:tplc="9CE8E02C" w:tentative="1">
      <w:start w:val="1"/>
      <w:numFmt w:val="bullet"/>
      <w:lvlText w:val="o"/>
      <w:lvlJc w:val="left"/>
      <w:pPr>
        <w:ind w:left="5627" w:hanging="360"/>
      </w:pPr>
      <w:rPr>
        <w:rFonts w:ascii="Courier New" w:hAnsi="Courier New" w:cs="Courier New" w:hint="default"/>
      </w:rPr>
    </w:lvl>
    <w:lvl w:ilvl="8" w:tplc="852A1C84" w:tentative="1">
      <w:start w:val="1"/>
      <w:numFmt w:val="bullet"/>
      <w:lvlText w:val=""/>
      <w:lvlJc w:val="left"/>
      <w:pPr>
        <w:ind w:left="6347" w:hanging="360"/>
      </w:pPr>
      <w:rPr>
        <w:rFonts w:ascii="Wingdings" w:hAnsi="Wingdings" w:hint="default"/>
      </w:rPr>
    </w:lvl>
  </w:abstractNum>
  <w:abstractNum w:abstractNumId="19">
    <w:nsid w:val="43D200A3"/>
    <w:multiLevelType w:val="singleLevel"/>
    <w:tmpl w:val="5B28AA70"/>
    <w:lvl w:ilvl="0">
      <w:start w:val="1"/>
      <w:numFmt w:val="bullet"/>
      <w:pStyle w:val="SideDash"/>
      <w:lvlText w:val="–"/>
      <w:lvlJc w:val="left"/>
      <w:pPr>
        <w:tabs>
          <w:tab w:val="num" w:pos="170"/>
        </w:tabs>
        <w:ind w:left="170" w:hanging="170"/>
      </w:pPr>
      <w:rPr>
        <w:rFonts w:ascii="Times New Roman" w:hAnsi="Times New Roman" w:cs="Times New Roman" w:hint="default"/>
        <w:b w:val="0"/>
        <w:i/>
        <w:sz w:val="20"/>
      </w:rPr>
    </w:lvl>
  </w:abstractNum>
  <w:abstractNum w:abstractNumId="20">
    <w:nsid w:val="448C61FD"/>
    <w:multiLevelType w:val="multilevel"/>
    <w:tmpl w:val="FE5EE5A8"/>
    <w:styleLink w:val="ACILAllenTableBulletedList"/>
    <w:lvl w:ilvl="0">
      <w:start w:val="1"/>
      <w:numFmt w:val="bullet"/>
      <w:pStyle w:val="Tablelistbullet"/>
      <w:lvlText w:val=""/>
      <w:lvlJc w:val="left"/>
      <w:pPr>
        <w:ind w:left="227" w:hanging="227"/>
      </w:pPr>
      <w:rPr>
        <w:rFonts w:ascii="Wingdings" w:hAnsi="Wingdings" w:hint="default"/>
        <w:color w:val="auto"/>
      </w:rPr>
    </w:lvl>
    <w:lvl w:ilvl="1">
      <w:start w:val="1"/>
      <w:numFmt w:val="bullet"/>
      <w:pStyle w:val="Tablelistbullet2"/>
      <w:lvlText w:val=""/>
      <w:lvlJc w:val="left"/>
      <w:pPr>
        <w:ind w:left="454" w:hanging="227"/>
      </w:pPr>
      <w:rPr>
        <w:rFonts w:ascii="Wingdings" w:hAnsi="Wingdings" w:hint="default"/>
      </w:rPr>
    </w:lvl>
    <w:lvl w:ilvl="2">
      <w:start w:val="1"/>
      <w:numFmt w:val="bullet"/>
      <w:pStyle w:val="Tablelistbullet3"/>
      <w:lvlText w:val="…"/>
      <w:lvlJc w:val="left"/>
      <w:pPr>
        <w:ind w:left="680" w:hanging="226"/>
      </w:pPr>
      <w:rPr>
        <w:rFonts w:ascii="Garamond" w:hAnsi="Garamond" w:hint="default"/>
      </w:rPr>
    </w:lvl>
    <w:lvl w:ilvl="3">
      <w:start w:val="1"/>
      <w:numFmt w:val="none"/>
      <w:suff w:val="nothing"/>
      <w:lvlText w:val=""/>
      <w:lvlJc w:val="left"/>
      <w:pPr>
        <w:ind w:left="90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1">
    <w:nsid w:val="52612C2B"/>
    <w:multiLevelType w:val="multilevel"/>
    <w:tmpl w:val="668EAE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64F264CF"/>
    <w:multiLevelType w:val="multilevel"/>
    <w:tmpl w:val="6FFEFD58"/>
    <w:lvl w:ilvl="0">
      <w:start w:val="1"/>
      <w:numFmt w:val="decimal"/>
      <w:pStyle w:val="Heading1"/>
      <w:lvlText w:val="%1"/>
      <w:lvlJc w:val="left"/>
      <w:pPr>
        <w:tabs>
          <w:tab w:val="num" w:pos="902"/>
        </w:tabs>
        <w:ind w:left="902" w:hanging="902"/>
      </w:pPr>
      <w:rPr>
        <w:rFonts w:hint="default"/>
      </w:rPr>
    </w:lvl>
    <w:lvl w:ilvl="1">
      <w:start w:val="1"/>
      <w:numFmt w:val="decimal"/>
      <w:pStyle w:val="Heading2"/>
      <w:lvlText w:val="%1.%2"/>
      <w:lvlJc w:val="left"/>
      <w:pPr>
        <w:tabs>
          <w:tab w:val="num" w:pos="902"/>
        </w:tabs>
        <w:ind w:left="902" w:hanging="902"/>
      </w:pPr>
      <w:rPr>
        <w:rFonts w:hint="default"/>
      </w:rPr>
    </w:lvl>
    <w:lvl w:ilvl="2">
      <w:start w:val="1"/>
      <w:numFmt w:val="decimal"/>
      <w:pStyle w:val="Heading3"/>
      <w:lvlText w:val="%1.%2.%3"/>
      <w:lvlJc w:val="left"/>
      <w:pPr>
        <w:tabs>
          <w:tab w:val="num" w:pos="902"/>
        </w:tabs>
        <w:ind w:left="902" w:hanging="902"/>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lvlText w:val=""/>
      <w:lvlJc w:val="left"/>
      <w:pPr>
        <w:tabs>
          <w:tab w:val="num" w:pos="1152"/>
        </w:tabs>
        <w:ind w:left="1152" w:hanging="1152"/>
      </w:pPr>
      <w:rPr>
        <w:rFonts w:hint="default"/>
      </w:rPr>
    </w:lvl>
    <w:lvl w:ilvl="6">
      <w:start w:val="1"/>
      <w:numFmt w:val="upperLetter"/>
      <w:pStyle w:val="Heading7"/>
      <w:lvlText w:val="Appendix %7"/>
      <w:lvlJc w:val="left"/>
      <w:pPr>
        <w:tabs>
          <w:tab w:val="num" w:pos="0"/>
        </w:tabs>
        <w:ind w:left="0" w:hanging="2552"/>
      </w:pPr>
      <w:rPr>
        <w:rFonts w:hint="default"/>
      </w:rPr>
    </w:lvl>
    <w:lvl w:ilvl="7">
      <w:start w:val="1"/>
      <w:numFmt w:val="decimal"/>
      <w:pStyle w:val="Heading8"/>
      <w:lvlText w:val="%7.%8"/>
      <w:lvlJc w:val="left"/>
      <w:pPr>
        <w:tabs>
          <w:tab w:val="num" w:pos="902"/>
        </w:tabs>
        <w:ind w:left="902" w:hanging="902"/>
      </w:pPr>
      <w:rPr>
        <w:rFonts w:hint="default"/>
      </w:rPr>
    </w:lvl>
    <w:lvl w:ilvl="8">
      <w:start w:val="1"/>
      <w:numFmt w:val="decimal"/>
      <w:pStyle w:val="Heading9"/>
      <w:lvlText w:val="%7.%8.%9"/>
      <w:lvlJc w:val="left"/>
      <w:pPr>
        <w:tabs>
          <w:tab w:val="num" w:pos="902"/>
        </w:tabs>
        <w:ind w:left="902" w:hanging="902"/>
      </w:pPr>
      <w:rPr>
        <w:rFonts w:hint="default"/>
      </w:rPr>
    </w:lvl>
  </w:abstractNum>
  <w:abstractNum w:abstractNumId="23">
    <w:nsid w:val="6B404337"/>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6D617B2B"/>
    <w:multiLevelType w:val="multilevel"/>
    <w:tmpl w:val="F70294B2"/>
    <w:styleLink w:val="ACILAllenBulletedlist"/>
    <w:lvl w:ilvl="0">
      <w:start w:val="1"/>
      <w:numFmt w:val="bullet"/>
      <w:pStyle w:val="ListBullet"/>
      <w:lvlText w:val=""/>
      <w:lvlJc w:val="left"/>
      <w:pPr>
        <w:ind w:left="340" w:hanging="340"/>
      </w:pPr>
      <w:rPr>
        <w:rFonts w:ascii="Wingdings" w:hAnsi="Wingdings" w:hint="default"/>
        <w:sz w:val="32"/>
      </w:rPr>
    </w:lvl>
    <w:lvl w:ilvl="1">
      <w:start w:val="1"/>
      <w:numFmt w:val="bullet"/>
      <w:pStyle w:val="ListBullet2"/>
      <w:lvlText w:val=""/>
      <w:lvlJc w:val="left"/>
      <w:pPr>
        <w:ind w:left="680" w:hanging="340"/>
      </w:pPr>
      <w:rPr>
        <w:rFonts w:ascii="Wingdings" w:hAnsi="Wingdings" w:hint="default"/>
        <w:sz w:val="24"/>
      </w:rPr>
    </w:lvl>
    <w:lvl w:ilvl="2">
      <w:start w:val="1"/>
      <w:numFmt w:val="bullet"/>
      <w:pStyle w:val="ListBullet3"/>
      <w:lvlText w:val="…"/>
      <w:lvlJc w:val="left"/>
      <w:pPr>
        <w:ind w:left="1020" w:hanging="340"/>
      </w:pPr>
      <w:rPr>
        <w:rFonts w:ascii="Garamond" w:hAnsi="Garamond" w:hint="default"/>
      </w:rPr>
    </w:lvl>
    <w:lvl w:ilvl="3">
      <w:start w:val="1"/>
      <w:numFmt w:val="none"/>
      <w:lvlText w:val="%4"/>
      <w:lvlJc w:val="left"/>
      <w:pPr>
        <w:ind w:left="1021" w:hanging="1"/>
      </w:pPr>
      <w:rPr>
        <w:rFonts w:ascii="Garamond" w:hAnsi="Garamond" w:hint="default"/>
      </w:rPr>
    </w:lvl>
    <w:lvl w:ilvl="4">
      <w:start w:val="1"/>
      <w:numFmt w:val="none"/>
      <w:lvlText w:val="%5"/>
      <w:lvlJc w:val="left"/>
      <w:pPr>
        <w:ind w:left="1700" w:hanging="340"/>
      </w:pPr>
      <w:rPr>
        <w:rFonts w:ascii="Garamond" w:hAnsi="Garamond" w:hint="default"/>
      </w:rPr>
    </w:lvl>
    <w:lvl w:ilvl="5">
      <w:start w:val="1"/>
      <w:numFmt w:val="none"/>
      <w:suff w:val="nothing"/>
      <w:lvlText w:val=""/>
      <w:lvlJc w:val="left"/>
      <w:pPr>
        <w:ind w:left="2040" w:hanging="340"/>
      </w:pPr>
      <w:rPr>
        <w:rFonts w:hint="default"/>
      </w:rPr>
    </w:lvl>
    <w:lvl w:ilvl="6">
      <w:start w:val="1"/>
      <w:numFmt w:val="none"/>
      <w:lvlText w:val="%7"/>
      <w:lvlJc w:val="left"/>
      <w:pPr>
        <w:ind w:left="2380" w:hanging="340"/>
      </w:pPr>
      <w:rPr>
        <w:rFonts w:ascii="Garamond" w:hAnsi="Garamond" w:hint="default"/>
      </w:rPr>
    </w:lvl>
    <w:lvl w:ilvl="7">
      <w:start w:val="1"/>
      <w:numFmt w:val="none"/>
      <w:lvlText w:val="%8"/>
      <w:lvlJc w:val="left"/>
      <w:pPr>
        <w:ind w:left="2720" w:hanging="340"/>
      </w:pPr>
      <w:rPr>
        <w:rFonts w:ascii="Garamond" w:hAnsi="Garamond" w:hint="default"/>
      </w:rPr>
    </w:lvl>
    <w:lvl w:ilvl="8">
      <w:start w:val="1"/>
      <w:numFmt w:val="none"/>
      <w:lvlText w:val="%9"/>
      <w:lvlJc w:val="left"/>
      <w:pPr>
        <w:ind w:left="3060" w:hanging="340"/>
      </w:pPr>
      <w:rPr>
        <w:rFonts w:ascii="Garamond" w:hAnsi="Garamond" w:hint="default"/>
      </w:rPr>
    </w:lvl>
  </w:abstractNum>
  <w:abstractNum w:abstractNumId="25">
    <w:nsid w:val="71B1605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4907FE1"/>
    <w:multiLevelType w:val="hybridMultilevel"/>
    <w:tmpl w:val="EF02A540"/>
    <w:lvl w:ilvl="0" w:tplc="0D7476D4">
      <w:start w:val="1"/>
      <w:numFmt w:val="bullet"/>
      <w:pStyle w:val="QuoteListBullet"/>
      <w:lvlText w:val="•"/>
      <w:lvlJc w:val="left"/>
      <w:pPr>
        <w:ind w:left="1060" w:hanging="360"/>
      </w:pPr>
      <w:rPr>
        <w:rFonts w:ascii="Century" w:hAnsi="Century" w:cs="Times New Roman" w:hint="default"/>
      </w:rPr>
    </w:lvl>
    <w:lvl w:ilvl="1" w:tplc="2674AA5A" w:tentative="1">
      <w:start w:val="1"/>
      <w:numFmt w:val="bullet"/>
      <w:lvlText w:val="o"/>
      <w:lvlJc w:val="left"/>
      <w:pPr>
        <w:ind w:left="1780" w:hanging="360"/>
      </w:pPr>
      <w:rPr>
        <w:rFonts w:ascii="Courier New" w:hAnsi="Courier New" w:cs="Courier New" w:hint="default"/>
      </w:rPr>
    </w:lvl>
    <w:lvl w:ilvl="2" w:tplc="EC6A1D18" w:tentative="1">
      <w:start w:val="1"/>
      <w:numFmt w:val="bullet"/>
      <w:lvlText w:val=""/>
      <w:lvlJc w:val="left"/>
      <w:pPr>
        <w:ind w:left="2500" w:hanging="360"/>
      </w:pPr>
      <w:rPr>
        <w:rFonts w:ascii="Wingdings" w:hAnsi="Wingdings" w:hint="default"/>
      </w:rPr>
    </w:lvl>
    <w:lvl w:ilvl="3" w:tplc="62CA421E" w:tentative="1">
      <w:start w:val="1"/>
      <w:numFmt w:val="bullet"/>
      <w:lvlText w:val=""/>
      <w:lvlJc w:val="left"/>
      <w:pPr>
        <w:ind w:left="3220" w:hanging="360"/>
      </w:pPr>
      <w:rPr>
        <w:rFonts w:ascii="Symbol" w:hAnsi="Symbol" w:hint="default"/>
      </w:rPr>
    </w:lvl>
    <w:lvl w:ilvl="4" w:tplc="ED3CD158" w:tentative="1">
      <w:start w:val="1"/>
      <w:numFmt w:val="bullet"/>
      <w:lvlText w:val="o"/>
      <w:lvlJc w:val="left"/>
      <w:pPr>
        <w:ind w:left="3940" w:hanging="360"/>
      </w:pPr>
      <w:rPr>
        <w:rFonts w:ascii="Courier New" w:hAnsi="Courier New" w:cs="Courier New" w:hint="default"/>
      </w:rPr>
    </w:lvl>
    <w:lvl w:ilvl="5" w:tplc="CE2CEAA8" w:tentative="1">
      <w:start w:val="1"/>
      <w:numFmt w:val="bullet"/>
      <w:lvlText w:val=""/>
      <w:lvlJc w:val="left"/>
      <w:pPr>
        <w:ind w:left="4660" w:hanging="360"/>
      </w:pPr>
      <w:rPr>
        <w:rFonts w:ascii="Wingdings" w:hAnsi="Wingdings" w:hint="default"/>
      </w:rPr>
    </w:lvl>
    <w:lvl w:ilvl="6" w:tplc="D9820910" w:tentative="1">
      <w:start w:val="1"/>
      <w:numFmt w:val="bullet"/>
      <w:lvlText w:val=""/>
      <w:lvlJc w:val="left"/>
      <w:pPr>
        <w:ind w:left="5380" w:hanging="360"/>
      </w:pPr>
      <w:rPr>
        <w:rFonts w:ascii="Symbol" w:hAnsi="Symbol" w:hint="default"/>
      </w:rPr>
    </w:lvl>
    <w:lvl w:ilvl="7" w:tplc="2D52F2DE" w:tentative="1">
      <w:start w:val="1"/>
      <w:numFmt w:val="bullet"/>
      <w:lvlText w:val="o"/>
      <w:lvlJc w:val="left"/>
      <w:pPr>
        <w:ind w:left="6100" w:hanging="360"/>
      </w:pPr>
      <w:rPr>
        <w:rFonts w:ascii="Courier New" w:hAnsi="Courier New" w:cs="Courier New" w:hint="default"/>
      </w:rPr>
    </w:lvl>
    <w:lvl w:ilvl="8" w:tplc="DB36473E" w:tentative="1">
      <w:start w:val="1"/>
      <w:numFmt w:val="bullet"/>
      <w:lvlText w:val=""/>
      <w:lvlJc w:val="left"/>
      <w:pPr>
        <w:ind w:left="6820" w:hanging="360"/>
      </w:pPr>
      <w:rPr>
        <w:rFonts w:ascii="Wingdings" w:hAnsi="Wingdings" w:hint="default"/>
      </w:rPr>
    </w:lvl>
  </w:abstractNum>
  <w:abstractNum w:abstractNumId="27">
    <w:nsid w:val="77C92554"/>
    <w:multiLevelType w:val="multilevel"/>
    <w:tmpl w:val="F70294B2"/>
    <w:numStyleLink w:val="ACILAllenBulletedlist"/>
  </w:abstractNum>
  <w:abstractNum w:abstractNumId="28">
    <w:nsid w:val="7A197097"/>
    <w:multiLevelType w:val="multilevel"/>
    <w:tmpl w:val="8990D484"/>
    <w:styleLink w:val="ACILAllenBoxListNumbering"/>
    <w:lvl w:ilvl="0">
      <w:start w:val="1"/>
      <w:numFmt w:val="decimal"/>
      <w:pStyle w:val="BoxListNumber"/>
      <w:lvlText w:val="%1."/>
      <w:lvlJc w:val="left"/>
      <w:pPr>
        <w:ind w:left="284" w:hanging="284"/>
      </w:pPr>
      <w:rPr>
        <w:rFonts w:asciiTheme="minorHAnsi" w:hAnsiTheme="minorHAnsi" w:hint="default"/>
        <w:caps w:val="0"/>
        <w:strike w:val="0"/>
        <w:dstrike w:val="0"/>
        <w:vanish w:val="0"/>
        <w:color w:val="auto"/>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BoxListNumber2"/>
      <w:lvlText w:val="%2)"/>
      <w:lvlJc w:val="left"/>
      <w:pPr>
        <w:ind w:left="567" w:hanging="283"/>
      </w:pPr>
      <w:rPr>
        <w:rFonts w:hint="default"/>
      </w:rPr>
    </w:lvl>
    <w:lvl w:ilvl="2">
      <w:start w:val="1"/>
      <w:numFmt w:val="lowerRoman"/>
      <w:pStyle w:val="BoxListNumber3"/>
      <w:lvlText w:val="%3)"/>
      <w:lvlJc w:val="left"/>
      <w:pPr>
        <w:ind w:left="851" w:hanging="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num w:numId="1">
    <w:abstractNumId w:val="14"/>
  </w:num>
  <w:num w:numId="2">
    <w:abstractNumId w:val="3"/>
  </w:num>
  <w:num w:numId="3">
    <w:abstractNumId w:val="2"/>
  </w:num>
  <w:num w:numId="4">
    <w:abstractNumId w:val="1"/>
  </w:num>
  <w:num w:numId="5">
    <w:abstractNumId w:val="0"/>
  </w:num>
  <w:num w:numId="6">
    <w:abstractNumId w:val="17"/>
  </w:num>
  <w:num w:numId="7">
    <w:abstractNumId w:val="11"/>
  </w:num>
  <w:num w:numId="8">
    <w:abstractNumId w:val="23"/>
  </w:num>
  <w:num w:numId="9">
    <w:abstractNumId w:val="19"/>
  </w:num>
  <w:num w:numId="10">
    <w:abstractNumId w:val="26"/>
  </w:num>
  <w:num w:numId="11">
    <w:abstractNumId w:val="18"/>
  </w:num>
  <w:num w:numId="12">
    <w:abstractNumId w:val="15"/>
  </w:num>
  <w:num w:numId="13">
    <w:abstractNumId w:val="28"/>
  </w:num>
  <w:num w:numId="14">
    <w:abstractNumId w:val="4"/>
  </w:num>
  <w:num w:numId="15">
    <w:abstractNumId w:val="20"/>
  </w:num>
  <w:num w:numId="16">
    <w:abstractNumId w:val="9"/>
  </w:num>
  <w:num w:numId="17">
    <w:abstractNumId w:val="24"/>
  </w:num>
  <w:num w:numId="18">
    <w:abstractNumId w:val="7"/>
  </w:num>
  <w:num w:numId="19">
    <w:abstractNumId w:val="8"/>
  </w:num>
  <w:num w:numId="20">
    <w:abstractNumId w:val="6"/>
  </w:num>
  <w:num w:numId="21">
    <w:abstractNumId w:val="13"/>
  </w:num>
  <w:num w:numId="22">
    <w:abstractNumId w:val="10"/>
  </w:num>
  <w:num w:numId="23">
    <w:abstractNumId w:val="22"/>
  </w:num>
  <w:num w:numId="24">
    <w:abstractNumId w:val="20"/>
  </w:num>
  <w:num w:numId="25">
    <w:abstractNumId w:val="5"/>
  </w:num>
  <w:num w:numId="26">
    <w:abstractNumId w:val="15"/>
  </w:num>
  <w:num w:numId="27">
    <w:abstractNumId w:val="28"/>
  </w:num>
  <w:num w:numId="28">
    <w:abstractNumId w:val="18"/>
  </w:num>
  <w:num w:numId="29">
    <w:abstractNumId w:val="9"/>
  </w:num>
  <w:num w:numId="30">
    <w:abstractNumId w:val="18"/>
  </w:num>
  <w:num w:numId="31">
    <w:abstractNumId w:val="18"/>
  </w:num>
  <w:num w:numId="32">
    <w:abstractNumId w:val="18"/>
  </w:num>
  <w:num w:numId="33">
    <w:abstractNumId w:val="15"/>
  </w:num>
  <w:num w:numId="34">
    <w:abstractNumId w:val="28"/>
  </w:num>
  <w:num w:numId="35">
    <w:abstractNumId w:val="15"/>
  </w:num>
  <w:num w:numId="36">
    <w:abstractNumId w:val="28"/>
  </w:num>
  <w:num w:numId="37">
    <w:abstractNumId w:val="20"/>
  </w:num>
  <w:num w:numId="38">
    <w:abstractNumId w:val="20"/>
  </w:num>
  <w:num w:numId="39">
    <w:abstractNumId w:val="24"/>
  </w:num>
  <w:num w:numId="40">
    <w:abstractNumId w:val="4"/>
  </w:num>
  <w:num w:numId="41">
    <w:abstractNumId w:val="4"/>
  </w:num>
  <w:num w:numId="42">
    <w:abstractNumId w:val="24"/>
  </w:num>
  <w:num w:numId="43">
    <w:abstractNumId w:val="16"/>
  </w:num>
  <w:num w:numId="44">
    <w:abstractNumId w:val="27"/>
  </w:num>
  <w:num w:numId="45">
    <w:abstractNumId w:val="12"/>
  </w:num>
  <w:num w:numId="46">
    <w:abstractNumId w:val="21"/>
  </w:num>
  <w:num w:numId="47">
    <w:abstractNumId w:val="25"/>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AU" w:vendorID="8" w:dllVersion="513" w:checkStyle="1"/>
  <w:activeWritingStyle w:appName="MSWord" w:lang="en-US" w:vendorID="8" w:dllVersion="513" w:checkStyle="1"/>
  <w:attachedTemplate r:id="rId1"/>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902"/>
  <w:clickAndTypeStyle w:val="BodyText"/>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F5"/>
    <w:rsid w:val="0000046D"/>
    <w:rsid w:val="00000559"/>
    <w:rsid w:val="00000948"/>
    <w:rsid w:val="00002E51"/>
    <w:rsid w:val="00003E03"/>
    <w:rsid w:val="00004042"/>
    <w:rsid w:val="00006363"/>
    <w:rsid w:val="00006400"/>
    <w:rsid w:val="0000663D"/>
    <w:rsid w:val="00006C06"/>
    <w:rsid w:val="00006C8F"/>
    <w:rsid w:val="00007236"/>
    <w:rsid w:val="000072CB"/>
    <w:rsid w:val="0000736D"/>
    <w:rsid w:val="00010218"/>
    <w:rsid w:val="00010465"/>
    <w:rsid w:val="000105BD"/>
    <w:rsid w:val="000106A0"/>
    <w:rsid w:val="00011609"/>
    <w:rsid w:val="00011802"/>
    <w:rsid w:val="000123D9"/>
    <w:rsid w:val="00012BCD"/>
    <w:rsid w:val="0001331B"/>
    <w:rsid w:val="00013650"/>
    <w:rsid w:val="000136F0"/>
    <w:rsid w:val="00013FBB"/>
    <w:rsid w:val="00014E1C"/>
    <w:rsid w:val="00015505"/>
    <w:rsid w:val="00015A92"/>
    <w:rsid w:val="00015BB6"/>
    <w:rsid w:val="000169D3"/>
    <w:rsid w:val="00016B2F"/>
    <w:rsid w:val="00017A12"/>
    <w:rsid w:val="00020428"/>
    <w:rsid w:val="0002132D"/>
    <w:rsid w:val="00022213"/>
    <w:rsid w:val="00022A6A"/>
    <w:rsid w:val="000236F1"/>
    <w:rsid w:val="000237AA"/>
    <w:rsid w:val="00023F8E"/>
    <w:rsid w:val="000264D1"/>
    <w:rsid w:val="00027353"/>
    <w:rsid w:val="00027498"/>
    <w:rsid w:val="0002788B"/>
    <w:rsid w:val="00027E91"/>
    <w:rsid w:val="000312A2"/>
    <w:rsid w:val="0003171E"/>
    <w:rsid w:val="0003234D"/>
    <w:rsid w:val="000328EF"/>
    <w:rsid w:val="00032A3B"/>
    <w:rsid w:val="00032E53"/>
    <w:rsid w:val="000334E6"/>
    <w:rsid w:val="00033F6D"/>
    <w:rsid w:val="00034AA2"/>
    <w:rsid w:val="00035B52"/>
    <w:rsid w:val="00035BF2"/>
    <w:rsid w:val="00036035"/>
    <w:rsid w:val="00036E22"/>
    <w:rsid w:val="000370A1"/>
    <w:rsid w:val="00037A1A"/>
    <w:rsid w:val="00041020"/>
    <w:rsid w:val="00041A27"/>
    <w:rsid w:val="000421C6"/>
    <w:rsid w:val="0004299F"/>
    <w:rsid w:val="00044119"/>
    <w:rsid w:val="0004427B"/>
    <w:rsid w:val="00044612"/>
    <w:rsid w:val="00044CBA"/>
    <w:rsid w:val="00046DA1"/>
    <w:rsid w:val="00051252"/>
    <w:rsid w:val="000518F6"/>
    <w:rsid w:val="0005236E"/>
    <w:rsid w:val="00052939"/>
    <w:rsid w:val="00052E59"/>
    <w:rsid w:val="000538B3"/>
    <w:rsid w:val="00053D21"/>
    <w:rsid w:val="000542F8"/>
    <w:rsid w:val="00055558"/>
    <w:rsid w:val="00055891"/>
    <w:rsid w:val="00056996"/>
    <w:rsid w:val="00056AE7"/>
    <w:rsid w:val="00056BC6"/>
    <w:rsid w:val="00057842"/>
    <w:rsid w:val="00057983"/>
    <w:rsid w:val="00057C81"/>
    <w:rsid w:val="00057E45"/>
    <w:rsid w:val="0006074A"/>
    <w:rsid w:val="00061DDB"/>
    <w:rsid w:val="000625A6"/>
    <w:rsid w:val="00062653"/>
    <w:rsid w:val="00062A86"/>
    <w:rsid w:val="00063605"/>
    <w:rsid w:val="00063FEC"/>
    <w:rsid w:val="0006461D"/>
    <w:rsid w:val="00065416"/>
    <w:rsid w:val="00065DC0"/>
    <w:rsid w:val="000665DA"/>
    <w:rsid w:val="00066725"/>
    <w:rsid w:val="0006690D"/>
    <w:rsid w:val="000675F5"/>
    <w:rsid w:val="00071EFD"/>
    <w:rsid w:val="000729F9"/>
    <w:rsid w:val="00072F4B"/>
    <w:rsid w:val="00075909"/>
    <w:rsid w:val="000760EB"/>
    <w:rsid w:val="000765A4"/>
    <w:rsid w:val="00077484"/>
    <w:rsid w:val="00077E2B"/>
    <w:rsid w:val="00077FD4"/>
    <w:rsid w:val="000809A2"/>
    <w:rsid w:val="00080A48"/>
    <w:rsid w:val="00082611"/>
    <w:rsid w:val="00082721"/>
    <w:rsid w:val="00083A42"/>
    <w:rsid w:val="00083B15"/>
    <w:rsid w:val="00083E33"/>
    <w:rsid w:val="00085AE8"/>
    <w:rsid w:val="00085E29"/>
    <w:rsid w:val="00085E9A"/>
    <w:rsid w:val="00085FC8"/>
    <w:rsid w:val="00086357"/>
    <w:rsid w:val="000878BE"/>
    <w:rsid w:val="000878E2"/>
    <w:rsid w:val="000918B6"/>
    <w:rsid w:val="00092F7A"/>
    <w:rsid w:val="00093175"/>
    <w:rsid w:val="000935B7"/>
    <w:rsid w:val="00093AA2"/>
    <w:rsid w:val="000948AA"/>
    <w:rsid w:val="00094D19"/>
    <w:rsid w:val="00096062"/>
    <w:rsid w:val="000963AF"/>
    <w:rsid w:val="000970BB"/>
    <w:rsid w:val="00097336"/>
    <w:rsid w:val="00097DCF"/>
    <w:rsid w:val="000A1ABC"/>
    <w:rsid w:val="000A1E51"/>
    <w:rsid w:val="000A2791"/>
    <w:rsid w:val="000A28C6"/>
    <w:rsid w:val="000A2A65"/>
    <w:rsid w:val="000A43F3"/>
    <w:rsid w:val="000A5B22"/>
    <w:rsid w:val="000A60B2"/>
    <w:rsid w:val="000A68E3"/>
    <w:rsid w:val="000A6DD2"/>
    <w:rsid w:val="000A6EC1"/>
    <w:rsid w:val="000A7691"/>
    <w:rsid w:val="000B0871"/>
    <w:rsid w:val="000B0906"/>
    <w:rsid w:val="000B1C1D"/>
    <w:rsid w:val="000B1C6E"/>
    <w:rsid w:val="000B1EB2"/>
    <w:rsid w:val="000B20BB"/>
    <w:rsid w:val="000B2F0A"/>
    <w:rsid w:val="000B313E"/>
    <w:rsid w:val="000B3612"/>
    <w:rsid w:val="000B47A8"/>
    <w:rsid w:val="000B7DD9"/>
    <w:rsid w:val="000C02D5"/>
    <w:rsid w:val="000C037F"/>
    <w:rsid w:val="000C0A7E"/>
    <w:rsid w:val="000C0F8A"/>
    <w:rsid w:val="000C1C10"/>
    <w:rsid w:val="000C1CEC"/>
    <w:rsid w:val="000C2BE2"/>
    <w:rsid w:val="000C3386"/>
    <w:rsid w:val="000C3FD1"/>
    <w:rsid w:val="000C55C6"/>
    <w:rsid w:val="000C6126"/>
    <w:rsid w:val="000C79BE"/>
    <w:rsid w:val="000D041D"/>
    <w:rsid w:val="000D089C"/>
    <w:rsid w:val="000D0B31"/>
    <w:rsid w:val="000D0ED6"/>
    <w:rsid w:val="000D1108"/>
    <w:rsid w:val="000D2199"/>
    <w:rsid w:val="000D232D"/>
    <w:rsid w:val="000D4961"/>
    <w:rsid w:val="000D4E9F"/>
    <w:rsid w:val="000D569D"/>
    <w:rsid w:val="000D5822"/>
    <w:rsid w:val="000D5EC6"/>
    <w:rsid w:val="000D64F2"/>
    <w:rsid w:val="000D7296"/>
    <w:rsid w:val="000D74B4"/>
    <w:rsid w:val="000D76C5"/>
    <w:rsid w:val="000E09EE"/>
    <w:rsid w:val="000E0ABB"/>
    <w:rsid w:val="000E1172"/>
    <w:rsid w:val="000E21BF"/>
    <w:rsid w:val="000E3AA8"/>
    <w:rsid w:val="000E443B"/>
    <w:rsid w:val="000E5087"/>
    <w:rsid w:val="000E5371"/>
    <w:rsid w:val="000E5E6D"/>
    <w:rsid w:val="000E5F92"/>
    <w:rsid w:val="000E62CF"/>
    <w:rsid w:val="000E6C41"/>
    <w:rsid w:val="000E6D8A"/>
    <w:rsid w:val="000E73C7"/>
    <w:rsid w:val="000E7849"/>
    <w:rsid w:val="000F0BEF"/>
    <w:rsid w:val="000F1FE5"/>
    <w:rsid w:val="000F2207"/>
    <w:rsid w:val="000F2C20"/>
    <w:rsid w:val="000F3384"/>
    <w:rsid w:val="000F3464"/>
    <w:rsid w:val="000F3563"/>
    <w:rsid w:val="000F416E"/>
    <w:rsid w:val="000F4AFE"/>
    <w:rsid w:val="000F4C77"/>
    <w:rsid w:val="000F5130"/>
    <w:rsid w:val="000F63DF"/>
    <w:rsid w:val="000F648A"/>
    <w:rsid w:val="000F660C"/>
    <w:rsid w:val="000F7778"/>
    <w:rsid w:val="000F787D"/>
    <w:rsid w:val="00100957"/>
    <w:rsid w:val="001029C7"/>
    <w:rsid w:val="00103E70"/>
    <w:rsid w:val="00103F3B"/>
    <w:rsid w:val="00105F7E"/>
    <w:rsid w:val="001061B1"/>
    <w:rsid w:val="00107275"/>
    <w:rsid w:val="00110508"/>
    <w:rsid w:val="001110FC"/>
    <w:rsid w:val="00112820"/>
    <w:rsid w:val="00113E7C"/>
    <w:rsid w:val="00114070"/>
    <w:rsid w:val="00114513"/>
    <w:rsid w:val="001154B8"/>
    <w:rsid w:val="0011769E"/>
    <w:rsid w:val="00120EA9"/>
    <w:rsid w:val="00121594"/>
    <w:rsid w:val="001215A0"/>
    <w:rsid w:val="00121E7F"/>
    <w:rsid w:val="0012204F"/>
    <w:rsid w:val="001222CF"/>
    <w:rsid w:val="00124245"/>
    <w:rsid w:val="001243C8"/>
    <w:rsid w:val="00124F1A"/>
    <w:rsid w:val="00124FCE"/>
    <w:rsid w:val="00125287"/>
    <w:rsid w:val="00125B64"/>
    <w:rsid w:val="00126062"/>
    <w:rsid w:val="0012693A"/>
    <w:rsid w:val="00126D3F"/>
    <w:rsid w:val="0012754C"/>
    <w:rsid w:val="00127C13"/>
    <w:rsid w:val="00127F42"/>
    <w:rsid w:val="0013094A"/>
    <w:rsid w:val="00130ED9"/>
    <w:rsid w:val="001316DD"/>
    <w:rsid w:val="00131CAC"/>
    <w:rsid w:val="00132571"/>
    <w:rsid w:val="0013304B"/>
    <w:rsid w:val="00133715"/>
    <w:rsid w:val="00134DE4"/>
    <w:rsid w:val="001352C6"/>
    <w:rsid w:val="001356EE"/>
    <w:rsid w:val="00136464"/>
    <w:rsid w:val="00137ACD"/>
    <w:rsid w:val="0014015A"/>
    <w:rsid w:val="0014028B"/>
    <w:rsid w:val="00140F6F"/>
    <w:rsid w:val="001411E3"/>
    <w:rsid w:val="00142339"/>
    <w:rsid w:val="00142B98"/>
    <w:rsid w:val="00142C38"/>
    <w:rsid w:val="00145BB3"/>
    <w:rsid w:val="0014609A"/>
    <w:rsid w:val="001463FC"/>
    <w:rsid w:val="00146E90"/>
    <w:rsid w:val="00147385"/>
    <w:rsid w:val="00150E7D"/>
    <w:rsid w:val="00151754"/>
    <w:rsid w:val="00154834"/>
    <w:rsid w:val="00154999"/>
    <w:rsid w:val="00155BCE"/>
    <w:rsid w:val="00155CE4"/>
    <w:rsid w:val="001564C1"/>
    <w:rsid w:val="00157EF2"/>
    <w:rsid w:val="00160E03"/>
    <w:rsid w:val="00161ED8"/>
    <w:rsid w:val="0016244C"/>
    <w:rsid w:val="00163331"/>
    <w:rsid w:val="00163DAB"/>
    <w:rsid w:val="00163F44"/>
    <w:rsid w:val="00163FC2"/>
    <w:rsid w:val="00164D0A"/>
    <w:rsid w:val="00167BFA"/>
    <w:rsid w:val="00167D09"/>
    <w:rsid w:val="00167E48"/>
    <w:rsid w:val="00170270"/>
    <w:rsid w:val="001705AE"/>
    <w:rsid w:val="001707C6"/>
    <w:rsid w:val="00172197"/>
    <w:rsid w:val="001723F3"/>
    <w:rsid w:val="0017329E"/>
    <w:rsid w:val="00173543"/>
    <w:rsid w:val="00173564"/>
    <w:rsid w:val="00174D39"/>
    <w:rsid w:val="00174D86"/>
    <w:rsid w:val="00174F2A"/>
    <w:rsid w:val="001751DA"/>
    <w:rsid w:val="0017642D"/>
    <w:rsid w:val="00180993"/>
    <w:rsid w:val="00180AC7"/>
    <w:rsid w:val="00182A0A"/>
    <w:rsid w:val="00183157"/>
    <w:rsid w:val="00183EA8"/>
    <w:rsid w:val="0018516F"/>
    <w:rsid w:val="0018527D"/>
    <w:rsid w:val="00185A9D"/>
    <w:rsid w:val="00185B21"/>
    <w:rsid w:val="00185F69"/>
    <w:rsid w:val="0018702E"/>
    <w:rsid w:val="00187857"/>
    <w:rsid w:val="0019094D"/>
    <w:rsid w:val="00190F90"/>
    <w:rsid w:val="0019214A"/>
    <w:rsid w:val="001928EF"/>
    <w:rsid w:val="001929AB"/>
    <w:rsid w:val="00192D0E"/>
    <w:rsid w:val="00192E84"/>
    <w:rsid w:val="001934E3"/>
    <w:rsid w:val="00194049"/>
    <w:rsid w:val="00194DDF"/>
    <w:rsid w:val="00195065"/>
    <w:rsid w:val="0019587D"/>
    <w:rsid w:val="00196D42"/>
    <w:rsid w:val="00196DA0"/>
    <w:rsid w:val="00196E30"/>
    <w:rsid w:val="00197106"/>
    <w:rsid w:val="001972DA"/>
    <w:rsid w:val="0019791B"/>
    <w:rsid w:val="00197A58"/>
    <w:rsid w:val="00197C26"/>
    <w:rsid w:val="001A07AE"/>
    <w:rsid w:val="001A0833"/>
    <w:rsid w:val="001A1278"/>
    <w:rsid w:val="001A3A45"/>
    <w:rsid w:val="001A3B74"/>
    <w:rsid w:val="001A4845"/>
    <w:rsid w:val="001A4B03"/>
    <w:rsid w:val="001A4DD9"/>
    <w:rsid w:val="001A506C"/>
    <w:rsid w:val="001A583F"/>
    <w:rsid w:val="001A5A4B"/>
    <w:rsid w:val="001A759A"/>
    <w:rsid w:val="001B0542"/>
    <w:rsid w:val="001B14CA"/>
    <w:rsid w:val="001B1599"/>
    <w:rsid w:val="001B1675"/>
    <w:rsid w:val="001B1C96"/>
    <w:rsid w:val="001B30E6"/>
    <w:rsid w:val="001B30F2"/>
    <w:rsid w:val="001B4630"/>
    <w:rsid w:val="001B52A9"/>
    <w:rsid w:val="001B5633"/>
    <w:rsid w:val="001B6B68"/>
    <w:rsid w:val="001B6CEA"/>
    <w:rsid w:val="001C0B4C"/>
    <w:rsid w:val="001C0D6B"/>
    <w:rsid w:val="001C1638"/>
    <w:rsid w:val="001C18B1"/>
    <w:rsid w:val="001C4048"/>
    <w:rsid w:val="001C4BBE"/>
    <w:rsid w:val="001C6182"/>
    <w:rsid w:val="001C638B"/>
    <w:rsid w:val="001C6450"/>
    <w:rsid w:val="001D03DD"/>
    <w:rsid w:val="001D0D96"/>
    <w:rsid w:val="001D0E75"/>
    <w:rsid w:val="001D12A0"/>
    <w:rsid w:val="001D14DA"/>
    <w:rsid w:val="001D1EF8"/>
    <w:rsid w:val="001D2022"/>
    <w:rsid w:val="001D25B5"/>
    <w:rsid w:val="001D2D53"/>
    <w:rsid w:val="001D443B"/>
    <w:rsid w:val="001D497D"/>
    <w:rsid w:val="001D4BCE"/>
    <w:rsid w:val="001D5471"/>
    <w:rsid w:val="001D65AF"/>
    <w:rsid w:val="001D6983"/>
    <w:rsid w:val="001D6EAD"/>
    <w:rsid w:val="001D7253"/>
    <w:rsid w:val="001D7652"/>
    <w:rsid w:val="001D78C2"/>
    <w:rsid w:val="001D7B08"/>
    <w:rsid w:val="001D7F06"/>
    <w:rsid w:val="001E102F"/>
    <w:rsid w:val="001E1D95"/>
    <w:rsid w:val="001E1E1C"/>
    <w:rsid w:val="001E29BE"/>
    <w:rsid w:val="001E31EB"/>
    <w:rsid w:val="001E5901"/>
    <w:rsid w:val="001E6345"/>
    <w:rsid w:val="001E73A3"/>
    <w:rsid w:val="001F0A2F"/>
    <w:rsid w:val="001F1909"/>
    <w:rsid w:val="001F1B54"/>
    <w:rsid w:val="001F244E"/>
    <w:rsid w:val="001F283A"/>
    <w:rsid w:val="001F2C7C"/>
    <w:rsid w:val="001F34E0"/>
    <w:rsid w:val="001F3A05"/>
    <w:rsid w:val="001F3CAD"/>
    <w:rsid w:val="001F3DA7"/>
    <w:rsid w:val="001F3FF2"/>
    <w:rsid w:val="001F5054"/>
    <w:rsid w:val="001F50FF"/>
    <w:rsid w:val="001F5990"/>
    <w:rsid w:val="001F5F95"/>
    <w:rsid w:val="001F6EAD"/>
    <w:rsid w:val="002007D6"/>
    <w:rsid w:val="002010CA"/>
    <w:rsid w:val="00202D37"/>
    <w:rsid w:val="00202D57"/>
    <w:rsid w:val="0020324A"/>
    <w:rsid w:val="002045A1"/>
    <w:rsid w:val="00204B45"/>
    <w:rsid w:val="00204EC2"/>
    <w:rsid w:val="00204EF6"/>
    <w:rsid w:val="00210936"/>
    <w:rsid w:val="002110CE"/>
    <w:rsid w:val="00211324"/>
    <w:rsid w:val="00211929"/>
    <w:rsid w:val="00212830"/>
    <w:rsid w:val="00215872"/>
    <w:rsid w:val="002158DB"/>
    <w:rsid w:val="002177CA"/>
    <w:rsid w:val="002179D6"/>
    <w:rsid w:val="00217BEB"/>
    <w:rsid w:val="00217E52"/>
    <w:rsid w:val="002209DD"/>
    <w:rsid w:val="002217E2"/>
    <w:rsid w:val="00222167"/>
    <w:rsid w:val="00222383"/>
    <w:rsid w:val="00222F74"/>
    <w:rsid w:val="00223197"/>
    <w:rsid w:val="00223208"/>
    <w:rsid w:val="00224FFC"/>
    <w:rsid w:val="00224FFD"/>
    <w:rsid w:val="002253F4"/>
    <w:rsid w:val="002254BC"/>
    <w:rsid w:val="00225A42"/>
    <w:rsid w:val="00226419"/>
    <w:rsid w:val="00230CE1"/>
    <w:rsid w:val="00231081"/>
    <w:rsid w:val="00231325"/>
    <w:rsid w:val="00231F24"/>
    <w:rsid w:val="0023240F"/>
    <w:rsid w:val="002331A0"/>
    <w:rsid w:val="0023392C"/>
    <w:rsid w:val="0023401F"/>
    <w:rsid w:val="00235A7E"/>
    <w:rsid w:val="00235B0F"/>
    <w:rsid w:val="0023635B"/>
    <w:rsid w:val="00237FD8"/>
    <w:rsid w:val="0024019A"/>
    <w:rsid w:val="00240227"/>
    <w:rsid w:val="002420FE"/>
    <w:rsid w:val="00242751"/>
    <w:rsid w:val="002434DE"/>
    <w:rsid w:val="00243B4F"/>
    <w:rsid w:val="00245E9E"/>
    <w:rsid w:val="00246127"/>
    <w:rsid w:val="0024614C"/>
    <w:rsid w:val="00246717"/>
    <w:rsid w:val="00247AC8"/>
    <w:rsid w:val="00247CA8"/>
    <w:rsid w:val="002517FA"/>
    <w:rsid w:val="00252673"/>
    <w:rsid w:val="002542FC"/>
    <w:rsid w:val="002544CB"/>
    <w:rsid w:val="002549C9"/>
    <w:rsid w:val="002549DB"/>
    <w:rsid w:val="00255018"/>
    <w:rsid w:val="0025509C"/>
    <w:rsid w:val="0025642B"/>
    <w:rsid w:val="002564E2"/>
    <w:rsid w:val="00256693"/>
    <w:rsid w:val="00257095"/>
    <w:rsid w:val="00257265"/>
    <w:rsid w:val="0025753D"/>
    <w:rsid w:val="00262727"/>
    <w:rsid w:val="002627B2"/>
    <w:rsid w:val="00262C34"/>
    <w:rsid w:val="00262E61"/>
    <w:rsid w:val="00262E8E"/>
    <w:rsid w:val="00263398"/>
    <w:rsid w:val="00263662"/>
    <w:rsid w:val="00263D3E"/>
    <w:rsid w:val="002646EE"/>
    <w:rsid w:val="00265703"/>
    <w:rsid w:val="0026591D"/>
    <w:rsid w:val="00265F13"/>
    <w:rsid w:val="00267EB3"/>
    <w:rsid w:val="002705E9"/>
    <w:rsid w:val="0027109A"/>
    <w:rsid w:val="002719EC"/>
    <w:rsid w:val="002727BE"/>
    <w:rsid w:val="00273883"/>
    <w:rsid w:val="00273B45"/>
    <w:rsid w:val="002746B5"/>
    <w:rsid w:val="00274EA1"/>
    <w:rsid w:val="00276093"/>
    <w:rsid w:val="00276484"/>
    <w:rsid w:val="0027650C"/>
    <w:rsid w:val="00276CA0"/>
    <w:rsid w:val="0027704A"/>
    <w:rsid w:val="00280A2F"/>
    <w:rsid w:val="00281464"/>
    <w:rsid w:val="00281612"/>
    <w:rsid w:val="0028198A"/>
    <w:rsid w:val="00281D95"/>
    <w:rsid w:val="00283205"/>
    <w:rsid w:val="00283BB3"/>
    <w:rsid w:val="00284C30"/>
    <w:rsid w:val="0028568F"/>
    <w:rsid w:val="0028665F"/>
    <w:rsid w:val="0028689C"/>
    <w:rsid w:val="002870D8"/>
    <w:rsid w:val="00287ECF"/>
    <w:rsid w:val="00287F9F"/>
    <w:rsid w:val="002916ED"/>
    <w:rsid w:val="00291C45"/>
    <w:rsid w:val="002923C2"/>
    <w:rsid w:val="00293631"/>
    <w:rsid w:val="00293CA3"/>
    <w:rsid w:val="00294A97"/>
    <w:rsid w:val="0029538B"/>
    <w:rsid w:val="0029559B"/>
    <w:rsid w:val="00295BBD"/>
    <w:rsid w:val="002963A0"/>
    <w:rsid w:val="00296C77"/>
    <w:rsid w:val="00297692"/>
    <w:rsid w:val="00297858"/>
    <w:rsid w:val="00297CA4"/>
    <w:rsid w:val="002A12F9"/>
    <w:rsid w:val="002A1C6F"/>
    <w:rsid w:val="002A1F82"/>
    <w:rsid w:val="002A4A45"/>
    <w:rsid w:val="002A60D2"/>
    <w:rsid w:val="002A7338"/>
    <w:rsid w:val="002A7487"/>
    <w:rsid w:val="002B07D0"/>
    <w:rsid w:val="002B093B"/>
    <w:rsid w:val="002B0EF7"/>
    <w:rsid w:val="002B1283"/>
    <w:rsid w:val="002B1753"/>
    <w:rsid w:val="002B193A"/>
    <w:rsid w:val="002B1B60"/>
    <w:rsid w:val="002B223E"/>
    <w:rsid w:val="002B3366"/>
    <w:rsid w:val="002B3680"/>
    <w:rsid w:val="002B451B"/>
    <w:rsid w:val="002B4799"/>
    <w:rsid w:val="002B47CD"/>
    <w:rsid w:val="002B574C"/>
    <w:rsid w:val="002B5F47"/>
    <w:rsid w:val="002B67E3"/>
    <w:rsid w:val="002B6DA3"/>
    <w:rsid w:val="002B6E4D"/>
    <w:rsid w:val="002B7C68"/>
    <w:rsid w:val="002C13D0"/>
    <w:rsid w:val="002C1987"/>
    <w:rsid w:val="002C1EC7"/>
    <w:rsid w:val="002C26B5"/>
    <w:rsid w:val="002C27E5"/>
    <w:rsid w:val="002C2E2A"/>
    <w:rsid w:val="002C3075"/>
    <w:rsid w:val="002C4A62"/>
    <w:rsid w:val="002C4C21"/>
    <w:rsid w:val="002D0366"/>
    <w:rsid w:val="002D0F6E"/>
    <w:rsid w:val="002D2388"/>
    <w:rsid w:val="002D2D7E"/>
    <w:rsid w:val="002D3788"/>
    <w:rsid w:val="002D430E"/>
    <w:rsid w:val="002D4FF0"/>
    <w:rsid w:val="002D54D4"/>
    <w:rsid w:val="002D6037"/>
    <w:rsid w:val="002D629D"/>
    <w:rsid w:val="002D6E43"/>
    <w:rsid w:val="002D73F3"/>
    <w:rsid w:val="002E075D"/>
    <w:rsid w:val="002E149D"/>
    <w:rsid w:val="002E17B7"/>
    <w:rsid w:val="002E3E79"/>
    <w:rsid w:val="002E473D"/>
    <w:rsid w:val="002E4C47"/>
    <w:rsid w:val="002E60A1"/>
    <w:rsid w:val="002F04FD"/>
    <w:rsid w:val="002F077A"/>
    <w:rsid w:val="002F13CD"/>
    <w:rsid w:val="002F146F"/>
    <w:rsid w:val="002F218C"/>
    <w:rsid w:val="002F25DD"/>
    <w:rsid w:val="002F2D03"/>
    <w:rsid w:val="002F3B76"/>
    <w:rsid w:val="002F49CF"/>
    <w:rsid w:val="002F525D"/>
    <w:rsid w:val="002F6290"/>
    <w:rsid w:val="002F6C4B"/>
    <w:rsid w:val="002F7279"/>
    <w:rsid w:val="002F733E"/>
    <w:rsid w:val="002F7DB4"/>
    <w:rsid w:val="003006AA"/>
    <w:rsid w:val="003014B0"/>
    <w:rsid w:val="0030200D"/>
    <w:rsid w:val="00303B23"/>
    <w:rsid w:val="00304060"/>
    <w:rsid w:val="0030412E"/>
    <w:rsid w:val="00304BD9"/>
    <w:rsid w:val="0030502C"/>
    <w:rsid w:val="0030598C"/>
    <w:rsid w:val="00307348"/>
    <w:rsid w:val="00307BC7"/>
    <w:rsid w:val="003100D3"/>
    <w:rsid w:val="00311606"/>
    <w:rsid w:val="00311E4A"/>
    <w:rsid w:val="00314FF8"/>
    <w:rsid w:val="00316552"/>
    <w:rsid w:val="00316C29"/>
    <w:rsid w:val="00316CA8"/>
    <w:rsid w:val="00316DEF"/>
    <w:rsid w:val="0032081A"/>
    <w:rsid w:val="0032089A"/>
    <w:rsid w:val="00320A8D"/>
    <w:rsid w:val="003212B3"/>
    <w:rsid w:val="00325597"/>
    <w:rsid w:val="00325AD7"/>
    <w:rsid w:val="00326A1E"/>
    <w:rsid w:val="003270A4"/>
    <w:rsid w:val="003270AC"/>
    <w:rsid w:val="003274FB"/>
    <w:rsid w:val="0032756C"/>
    <w:rsid w:val="00327EC4"/>
    <w:rsid w:val="00330247"/>
    <w:rsid w:val="003302AA"/>
    <w:rsid w:val="00330D68"/>
    <w:rsid w:val="00331609"/>
    <w:rsid w:val="0033190B"/>
    <w:rsid w:val="003320E7"/>
    <w:rsid w:val="003333F3"/>
    <w:rsid w:val="0033440D"/>
    <w:rsid w:val="00335789"/>
    <w:rsid w:val="00336145"/>
    <w:rsid w:val="003361C2"/>
    <w:rsid w:val="00336430"/>
    <w:rsid w:val="00337486"/>
    <w:rsid w:val="00340995"/>
    <w:rsid w:val="0034117A"/>
    <w:rsid w:val="003414A0"/>
    <w:rsid w:val="003421D0"/>
    <w:rsid w:val="003427F4"/>
    <w:rsid w:val="00342B6D"/>
    <w:rsid w:val="00342D87"/>
    <w:rsid w:val="00343AFC"/>
    <w:rsid w:val="0034521A"/>
    <w:rsid w:val="00347554"/>
    <w:rsid w:val="00350A9B"/>
    <w:rsid w:val="00351057"/>
    <w:rsid w:val="003518B1"/>
    <w:rsid w:val="00351B0D"/>
    <w:rsid w:val="00351C53"/>
    <w:rsid w:val="00351E9C"/>
    <w:rsid w:val="00351ED2"/>
    <w:rsid w:val="0035282D"/>
    <w:rsid w:val="00352AE5"/>
    <w:rsid w:val="00353CED"/>
    <w:rsid w:val="0035408A"/>
    <w:rsid w:val="00354DEA"/>
    <w:rsid w:val="00355136"/>
    <w:rsid w:val="003567E8"/>
    <w:rsid w:val="00356847"/>
    <w:rsid w:val="003568EA"/>
    <w:rsid w:val="00356CE8"/>
    <w:rsid w:val="00356E22"/>
    <w:rsid w:val="00357E18"/>
    <w:rsid w:val="00360767"/>
    <w:rsid w:val="00361771"/>
    <w:rsid w:val="003629D7"/>
    <w:rsid w:val="00362F9E"/>
    <w:rsid w:val="00364094"/>
    <w:rsid w:val="00364ABD"/>
    <w:rsid w:val="00365BC5"/>
    <w:rsid w:val="0037111B"/>
    <w:rsid w:val="003711D7"/>
    <w:rsid w:val="003717B4"/>
    <w:rsid w:val="003735E4"/>
    <w:rsid w:val="003739E4"/>
    <w:rsid w:val="0037515C"/>
    <w:rsid w:val="00375384"/>
    <w:rsid w:val="00376472"/>
    <w:rsid w:val="00376A10"/>
    <w:rsid w:val="00377D4E"/>
    <w:rsid w:val="003800C1"/>
    <w:rsid w:val="00380A27"/>
    <w:rsid w:val="00381035"/>
    <w:rsid w:val="003815B6"/>
    <w:rsid w:val="00381918"/>
    <w:rsid w:val="0038220C"/>
    <w:rsid w:val="0038322D"/>
    <w:rsid w:val="00383C05"/>
    <w:rsid w:val="00383C13"/>
    <w:rsid w:val="00384415"/>
    <w:rsid w:val="00384524"/>
    <w:rsid w:val="00386F0E"/>
    <w:rsid w:val="003876CA"/>
    <w:rsid w:val="00387A8E"/>
    <w:rsid w:val="00387D13"/>
    <w:rsid w:val="00393199"/>
    <w:rsid w:val="0039348A"/>
    <w:rsid w:val="003934C4"/>
    <w:rsid w:val="00393698"/>
    <w:rsid w:val="003947B1"/>
    <w:rsid w:val="00394B52"/>
    <w:rsid w:val="00395B9D"/>
    <w:rsid w:val="003960C2"/>
    <w:rsid w:val="0039656D"/>
    <w:rsid w:val="003966FC"/>
    <w:rsid w:val="0039699F"/>
    <w:rsid w:val="003974AC"/>
    <w:rsid w:val="003A074E"/>
    <w:rsid w:val="003A0A41"/>
    <w:rsid w:val="003A2716"/>
    <w:rsid w:val="003A44F8"/>
    <w:rsid w:val="003A4910"/>
    <w:rsid w:val="003A4C96"/>
    <w:rsid w:val="003A5EB2"/>
    <w:rsid w:val="003A691A"/>
    <w:rsid w:val="003A6EE6"/>
    <w:rsid w:val="003A762C"/>
    <w:rsid w:val="003B023E"/>
    <w:rsid w:val="003B0CFE"/>
    <w:rsid w:val="003B0D26"/>
    <w:rsid w:val="003B164C"/>
    <w:rsid w:val="003B2B3F"/>
    <w:rsid w:val="003B2EF4"/>
    <w:rsid w:val="003B36F9"/>
    <w:rsid w:val="003B41B0"/>
    <w:rsid w:val="003B4B2E"/>
    <w:rsid w:val="003B4D80"/>
    <w:rsid w:val="003B52CD"/>
    <w:rsid w:val="003B5C01"/>
    <w:rsid w:val="003B5C29"/>
    <w:rsid w:val="003B5D52"/>
    <w:rsid w:val="003B69E6"/>
    <w:rsid w:val="003B6E82"/>
    <w:rsid w:val="003B7E66"/>
    <w:rsid w:val="003B7EA6"/>
    <w:rsid w:val="003C0052"/>
    <w:rsid w:val="003C0AFB"/>
    <w:rsid w:val="003C2499"/>
    <w:rsid w:val="003C433A"/>
    <w:rsid w:val="003C4B08"/>
    <w:rsid w:val="003C4F45"/>
    <w:rsid w:val="003C6092"/>
    <w:rsid w:val="003C6BC5"/>
    <w:rsid w:val="003C73A1"/>
    <w:rsid w:val="003C7D8F"/>
    <w:rsid w:val="003C7F4C"/>
    <w:rsid w:val="003D0C0C"/>
    <w:rsid w:val="003D0D04"/>
    <w:rsid w:val="003D0D77"/>
    <w:rsid w:val="003D14FC"/>
    <w:rsid w:val="003D15FD"/>
    <w:rsid w:val="003D16C1"/>
    <w:rsid w:val="003D1B44"/>
    <w:rsid w:val="003D26CC"/>
    <w:rsid w:val="003D3C68"/>
    <w:rsid w:val="003E03BD"/>
    <w:rsid w:val="003E10CC"/>
    <w:rsid w:val="003E1271"/>
    <w:rsid w:val="003E23D8"/>
    <w:rsid w:val="003E254D"/>
    <w:rsid w:val="003E2E46"/>
    <w:rsid w:val="003E2F3E"/>
    <w:rsid w:val="003E5130"/>
    <w:rsid w:val="003E605D"/>
    <w:rsid w:val="003E7873"/>
    <w:rsid w:val="003E7AF4"/>
    <w:rsid w:val="003F089D"/>
    <w:rsid w:val="003F0CCC"/>
    <w:rsid w:val="003F12F9"/>
    <w:rsid w:val="003F15FD"/>
    <w:rsid w:val="003F16DD"/>
    <w:rsid w:val="003F19A1"/>
    <w:rsid w:val="003F1CE7"/>
    <w:rsid w:val="003F1EFD"/>
    <w:rsid w:val="003F26DC"/>
    <w:rsid w:val="003F2924"/>
    <w:rsid w:val="003F2F59"/>
    <w:rsid w:val="003F3919"/>
    <w:rsid w:val="003F45E1"/>
    <w:rsid w:val="003F59C5"/>
    <w:rsid w:val="003F5F40"/>
    <w:rsid w:val="003F61B0"/>
    <w:rsid w:val="00400371"/>
    <w:rsid w:val="00401BBF"/>
    <w:rsid w:val="00402B29"/>
    <w:rsid w:val="00403938"/>
    <w:rsid w:val="00405201"/>
    <w:rsid w:val="00406A6E"/>
    <w:rsid w:val="004071E3"/>
    <w:rsid w:val="00407D57"/>
    <w:rsid w:val="0041114B"/>
    <w:rsid w:val="00411258"/>
    <w:rsid w:val="00411348"/>
    <w:rsid w:val="00411868"/>
    <w:rsid w:val="00411D8E"/>
    <w:rsid w:val="00414A74"/>
    <w:rsid w:val="00415C6A"/>
    <w:rsid w:val="00415EBD"/>
    <w:rsid w:val="004169FF"/>
    <w:rsid w:val="00416E00"/>
    <w:rsid w:val="00417825"/>
    <w:rsid w:val="00420121"/>
    <w:rsid w:val="00420FAB"/>
    <w:rsid w:val="00422898"/>
    <w:rsid w:val="00422948"/>
    <w:rsid w:val="0042362A"/>
    <w:rsid w:val="004271F3"/>
    <w:rsid w:val="00430641"/>
    <w:rsid w:val="004313AF"/>
    <w:rsid w:val="00432CE6"/>
    <w:rsid w:val="00432EEA"/>
    <w:rsid w:val="004332AA"/>
    <w:rsid w:val="00433B4F"/>
    <w:rsid w:val="00433C28"/>
    <w:rsid w:val="0043476F"/>
    <w:rsid w:val="004349FA"/>
    <w:rsid w:val="00435C08"/>
    <w:rsid w:val="0043670E"/>
    <w:rsid w:val="00437079"/>
    <w:rsid w:val="00437FB2"/>
    <w:rsid w:val="0044016A"/>
    <w:rsid w:val="004401A7"/>
    <w:rsid w:val="00440268"/>
    <w:rsid w:val="0044037E"/>
    <w:rsid w:val="00440447"/>
    <w:rsid w:val="00440A6A"/>
    <w:rsid w:val="00440D67"/>
    <w:rsid w:val="004417D0"/>
    <w:rsid w:val="00441DEC"/>
    <w:rsid w:val="00443B82"/>
    <w:rsid w:val="0044456F"/>
    <w:rsid w:val="00444615"/>
    <w:rsid w:val="00445823"/>
    <w:rsid w:val="0044600F"/>
    <w:rsid w:val="00447BF5"/>
    <w:rsid w:val="00447F55"/>
    <w:rsid w:val="00450552"/>
    <w:rsid w:val="004511D3"/>
    <w:rsid w:val="0045195D"/>
    <w:rsid w:val="00452AD3"/>
    <w:rsid w:val="00453F86"/>
    <w:rsid w:val="004544A2"/>
    <w:rsid w:val="00454D5C"/>
    <w:rsid w:val="004553FE"/>
    <w:rsid w:val="0045603B"/>
    <w:rsid w:val="004560AC"/>
    <w:rsid w:val="00457022"/>
    <w:rsid w:val="00460523"/>
    <w:rsid w:val="004606ED"/>
    <w:rsid w:val="00460C23"/>
    <w:rsid w:val="004611B3"/>
    <w:rsid w:val="0046188C"/>
    <w:rsid w:val="004639F2"/>
    <w:rsid w:val="004641A9"/>
    <w:rsid w:val="00464F94"/>
    <w:rsid w:val="00465017"/>
    <w:rsid w:val="004666AF"/>
    <w:rsid w:val="004667C8"/>
    <w:rsid w:val="00467813"/>
    <w:rsid w:val="00472D42"/>
    <w:rsid w:val="00472DB2"/>
    <w:rsid w:val="0047301F"/>
    <w:rsid w:val="004730F3"/>
    <w:rsid w:val="0047311A"/>
    <w:rsid w:val="00473536"/>
    <w:rsid w:val="00473D35"/>
    <w:rsid w:val="00473DD7"/>
    <w:rsid w:val="00474DF3"/>
    <w:rsid w:val="004750D2"/>
    <w:rsid w:val="00475506"/>
    <w:rsid w:val="00476946"/>
    <w:rsid w:val="0047765D"/>
    <w:rsid w:val="0048195F"/>
    <w:rsid w:val="00481BB1"/>
    <w:rsid w:val="00482182"/>
    <w:rsid w:val="0048354F"/>
    <w:rsid w:val="004841E9"/>
    <w:rsid w:val="0048555D"/>
    <w:rsid w:val="00485D35"/>
    <w:rsid w:val="00485E4A"/>
    <w:rsid w:val="0048722B"/>
    <w:rsid w:val="0048741A"/>
    <w:rsid w:val="00487846"/>
    <w:rsid w:val="0048793C"/>
    <w:rsid w:val="0049137F"/>
    <w:rsid w:val="004921E7"/>
    <w:rsid w:val="004944CA"/>
    <w:rsid w:val="00495041"/>
    <w:rsid w:val="0049576A"/>
    <w:rsid w:val="0049668B"/>
    <w:rsid w:val="004A0120"/>
    <w:rsid w:val="004A0369"/>
    <w:rsid w:val="004A07D8"/>
    <w:rsid w:val="004A0DC8"/>
    <w:rsid w:val="004A1832"/>
    <w:rsid w:val="004A1D02"/>
    <w:rsid w:val="004A27CD"/>
    <w:rsid w:val="004A2B99"/>
    <w:rsid w:val="004A308D"/>
    <w:rsid w:val="004A3510"/>
    <w:rsid w:val="004A41E1"/>
    <w:rsid w:val="004A48D8"/>
    <w:rsid w:val="004A5E4C"/>
    <w:rsid w:val="004A6A46"/>
    <w:rsid w:val="004A6D12"/>
    <w:rsid w:val="004A7A19"/>
    <w:rsid w:val="004B05F4"/>
    <w:rsid w:val="004B06A9"/>
    <w:rsid w:val="004B12CC"/>
    <w:rsid w:val="004B14E3"/>
    <w:rsid w:val="004B1CAD"/>
    <w:rsid w:val="004B24FF"/>
    <w:rsid w:val="004B2707"/>
    <w:rsid w:val="004B2D2E"/>
    <w:rsid w:val="004B4829"/>
    <w:rsid w:val="004B4F07"/>
    <w:rsid w:val="004B50E1"/>
    <w:rsid w:val="004B5D38"/>
    <w:rsid w:val="004B5DC7"/>
    <w:rsid w:val="004B7230"/>
    <w:rsid w:val="004B7253"/>
    <w:rsid w:val="004B74B5"/>
    <w:rsid w:val="004C00C6"/>
    <w:rsid w:val="004C1CE4"/>
    <w:rsid w:val="004C2328"/>
    <w:rsid w:val="004C2569"/>
    <w:rsid w:val="004C5257"/>
    <w:rsid w:val="004C52B8"/>
    <w:rsid w:val="004C547F"/>
    <w:rsid w:val="004C6CFB"/>
    <w:rsid w:val="004C73AC"/>
    <w:rsid w:val="004C7E7D"/>
    <w:rsid w:val="004D0940"/>
    <w:rsid w:val="004D0F25"/>
    <w:rsid w:val="004D0FC1"/>
    <w:rsid w:val="004D2A2B"/>
    <w:rsid w:val="004D3E1D"/>
    <w:rsid w:val="004D52C1"/>
    <w:rsid w:val="004D5934"/>
    <w:rsid w:val="004D646F"/>
    <w:rsid w:val="004D6671"/>
    <w:rsid w:val="004D6963"/>
    <w:rsid w:val="004D6A30"/>
    <w:rsid w:val="004E0716"/>
    <w:rsid w:val="004E1032"/>
    <w:rsid w:val="004E258E"/>
    <w:rsid w:val="004E2657"/>
    <w:rsid w:val="004E2F7B"/>
    <w:rsid w:val="004E3CBF"/>
    <w:rsid w:val="004E3ECE"/>
    <w:rsid w:val="004E4965"/>
    <w:rsid w:val="004E662D"/>
    <w:rsid w:val="004F027E"/>
    <w:rsid w:val="004F0D1B"/>
    <w:rsid w:val="004F1553"/>
    <w:rsid w:val="004F16E2"/>
    <w:rsid w:val="004F1E09"/>
    <w:rsid w:val="004F2E5B"/>
    <w:rsid w:val="004F3754"/>
    <w:rsid w:val="004F3991"/>
    <w:rsid w:val="004F3B04"/>
    <w:rsid w:val="004F41B6"/>
    <w:rsid w:val="004F4406"/>
    <w:rsid w:val="004F4F54"/>
    <w:rsid w:val="004F5186"/>
    <w:rsid w:val="004F51D3"/>
    <w:rsid w:val="004F625F"/>
    <w:rsid w:val="004F63E7"/>
    <w:rsid w:val="004F6A8D"/>
    <w:rsid w:val="004F6D61"/>
    <w:rsid w:val="004F6F9E"/>
    <w:rsid w:val="004F71D4"/>
    <w:rsid w:val="004F7FE8"/>
    <w:rsid w:val="0050049D"/>
    <w:rsid w:val="00500DD7"/>
    <w:rsid w:val="00503205"/>
    <w:rsid w:val="005033B5"/>
    <w:rsid w:val="00504654"/>
    <w:rsid w:val="00504DBE"/>
    <w:rsid w:val="00511CFB"/>
    <w:rsid w:val="00512159"/>
    <w:rsid w:val="0051321B"/>
    <w:rsid w:val="0051468D"/>
    <w:rsid w:val="00516712"/>
    <w:rsid w:val="00516A62"/>
    <w:rsid w:val="00517C6F"/>
    <w:rsid w:val="00520593"/>
    <w:rsid w:val="00520847"/>
    <w:rsid w:val="00520D74"/>
    <w:rsid w:val="00520ED6"/>
    <w:rsid w:val="00522037"/>
    <w:rsid w:val="00522140"/>
    <w:rsid w:val="00522365"/>
    <w:rsid w:val="00522D7B"/>
    <w:rsid w:val="00522F62"/>
    <w:rsid w:val="005250BC"/>
    <w:rsid w:val="005259BC"/>
    <w:rsid w:val="005261F8"/>
    <w:rsid w:val="00527D85"/>
    <w:rsid w:val="00527FE2"/>
    <w:rsid w:val="005304C3"/>
    <w:rsid w:val="005307E4"/>
    <w:rsid w:val="00533520"/>
    <w:rsid w:val="005338B8"/>
    <w:rsid w:val="00534930"/>
    <w:rsid w:val="00534AA9"/>
    <w:rsid w:val="0053504B"/>
    <w:rsid w:val="00541A67"/>
    <w:rsid w:val="005449DB"/>
    <w:rsid w:val="00546009"/>
    <w:rsid w:val="005473F3"/>
    <w:rsid w:val="00550144"/>
    <w:rsid w:val="00550182"/>
    <w:rsid w:val="00550729"/>
    <w:rsid w:val="0055089D"/>
    <w:rsid w:val="00550EF7"/>
    <w:rsid w:val="00551697"/>
    <w:rsid w:val="00552AC8"/>
    <w:rsid w:val="00552D5B"/>
    <w:rsid w:val="005532BD"/>
    <w:rsid w:val="00553520"/>
    <w:rsid w:val="005535A2"/>
    <w:rsid w:val="00553C60"/>
    <w:rsid w:val="00554CD2"/>
    <w:rsid w:val="00554DDB"/>
    <w:rsid w:val="00555537"/>
    <w:rsid w:val="00556389"/>
    <w:rsid w:val="00556D7C"/>
    <w:rsid w:val="005614D3"/>
    <w:rsid w:val="0056187D"/>
    <w:rsid w:val="0056232D"/>
    <w:rsid w:val="00562A21"/>
    <w:rsid w:val="0056304B"/>
    <w:rsid w:val="005663B1"/>
    <w:rsid w:val="00570B1D"/>
    <w:rsid w:val="00570B36"/>
    <w:rsid w:val="00571D7C"/>
    <w:rsid w:val="00571DB3"/>
    <w:rsid w:val="005723A3"/>
    <w:rsid w:val="00572C10"/>
    <w:rsid w:val="00572C28"/>
    <w:rsid w:val="00572E35"/>
    <w:rsid w:val="005735D0"/>
    <w:rsid w:val="0057364E"/>
    <w:rsid w:val="00575553"/>
    <w:rsid w:val="00575D02"/>
    <w:rsid w:val="00576429"/>
    <w:rsid w:val="005774C3"/>
    <w:rsid w:val="0057766B"/>
    <w:rsid w:val="00580314"/>
    <w:rsid w:val="00580345"/>
    <w:rsid w:val="00580822"/>
    <w:rsid w:val="005823B7"/>
    <w:rsid w:val="005833EE"/>
    <w:rsid w:val="00583A7B"/>
    <w:rsid w:val="00583FE0"/>
    <w:rsid w:val="005872A0"/>
    <w:rsid w:val="0058762E"/>
    <w:rsid w:val="0058796C"/>
    <w:rsid w:val="00587D6D"/>
    <w:rsid w:val="00587FF0"/>
    <w:rsid w:val="0059090A"/>
    <w:rsid w:val="00590AEA"/>
    <w:rsid w:val="00590E92"/>
    <w:rsid w:val="00590EA4"/>
    <w:rsid w:val="00591A6A"/>
    <w:rsid w:val="00593B13"/>
    <w:rsid w:val="005941BF"/>
    <w:rsid w:val="0059543E"/>
    <w:rsid w:val="00596E8E"/>
    <w:rsid w:val="005970DE"/>
    <w:rsid w:val="005973B6"/>
    <w:rsid w:val="005A420F"/>
    <w:rsid w:val="005A42A8"/>
    <w:rsid w:val="005A4D60"/>
    <w:rsid w:val="005A5531"/>
    <w:rsid w:val="005A6A3A"/>
    <w:rsid w:val="005B11B5"/>
    <w:rsid w:val="005B14C2"/>
    <w:rsid w:val="005B26C0"/>
    <w:rsid w:val="005B3842"/>
    <w:rsid w:val="005B390C"/>
    <w:rsid w:val="005B7200"/>
    <w:rsid w:val="005B7398"/>
    <w:rsid w:val="005B7631"/>
    <w:rsid w:val="005B7A05"/>
    <w:rsid w:val="005C037C"/>
    <w:rsid w:val="005C044D"/>
    <w:rsid w:val="005C04E9"/>
    <w:rsid w:val="005C2549"/>
    <w:rsid w:val="005C3464"/>
    <w:rsid w:val="005C37E9"/>
    <w:rsid w:val="005C3AB5"/>
    <w:rsid w:val="005C3D81"/>
    <w:rsid w:val="005C3E8F"/>
    <w:rsid w:val="005C461E"/>
    <w:rsid w:val="005C46CF"/>
    <w:rsid w:val="005C4FB3"/>
    <w:rsid w:val="005C60CC"/>
    <w:rsid w:val="005C6CE9"/>
    <w:rsid w:val="005C75DF"/>
    <w:rsid w:val="005D0781"/>
    <w:rsid w:val="005D0BE7"/>
    <w:rsid w:val="005D1334"/>
    <w:rsid w:val="005D13DF"/>
    <w:rsid w:val="005D2BF2"/>
    <w:rsid w:val="005D2E3D"/>
    <w:rsid w:val="005D545A"/>
    <w:rsid w:val="005D57D5"/>
    <w:rsid w:val="005D5D38"/>
    <w:rsid w:val="005D621E"/>
    <w:rsid w:val="005D7584"/>
    <w:rsid w:val="005D7B55"/>
    <w:rsid w:val="005E083E"/>
    <w:rsid w:val="005E0E00"/>
    <w:rsid w:val="005E246F"/>
    <w:rsid w:val="005E2AC2"/>
    <w:rsid w:val="005E2B96"/>
    <w:rsid w:val="005E3A19"/>
    <w:rsid w:val="005E59D0"/>
    <w:rsid w:val="005E5CE4"/>
    <w:rsid w:val="005E5D7E"/>
    <w:rsid w:val="005E6DC9"/>
    <w:rsid w:val="005E7403"/>
    <w:rsid w:val="005E75D0"/>
    <w:rsid w:val="005F02C2"/>
    <w:rsid w:val="005F02ED"/>
    <w:rsid w:val="005F28E5"/>
    <w:rsid w:val="005F3EBE"/>
    <w:rsid w:val="005F47EA"/>
    <w:rsid w:val="005F584C"/>
    <w:rsid w:val="005F6C13"/>
    <w:rsid w:val="005F712F"/>
    <w:rsid w:val="005F7222"/>
    <w:rsid w:val="005F72C2"/>
    <w:rsid w:val="005F794C"/>
    <w:rsid w:val="005F7E01"/>
    <w:rsid w:val="005F7EBE"/>
    <w:rsid w:val="006002D9"/>
    <w:rsid w:val="00600765"/>
    <w:rsid w:val="006007A2"/>
    <w:rsid w:val="00602F5E"/>
    <w:rsid w:val="0060355C"/>
    <w:rsid w:val="00604A22"/>
    <w:rsid w:val="00605BAE"/>
    <w:rsid w:val="00605EC2"/>
    <w:rsid w:val="006061E6"/>
    <w:rsid w:val="0060622B"/>
    <w:rsid w:val="00606256"/>
    <w:rsid w:val="00606262"/>
    <w:rsid w:val="00607DE2"/>
    <w:rsid w:val="00607E34"/>
    <w:rsid w:val="00610859"/>
    <w:rsid w:val="0061149E"/>
    <w:rsid w:val="006119B7"/>
    <w:rsid w:val="00613472"/>
    <w:rsid w:val="00613549"/>
    <w:rsid w:val="006139A0"/>
    <w:rsid w:val="00614087"/>
    <w:rsid w:val="00614C1C"/>
    <w:rsid w:val="00616159"/>
    <w:rsid w:val="00616FCB"/>
    <w:rsid w:val="006177FD"/>
    <w:rsid w:val="00617953"/>
    <w:rsid w:val="0062095F"/>
    <w:rsid w:val="00620A3C"/>
    <w:rsid w:val="00621052"/>
    <w:rsid w:val="00622627"/>
    <w:rsid w:val="00623308"/>
    <w:rsid w:val="0062418D"/>
    <w:rsid w:val="00624C29"/>
    <w:rsid w:val="00624D7E"/>
    <w:rsid w:val="00624FC8"/>
    <w:rsid w:val="0062534C"/>
    <w:rsid w:val="00625D33"/>
    <w:rsid w:val="00626966"/>
    <w:rsid w:val="00627BEB"/>
    <w:rsid w:val="006306ED"/>
    <w:rsid w:val="00631C08"/>
    <w:rsid w:val="0063240E"/>
    <w:rsid w:val="006334A7"/>
    <w:rsid w:val="006334D8"/>
    <w:rsid w:val="006335E5"/>
    <w:rsid w:val="00634056"/>
    <w:rsid w:val="0063688C"/>
    <w:rsid w:val="00636969"/>
    <w:rsid w:val="00636CE6"/>
    <w:rsid w:val="00640411"/>
    <w:rsid w:val="00640528"/>
    <w:rsid w:val="00640C25"/>
    <w:rsid w:val="00640E2A"/>
    <w:rsid w:val="00640F1F"/>
    <w:rsid w:val="00642393"/>
    <w:rsid w:val="00642515"/>
    <w:rsid w:val="006426B1"/>
    <w:rsid w:val="00642790"/>
    <w:rsid w:val="00643005"/>
    <w:rsid w:val="00643CB2"/>
    <w:rsid w:val="0064627B"/>
    <w:rsid w:val="006470CB"/>
    <w:rsid w:val="00647135"/>
    <w:rsid w:val="006475DF"/>
    <w:rsid w:val="006500B5"/>
    <w:rsid w:val="00650313"/>
    <w:rsid w:val="00651F22"/>
    <w:rsid w:val="00652324"/>
    <w:rsid w:val="0065281C"/>
    <w:rsid w:val="006529D1"/>
    <w:rsid w:val="00652E67"/>
    <w:rsid w:val="00653055"/>
    <w:rsid w:val="006532A7"/>
    <w:rsid w:val="0065408E"/>
    <w:rsid w:val="00654C34"/>
    <w:rsid w:val="00654F04"/>
    <w:rsid w:val="006563ED"/>
    <w:rsid w:val="00656C76"/>
    <w:rsid w:val="00657249"/>
    <w:rsid w:val="00657F71"/>
    <w:rsid w:val="00660A8E"/>
    <w:rsid w:val="0066162E"/>
    <w:rsid w:val="00661FFA"/>
    <w:rsid w:val="00662278"/>
    <w:rsid w:val="0066253D"/>
    <w:rsid w:val="006633E7"/>
    <w:rsid w:val="00663B07"/>
    <w:rsid w:val="006646CA"/>
    <w:rsid w:val="00664C26"/>
    <w:rsid w:val="00665D1A"/>
    <w:rsid w:val="0066661A"/>
    <w:rsid w:val="00666FB1"/>
    <w:rsid w:val="00667AD2"/>
    <w:rsid w:val="006704E2"/>
    <w:rsid w:val="00670E87"/>
    <w:rsid w:val="00670FE5"/>
    <w:rsid w:val="00672B0C"/>
    <w:rsid w:val="00672B7B"/>
    <w:rsid w:val="006731E4"/>
    <w:rsid w:val="00674E2D"/>
    <w:rsid w:val="006752E4"/>
    <w:rsid w:val="00675818"/>
    <w:rsid w:val="00676049"/>
    <w:rsid w:val="00676C5C"/>
    <w:rsid w:val="00677549"/>
    <w:rsid w:val="00677E1F"/>
    <w:rsid w:val="00677ECB"/>
    <w:rsid w:val="00680A74"/>
    <w:rsid w:val="00680E1F"/>
    <w:rsid w:val="006810C0"/>
    <w:rsid w:val="00681DA4"/>
    <w:rsid w:val="00681E50"/>
    <w:rsid w:val="006828AD"/>
    <w:rsid w:val="00682B22"/>
    <w:rsid w:val="0068365F"/>
    <w:rsid w:val="00683DE8"/>
    <w:rsid w:val="00683ED4"/>
    <w:rsid w:val="00684966"/>
    <w:rsid w:val="00684F1E"/>
    <w:rsid w:val="006858FD"/>
    <w:rsid w:val="00686DA9"/>
    <w:rsid w:val="00687BC5"/>
    <w:rsid w:val="00687C73"/>
    <w:rsid w:val="00687EDC"/>
    <w:rsid w:val="0069055A"/>
    <w:rsid w:val="00691394"/>
    <w:rsid w:val="0069281E"/>
    <w:rsid w:val="00694B1D"/>
    <w:rsid w:val="00695138"/>
    <w:rsid w:val="00695B3E"/>
    <w:rsid w:val="00695C3F"/>
    <w:rsid w:val="006A1038"/>
    <w:rsid w:val="006A216C"/>
    <w:rsid w:val="006A4000"/>
    <w:rsid w:val="006A5B7D"/>
    <w:rsid w:val="006A5E4D"/>
    <w:rsid w:val="006B425F"/>
    <w:rsid w:val="006B5A87"/>
    <w:rsid w:val="006B63E3"/>
    <w:rsid w:val="006B6460"/>
    <w:rsid w:val="006B7D6A"/>
    <w:rsid w:val="006C020F"/>
    <w:rsid w:val="006C03CB"/>
    <w:rsid w:val="006C0D7C"/>
    <w:rsid w:val="006C132A"/>
    <w:rsid w:val="006C1AFB"/>
    <w:rsid w:val="006C2157"/>
    <w:rsid w:val="006C2243"/>
    <w:rsid w:val="006C25E7"/>
    <w:rsid w:val="006C2E82"/>
    <w:rsid w:val="006C4C21"/>
    <w:rsid w:val="006C724D"/>
    <w:rsid w:val="006C767C"/>
    <w:rsid w:val="006C7D15"/>
    <w:rsid w:val="006D114A"/>
    <w:rsid w:val="006D13AE"/>
    <w:rsid w:val="006D1A9A"/>
    <w:rsid w:val="006D36E4"/>
    <w:rsid w:val="006D39EF"/>
    <w:rsid w:val="006D3FE8"/>
    <w:rsid w:val="006D4280"/>
    <w:rsid w:val="006D553F"/>
    <w:rsid w:val="006D5ED2"/>
    <w:rsid w:val="006D5F40"/>
    <w:rsid w:val="006D7F9A"/>
    <w:rsid w:val="006E0FF9"/>
    <w:rsid w:val="006E180D"/>
    <w:rsid w:val="006E3B7B"/>
    <w:rsid w:val="006E5275"/>
    <w:rsid w:val="006E5E89"/>
    <w:rsid w:val="006E644B"/>
    <w:rsid w:val="006E7DCA"/>
    <w:rsid w:val="006F0018"/>
    <w:rsid w:val="006F12FC"/>
    <w:rsid w:val="006F1A78"/>
    <w:rsid w:val="006F1D40"/>
    <w:rsid w:val="006F2A88"/>
    <w:rsid w:val="006F325F"/>
    <w:rsid w:val="006F3337"/>
    <w:rsid w:val="006F59C4"/>
    <w:rsid w:val="006F5BDE"/>
    <w:rsid w:val="006F5CB0"/>
    <w:rsid w:val="006F6816"/>
    <w:rsid w:val="0070048A"/>
    <w:rsid w:val="00700CAC"/>
    <w:rsid w:val="00701491"/>
    <w:rsid w:val="00701804"/>
    <w:rsid w:val="00702865"/>
    <w:rsid w:val="00702D0E"/>
    <w:rsid w:val="00705250"/>
    <w:rsid w:val="00705D15"/>
    <w:rsid w:val="007063C4"/>
    <w:rsid w:val="00706575"/>
    <w:rsid w:val="0070673F"/>
    <w:rsid w:val="00706ECF"/>
    <w:rsid w:val="00707A92"/>
    <w:rsid w:val="0071026A"/>
    <w:rsid w:val="0071042D"/>
    <w:rsid w:val="00710DC3"/>
    <w:rsid w:val="007117F7"/>
    <w:rsid w:val="00711C24"/>
    <w:rsid w:val="00711FDE"/>
    <w:rsid w:val="00713408"/>
    <w:rsid w:val="00715018"/>
    <w:rsid w:val="007159FE"/>
    <w:rsid w:val="00717E02"/>
    <w:rsid w:val="00720344"/>
    <w:rsid w:val="00720C1A"/>
    <w:rsid w:val="00721C15"/>
    <w:rsid w:val="007238F0"/>
    <w:rsid w:val="007240DE"/>
    <w:rsid w:val="00724A1B"/>
    <w:rsid w:val="00726E9E"/>
    <w:rsid w:val="0072794F"/>
    <w:rsid w:val="007300C7"/>
    <w:rsid w:val="0073030E"/>
    <w:rsid w:val="00733122"/>
    <w:rsid w:val="00733E8D"/>
    <w:rsid w:val="00734444"/>
    <w:rsid w:val="00734534"/>
    <w:rsid w:val="00734ADE"/>
    <w:rsid w:val="00736833"/>
    <w:rsid w:val="00737191"/>
    <w:rsid w:val="007376FC"/>
    <w:rsid w:val="007377C2"/>
    <w:rsid w:val="00740793"/>
    <w:rsid w:val="00740B07"/>
    <w:rsid w:val="007412E0"/>
    <w:rsid w:val="00742DB8"/>
    <w:rsid w:val="007436F7"/>
    <w:rsid w:val="007454CF"/>
    <w:rsid w:val="00747689"/>
    <w:rsid w:val="00747BE2"/>
    <w:rsid w:val="00750A35"/>
    <w:rsid w:val="0075129D"/>
    <w:rsid w:val="007513E3"/>
    <w:rsid w:val="00751B92"/>
    <w:rsid w:val="00752501"/>
    <w:rsid w:val="00752A34"/>
    <w:rsid w:val="00754027"/>
    <w:rsid w:val="0075445C"/>
    <w:rsid w:val="007550B1"/>
    <w:rsid w:val="00755460"/>
    <w:rsid w:val="00756707"/>
    <w:rsid w:val="00756928"/>
    <w:rsid w:val="0075799B"/>
    <w:rsid w:val="00757DE5"/>
    <w:rsid w:val="00760A9C"/>
    <w:rsid w:val="00760EDB"/>
    <w:rsid w:val="00761B50"/>
    <w:rsid w:val="0076229A"/>
    <w:rsid w:val="007642D2"/>
    <w:rsid w:val="00764A04"/>
    <w:rsid w:val="007658CC"/>
    <w:rsid w:val="00766400"/>
    <w:rsid w:val="0076680C"/>
    <w:rsid w:val="00766886"/>
    <w:rsid w:val="0076769B"/>
    <w:rsid w:val="0076788E"/>
    <w:rsid w:val="007678D1"/>
    <w:rsid w:val="007718DA"/>
    <w:rsid w:val="007722AE"/>
    <w:rsid w:val="00772965"/>
    <w:rsid w:val="00773673"/>
    <w:rsid w:val="00773EF3"/>
    <w:rsid w:val="00774AA0"/>
    <w:rsid w:val="0077789F"/>
    <w:rsid w:val="00777AFA"/>
    <w:rsid w:val="0078084F"/>
    <w:rsid w:val="00780E1C"/>
    <w:rsid w:val="0078171D"/>
    <w:rsid w:val="00781C19"/>
    <w:rsid w:val="00781F23"/>
    <w:rsid w:val="007826CF"/>
    <w:rsid w:val="00783EFE"/>
    <w:rsid w:val="00784AAC"/>
    <w:rsid w:val="00784DEE"/>
    <w:rsid w:val="00785A7A"/>
    <w:rsid w:val="00786588"/>
    <w:rsid w:val="00786EE8"/>
    <w:rsid w:val="007877AE"/>
    <w:rsid w:val="007879FA"/>
    <w:rsid w:val="0079052E"/>
    <w:rsid w:val="0079066D"/>
    <w:rsid w:val="007906AA"/>
    <w:rsid w:val="00790800"/>
    <w:rsid w:val="00791383"/>
    <w:rsid w:val="007918B1"/>
    <w:rsid w:val="0079193C"/>
    <w:rsid w:val="00792BF4"/>
    <w:rsid w:val="007931D2"/>
    <w:rsid w:val="0079488D"/>
    <w:rsid w:val="0079577F"/>
    <w:rsid w:val="00795E63"/>
    <w:rsid w:val="00796E50"/>
    <w:rsid w:val="007A16B1"/>
    <w:rsid w:val="007A1BF1"/>
    <w:rsid w:val="007A2F8E"/>
    <w:rsid w:val="007A3366"/>
    <w:rsid w:val="007A37D4"/>
    <w:rsid w:val="007A3A86"/>
    <w:rsid w:val="007A412F"/>
    <w:rsid w:val="007A5A99"/>
    <w:rsid w:val="007A5ED0"/>
    <w:rsid w:val="007A700D"/>
    <w:rsid w:val="007B0A76"/>
    <w:rsid w:val="007B1F2B"/>
    <w:rsid w:val="007B292F"/>
    <w:rsid w:val="007B2A24"/>
    <w:rsid w:val="007B2BCF"/>
    <w:rsid w:val="007B2F99"/>
    <w:rsid w:val="007B3211"/>
    <w:rsid w:val="007B3DE4"/>
    <w:rsid w:val="007B3EDC"/>
    <w:rsid w:val="007B46C0"/>
    <w:rsid w:val="007B4E35"/>
    <w:rsid w:val="007B5634"/>
    <w:rsid w:val="007B573D"/>
    <w:rsid w:val="007B607C"/>
    <w:rsid w:val="007B622B"/>
    <w:rsid w:val="007B6BDF"/>
    <w:rsid w:val="007B6CDD"/>
    <w:rsid w:val="007B6F99"/>
    <w:rsid w:val="007C0F5C"/>
    <w:rsid w:val="007C1991"/>
    <w:rsid w:val="007C2E51"/>
    <w:rsid w:val="007C3145"/>
    <w:rsid w:val="007C4089"/>
    <w:rsid w:val="007C6CCF"/>
    <w:rsid w:val="007C7528"/>
    <w:rsid w:val="007D0356"/>
    <w:rsid w:val="007D0DDC"/>
    <w:rsid w:val="007D12AC"/>
    <w:rsid w:val="007D1491"/>
    <w:rsid w:val="007D3EB9"/>
    <w:rsid w:val="007D4A11"/>
    <w:rsid w:val="007D613F"/>
    <w:rsid w:val="007D6730"/>
    <w:rsid w:val="007E0E46"/>
    <w:rsid w:val="007E0EB2"/>
    <w:rsid w:val="007E17D2"/>
    <w:rsid w:val="007E2080"/>
    <w:rsid w:val="007E332C"/>
    <w:rsid w:val="007E4FD4"/>
    <w:rsid w:val="007E571F"/>
    <w:rsid w:val="007E67A0"/>
    <w:rsid w:val="007E69BD"/>
    <w:rsid w:val="007E735C"/>
    <w:rsid w:val="007E7378"/>
    <w:rsid w:val="007F000B"/>
    <w:rsid w:val="007F1726"/>
    <w:rsid w:val="007F1A30"/>
    <w:rsid w:val="007F1EA4"/>
    <w:rsid w:val="007F1F1E"/>
    <w:rsid w:val="007F1F56"/>
    <w:rsid w:val="007F2614"/>
    <w:rsid w:val="007F38B2"/>
    <w:rsid w:val="007F4BAE"/>
    <w:rsid w:val="007F6A18"/>
    <w:rsid w:val="00800263"/>
    <w:rsid w:val="008004F5"/>
    <w:rsid w:val="008013D2"/>
    <w:rsid w:val="008014FD"/>
    <w:rsid w:val="0080156D"/>
    <w:rsid w:val="0080163A"/>
    <w:rsid w:val="00801844"/>
    <w:rsid w:val="00801A63"/>
    <w:rsid w:val="00802A43"/>
    <w:rsid w:val="008036E1"/>
    <w:rsid w:val="00804080"/>
    <w:rsid w:val="008055E2"/>
    <w:rsid w:val="00805637"/>
    <w:rsid w:val="00805D8F"/>
    <w:rsid w:val="00805E65"/>
    <w:rsid w:val="00805F00"/>
    <w:rsid w:val="00806F09"/>
    <w:rsid w:val="00807FBB"/>
    <w:rsid w:val="00810B1C"/>
    <w:rsid w:val="00810B6C"/>
    <w:rsid w:val="00810E9D"/>
    <w:rsid w:val="00811319"/>
    <w:rsid w:val="00812B7E"/>
    <w:rsid w:val="00812CFF"/>
    <w:rsid w:val="00813027"/>
    <w:rsid w:val="008137F5"/>
    <w:rsid w:val="00815026"/>
    <w:rsid w:val="00815F1F"/>
    <w:rsid w:val="0081772A"/>
    <w:rsid w:val="00820EB4"/>
    <w:rsid w:val="008211C7"/>
    <w:rsid w:val="00821AC9"/>
    <w:rsid w:val="00821C94"/>
    <w:rsid w:val="008221BE"/>
    <w:rsid w:val="0082348C"/>
    <w:rsid w:val="00823FA8"/>
    <w:rsid w:val="0082625D"/>
    <w:rsid w:val="008262C4"/>
    <w:rsid w:val="00826758"/>
    <w:rsid w:val="0082690F"/>
    <w:rsid w:val="00826BEB"/>
    <w:rsid w:val="008276C5"/>
    <w:rsid w:val="0082770C"/>
    <w:rsid w:val="00830AAF"/>
    <w:rsid w:val="00831DD8"/>
    <w:rsid w:val="00832242"/>
    <w:rsid w:val="0083224E"/>
    <w:rsid w:val="00832BB1"/>
    <w:rsid w:val="00832C3D"/>
    <w:rsid w:val="00832DF5"/>
    <w:rsid w:val="00833D03"/>
    <w:rsid w:val="008345CB"/>
    <w:rsid w:val="00834855"/>
    <w:rsid w:val="008357FB"/>
    <w:rsid w:val="00835E02"/>
    <w:rsid w:val="0083602D"/>
    <w:rsid w:val="00836255"/>
    <w:rsid w:val="00836648"/>
    <w:rsid w:val="0083678B"/>
    <w:rsid w:val="0083740E"/>
    <w:rsid w:val="008378DC"/>
    <w:rsid w:val="00840171"/>
    <w:rsid w:val="00841EC1"/>
    <w:rsid w:val="0084212A"/>
    <w:rsid w:val="00842A5B"/>
    <w:rsid w:val="00842B9A"/>
    <w:rsid w:val="00842FE2"/>
    <w:rsid w:val="00843DCD"/>
    <w:rsid w:val="008442E8"/>
    <w:rsid w:val="00845342"/>
    <w:rsid w:val="00845B21"/>
    <w:rsid w:val="00846444"/>
    <w:rsid w:val="0084647E"/>
    <w:rsid w:val="00846540"/>
    <w:rsid w:val="00846CFA"/>
    <w:rsid w:val="00847352"/>
    <w:rsid w:val="00847CDC"/>
    <w:rsid w:val="00850F3C"/>
    <w:rsid w:val="008511DE"/>
    <w:rsid w:val="008533DD"/>
    <w:rsid w:val="00855931"/>
    <w:rsid w:val="008560A9"/>
    <w:rsid w:val="0085710D"/>
    <w:rsid w:val="00857D65"/>
    <w:rsid w:val="00857E4E"/>
    <w:rsid w:val="00860458"/>
    <w:rsid w:val="00861C3B"/>
    <w:rsid w:val="00861E74"/>
    <w:rsid w:val="0086396E"/>
    <w:rsid w:val="008645E9"/>
    <w:rsid w:val="0086535C"/>
    <w:rsid w:val="0086617B"/>
    <w:rsid w:val="008662C4"/>
    <w:rsid w:val="00866338"/>
    <w:rsid w:val="008679A6"/>
    <w:rsid w:val="008701FE"/>
    <w:rsid w:val="00870E54"/>
    <w:rsid w:val="00871AF3"/>
    <w:rsid w:val="00872077"/>
    <w:rsid w:val="0087298C"/>
    <w:rsid w:val="008738FD"/>
    <w:rsid w:val="0087464D"/>
    <w:rsid w:val="00874B39"/>
    <w:rsid w:val="00875B9F"/>
    <w:rsid w:val="00875FC3"/>
    <w:rsid w:val="0087652A"/>
    <w:rsid w:val="00876856"/>
    <w:rsid w:val="00876C40"/>
    <w:rsid w:val="0087704C"/>
    <w:rsid w:val="00877A45"/>
    <w:rsid w:val="00877F19"/>
    <w:rsid w:val="00880BD7"/>
    <w:rsid w:val="008817A2"/>
    <w:rsid w:val="00881F6E"/>
    <w:rsid w:val="00883683"/>
    <w:rsid w:val="00884449"/>
    <w:rsid w:val="008849BC"/>
    <w:rsid w:val="00884E8E"/>
    <w:rsid w:val="00884F91"/>
    <w:rsid w:val="00886231"/>
    <w:rsid w:val="008863DD"/>
    <w:rsid w:val="00887BFE"/>
    <w:rsid w:val="00890530"/>
    <w:rsid w:val="00890818"/>
    <w:rsid w:val="00890C1D"/>
    <w:rsid w:val="008923C9"/>
    <w:rsid w:val="0089256B"/>
    <w:rsid w:val="00892DEA"/>
    <w:rsid w:val="008943B0"/>
    <w:rsid w:val="00894D08"/>
    <w:rsid w:val="00894F91"/>
    <w:rsid w:val="0089505C"/>
    <w:rsid w:val="008973CD"/>
    <w:rsid w:val="00897864"/>
    <w:rsid w:val="00897883"/>
    <w:rsid w:val="00897BB6"/>
    <w:rsid w:val="00897E4D"/>
    <w:rsid w:val="008A01F7"/>
    <w:rsid w:val="008A08D1"/>
    <w:rsid w:val="008A1D17"/>
    <w:rsid w:val="008A1FD8"/>
    <w:rsid w:val="008A21B4"/>
    <w:rsid w:val="008A367F"/>
    <w:rsid w:val="008A50E0"/>
    <w:rsid w:val="008A53A4"/>
    <w:rsid w:val="008A55C3"/>
    <w:rsid w:val="008A62D6"/>
    <w:rsid w:val="008B0D69"/>
    <w:rsid w:val="008B1AF9"/>
    <w:rsid w:val="008B26B4"/>
    <w:rsid w:val="008B4319"/>
    <w:rsid w:val="008B4B6E"/>
    <w:rsid w:val="008B5257"/>
    <w:rsid w:val="008B54BE"/>
    <w:rsid w:val="008B55A1"/>
    <w:rsid w:val="008B5E8C"/>
    <w:rsid w:val="008B6237"/>
    <w:rsid w:val="008B67F7"/>
    <w:rsid w:val="008B6952"/>
    <w:rsid w:val="008B6BC7"/>
    <w:rsid w:val="008B6E99"/>
    <w:rsid w:val="008B7104"/>
    <w:rsid w:val="008C1DC2"/>
    <w:rsid w:val="008C1E0C"/>
    <w:rsid w:val="008C351E"/>
    <w:rsid w:val="008C54C6"/>
    <w:rsid w:val="008C58BD"/>
    <w:rsid w:val="008C5D85"/>
    <w:rsid w:val="008C62FE"/>
    <w:rsid w:val="008C634C"/>
    <w:rsid w:val="008C6E67"/>
    <w:rsid w:val="008D088B"/>
    <w:rsid w:val="008D0BAC"/>
    <w:rsid w:val="008D1A52"/>
    <w:rsid w:val="008D22B3"/>
    <w:rsid w:val="008D2488"/>
    <w:rsid w:val="008D2AC8"/>
    <w:rsid w:val="008D2EF3"/>
    <w:rsid w:val="008D370D"/>
    <w:rsid w:val="008D4F10"/>
    <w:rsid w:val="008D621F"/>
    <w:rsid w:val="008D67BA"/>
    <w:rsid w:val="008E0425"/>
    <w:rsid w:val="008E090B"/>
    <w:rsid w:val="008E0FC1"/>
    <w:rsid w:val="008E1071"/>
    <w:rsid w:val="008E1A8D"/>
    <w:rsid w:val="008E1A9F"/>
    <w:rsid w:val="008E1CFB"/>
    <w:rsid w:val="008E2ED7"/>
    <w:rsid w:val="008E307D"/>
    <w:rsid w:val="008E3B6F"/>
    <w:rsid w:val="008E425B"/>
    <w:rsid w:val="008E4AC0"/>
    <w:rsid w:val="008E4B66"/>
    <w:rsid w:val="008E5774"/>
    <w:rsid w:val="008E7349"/>
    <w:rsid w:val="008E7B8D"/>
    <w:rsid w:val="008F0D94"/>
    <w:rsid w:val="008F1241"/>
    <w:rsid w:val="008F36D1"/>
    <w:rsid w:val="008F3D25"/>
    <w:rsid w:val="008F3D4C"/>
    <w:rsid w:val="008F43AA"/>
    <w:rsid w:val="008F51E6"/>
    <w:rsid w:val="008F6CF7"/>
    <w:rsid w:val="008F6CF8"/>
    <w:rsid w:val="0090040E"/>
    <w:rsid w:val="00900849"/>
    <w:rsid w:val="00900B71"/>
    <w:rsid w:val="00900D89"/>
    <w:rsid w:val="00901C3B"/>
    <w:rsid w:val="00902957"/>
    <w:rsid w:val="00903646"/>
    <w:rsid w:val="009036D4"/>
    <w:rsid w:val="00904282"/>
    <w:rsid w:val="00904C0A"/>
    <w:rsid w:val="009052A9"/>
    <w:rsid w:val="00905945"/>
    <w:rsid w:val="00905F6A"/>
    <w:rsid w:val="00906288"/>
    <w:rsid w:val="009077AD"/>
    <w:rsid w:val="0090792B"/>
    <w:rsid w:val="00911356"/>
    <w:rsid w:val="00911D09"/>
    <w:rsid w:val="009130F4"/>
    <w:rsid w:val="00914D02"/>
    <w:rsid w:val="009150BF"/>
    <w:rsid w:val="009156C4"/>
    <w:rsid w:val="009168A1"/>
    <w:rsid w:val="00916B74"/>
    <w:rsid w:val="009172E2"/>
    <w:rsid w:val="00920DF4"/>
    <w:rsid w:val="0092136B"/>
    <w:rsid w:val="00922A1D"/>
    <w:rsid w:val="00922CDE"/>
    <w:rsid w:val="0092432C"/>
    <w:rsid w:val="00924E35"/>
    <w:rsid w:val="00925375"/>
    <w:rsid w:val="00925A1E"/>
    <w:rsid w:val="0092674A"/>
    <w:rsid w:val="00927CC7"/>
    <w:rsid w:val="00930AB2"/>
    <w:rsid w:val="00931790"/>
    <w:rsid w:val="009318A4"/>
    <w:rsid w:val="009319E0"/>
    <w:rsid w:val="00932707"/>
    <w:rsid w:val="00933239"/>
    <w:rsid w:val="00933A89"/>
    <w:rsid w:val="00934047"/>
    <w:rsid w:val="00934637"/>
    <w:rsid w:val="00935149"/>
    <w:rsid w:val="00935F1F"/>
    <w:rsid w:val="00936D0E"/>
    <w:rsid w:val="009376F9"/>
    <w:rsid w:val="00940BDA"/>
    <w:rsid w:val="00940CE3"/>
    <w:rsid w:val="0094132A"/>
    <w:rsid w:val="00941C8F"/>
    <w:rsid w:val="0094219C"/>
    <w:rsid w:val="00942469"/>
    <w:rsid w:val="00942C21"/>
    <w:rsid w:val="00943059"/>
    <w:rsid w:val="00943F8F"/>
    <w:rsid w:val="009442CA"/>
    <w:rsid w:val="0094437D"/>
    <w:rsid w:val="00944DCE"/>
    <w:rsid w:val="0094514F"/>
    <w:rsid w:val="00945679"/>
    <w:rsid w:val="009460C1"/>
    <w:rsid w:val="0094634A"/>
    <w:rsid w:val="0094641E"/>
    <w:rsid w:val="00946956"/>
    <w:rsid w:val="009473BC"/>
    <w:rsid w:val="00947F86"/>
    <w:rsid w:val="00951C8B"/>
    <w:rsid w:val="00952880"/>
    <w:rsid w:val="0095398E"/>
    <w:rsid w:val="00954C3B"/>
    <w:rsid w:val="00954EED"/>
    <w:rsid w:val="00954FCC"/>
    <w:rsid w:val="009560AA"/>
    <w:rsid w:val="00956C22"/>
    <w:rsid w:val="0095711C"/>
    <w:rsid w:val="0095744E"/>
    <w:rsid w:val="0095755D"/>
    <w:rsid w:val="009577A8"/>
    <w:rsid w:val="009579B5"/>
    <w:rsid w:val="009608B4"/>
    <w:rsid w:val="00961FBA"/>
    <w:rsid w:val="0096268B"/>
    <w:rsid w:val="00963C7C"/>
    <w:rsid w:val="00964F76"/>
    <w:rsid w:val="0096632D"/>
    <w:rsid w:val="00966B40"/>
    <w:rsid w:val="00967042"/>
    <w:rsid w:val="009671EA"/>
    <w:rsid w:val="009674B6"/>
    <w:rsid w:val="0096785B"/>
    <w:rsid w:val="00970259"/>
    <w:rsid w:val="00972E45"/>
    <w:rsid w:val="00974787"/>
    <w:rsid w:val="00974DAB"/>
    <w:rsid w:val="009750F8"/>
    <w:rsid w:val="0097548E"/>
    <w:rsid w:val="00975E19"/>
    <w:rsid w:val="00976988"/>
    <w:rsid w:val="00977C64"/>
    <w:rsid w:val="0098024B"/>
    <w:rsid w:val="009817D3"/>
    <w:rsid w:val="00981C3E"/>
    <w:rsid w:val="00982399"/>
    <w:rsid w:val="009831EC"/>
    <w:rsid w:val="00983E15"/>
    <w:rsid w:val="0098518C"/>
    <w:rsid w:val="00985607"/>
    <w:rsid w:val="00987776"/>
    <w:rsid w:val="009879A6"/>
    <w:rsid w:val="00990494"/>
    <w:rsid w:val="00991BF2"/>
    <w:rsid w:val="009922AD"/>
    <w:rsid w:val="0099268D"/>
    <w:rsid w:val="009926D6"/>
    <w:rsid w:val="009928FB"/>
    <w:rsid w:val="00992B0F"/>
    <w:rsid w:val="009932CF"/>
    <w:rsid w:val="0099393D"/>
    <w:rsid w:val="009945E5"/>
    <w:rsid w:val="009949E9"/>
    <w:rsid w:val="00994D5A"/>
    <w:rsid w:val="009950DA"/>
    <w:rsid w:val="009960BD"/>
    <w:rsid w:val="00997EC1"/>
    <w:rsid w:val="009A07DC"/>
    <w:rsid w:val="009A0DC2"/>
    <w:rsid w:val="009A0E62"/>
    <w:rsid w:val="009A3314"/>
    <w:rsid w:val="009A4231"/>
    <w:rsid w:val="009A60B9"/>
    <w:rsid w:val="009A676D"/>
    <w:rsid w:val="009A69A2"/>
    <w:rsid w:val="009A6D8D"/>
    <w:rsid w:val="009A72BC"/>
    <w:rsid w:val="009B08E7"/>
    <w:rsid w:val="009B0C87"/>
    <w:rsid w:val="009B132F"/>
    <w:rsid w:val="009B189C"/>
    <w:rsid w:val="009B197B"/>
    <w:rsid w:val="009B19B9"/>
    <w:rsid w:val="009B1D59"/>
    <w:rsid w:val="009B20C8"/>
    <w:rsid w:val="009B28B6"/>
    <w:rsid w:val="009B2D87"/>
    <w:rsid w:val="009B4AF9"/>
    <w:rsid w:val="009B5970"/>
    <w:rsid w:val="009B5BDC"/>
    <w:rsid w:val="009B64AC"/>
    <w:rsid w:val="009B7737"/>
    <w:rsid w:val="009C051D"/>
    <w:rsid w:val="009C0A18"/>
    <w:rsid w:val="009C1B43"/>
    <w:rsid w:val="009C1BFA"/>
    <w:rsid w:val="009C24BE"/>
    <w:rsid w:val="009C268E"/>
    <w:rsid w:val="009C29C4"/>
    <w:rsid w:val="009C2DB8"/>
    <w:rsid w:val="009C317C"/>
    <w:rsid w:val="009C32D0"/>
    <w:rsid w:val="009C355B"/>
    <w:rsid w:val="009C3969"/>
    <w:rsid w:val="009C44A9"/>
    <w:rsid w:val="009C4B7F"/>
    <w:rsid w:val="009C542E"/>
    <w:rsid w:val="009C5780"/>
    <w:rsid w:val="009C679D"/>
    <w:rsid w:val="009C7303"/>
    <w:rsid w:val="009C7313"/>
    <w:rsid w:val="009D06B7"/>
    <w:rsid w:val="009D0ACD"/>
    <w:rsid w:val="009D0D17"/>
    <w:rsid w:val="009D1C8E"/>
    <w:rsid w:val="009D2CCE"/>
    <w:rsid w:val="009D2F83"/>
    <w:rsid w:val="009D319F"/>
    <w:rsid w:val="009D33BC"/>
    <w:rsid w:val="009D35BC"/>
    <w:rsid w:val="009D3E41"/>
    <w:rsid w:val="009D4601"/>
    <w:rsid w:val="009D4DC1"/>
    <w:rsid w:val="009D64A2"/>
    <w:rsid w:val="009D6F29"/>
    <w:rsid w:val="009D7EAF"/>
    <w:rsid w:val="009E0028"/>
    <w:rsid w:val="009E0F48"/>
    <w:rsid w:val="009E44CF"/>
    <w:rsid w:val="009E5100"/>
    <w:rsid w:val="009E5CAE"/>
    <w:rsid w:val="009E648B"/>
    <w:rsid w:val="009E655C"/>
    <w:rsid w:val="009E6E82"/>
    <w:rsid w:val="009E7888"/>
    <w:rsid w:val="009F009D"/>
    <w:rsid w:val="009F0637"/>
    <w:rsid w:val="009F2173"/>
    <w:rsid w:val="009F3864"/>
    <w:rsid w:val="009F3C8A"/>
    <w:rsid w:val="009F43BF"/>
    <w:rsid w:val="009F4690"/>
    <w:rsid w:val="009F4CF2"/>
    <w:rsid w:val="009F59CE"/>
    <w:rsid w:val="009F5B13"/>
    <w:rsid w:val="009F66DE"/>
    <w:rsid w:val="009F6800"/>
    <w:rsid w:val="009F6AB5"/>
    <w:rsid w:val="009F6D42"/>
    <w:rsid w:val="00A009C2"/>
    <w:rsid w:val="00A00AB6"/>
    <w:rsid w:val="00A00EB5"/>
    <w:rsid w:val="00A01912"/>
    <w:rsid w:val="00A019CF"/>
    <w:rsid w:val="00A0209B"/>
    <w:rsid w:val="00A02731"/>
    <w:rsid w:val="00A03652"/>
    <w:rsid w:val="00A045D5"/>
    <w:rsid w:val="00A051E2"/>
    <w:rsid w:val="00A05B88"/>
    <w:rsid w:val="00A101CC"/>
    <w:rsid w:val="00A110CD"/>
    <w:rsid w:val="00A11AFC"/>
    <w:rsid w:val="00A1257B"/>
    <w:rsid w:val="00A12C86"/>
    <w:rsid w:val="00A134AF"/>
    <w:rsid w:val="00A1390E"/>
    <w:rsid w:val="00A15E0D"/>
    <w:rsid w:val="00A15F01"/>
    <w:rsid w:val="00A16842"/>
    <w:rsid w:val="00A16FD1"/>
    <w:rsid w:val="00A1743C"/>
    <w:rsid w:val="00A17719"/>
    <w:rsid w:val="00A17D1D"/>
    <w:rsid w:val="00A2018F"/>
    <w:rsid w:val="00A20F6A"/>
    <w:rsid w:val="00A213AE"/>
    <w:rsid w:val="00A2153E"/>
    <w:rsid w:val="00A2230A"/>
    <w:rsid w:val="00A230D1"/>
    <w:rsid w:val="00A2343A"/>
    <w:rsid w:val="00A2366D"/>
    <w:rsid w:val="00A23F07"/>
    <w:rsid w:val="00A24E27"/>
    <w:rsid w:val="00A25063"/>
    <w:rsid w:val="00A251D6"/>
    <w:rsid w:val="00A256CA"/>
    <w:rsid w:val="00A25CF9"/>
    <w:rsid w:val="00A2763B"/>
    <w:rsid w:val="00A301AA"/>
    <w:rsid w:val="00A311B9"/>
    <w:rsid w:val="00A3145F"/>
    <w:rsid w:val="00A31A2D"/>
    <w:rsid w:val="00A31DE9"/>
    <w:rsid w:val="00A33616"/>
    <w:rsid w:val="00A3486D"/>
    <w:rsid w:val="00A353F0"/>
    <w:rsid w:val="00A36686"/>
    <w:rsid w:val="00A36988"/>
    <w:rsid w:val="00A37364"/>
    <w:rsid w:val="00A37611"/>
    <w:rsid w:val="00A4033B"/>
    <w:rsid w:val="00A40980"/>
    <w:rsid w:val="00A41783"/>
    <w:rsid w:val="00A41DD4"/>
    <w:rsid w:val="00A41ED7"/>
    <w:rsid w:val="00A41EE9"/>
    <w:rsid w:val="00A41F2B"/>
    <w:rsid w:val="00A43084"/>
    <w:rsid w:val="00A430A1"/>
    <w:rsid w:val="00A43822"/>
    <w:rsid w:val="00A43EB7"/>
    <w:rsid w:val="00A44A52"/>
    <w:rsid w:val="00A4513B"/>
    <w:rsid w:val="00A453F3"/>
    <w:rsid w:val="00A46450"/>
    <w:rsid w:val="00A468E8"/>
    <w:rsid w:val="00A46CFD"/>
    <w:rsid w:val="00A46E94"/>
    <w:rsid w:val="00A47C23"/>
    <w:rsid w:val="00A47C73"/>
    <w:rsid w:val="00A47CAB"/>
    <w:rsid w:val="00A501C6"/>
    <w:rsid w:val="00A503FE"/>
    <w:rsid w:val="00A53DE5"/>
    <w:rsid w:val="00A53DE6"/>
    <w:rsid w:val="00A53F20"/>
    <w:rsid w:val="00A54641"/>
    <w:rsid w:val="00A5480D"/>
    <w:rsid w:val="00A54921"/>
    <w:rsid w:val="00A54B0E"/>
    <w:rsid w:val="00A56029"/>
    <w:rsid w:val="00A568CA"/>
    <w:rsid w:val="00A5703B"/>
    <w:rsid w:val="00A600B6"/>
    <w:rsid w:val="00A60BE9"/>
    <w:rsid w:val="00A617FD"/>
    <w:rsid w:val="00A6228C"/>
    <w:rsid w:val="00A62441"/>
    <w:rsid w:val="00A62765"/>
    <w:rsid w:val="00A627AB"/>
    <w:rsid w:val="00A62D71"/>
    <w:rsid w:val="00A6368C"/>
    <w:rsid w:val="00A63846"/>
    <w:rsid w:val="00A65877"/>
    <w:rsid w:val="00A705E8"/>
    <w:rsid w:val="00A71290"/>
    <w:rsid w:val="00A71997"/>
    <w:rsid w:val="00A71A4C"/>
    <w:rsid w:val="00A71B2C"/>
    <w:rsid w:val="00A72C02"/>
    <w:rsid w:val="00A72C32"/>
    <w:rsid w:val="00A732AC"/>
    <w:rsid w:val="00A73939"/>
    <w:rsid w:val="00A75029"/>
    <w:rsid w:val="00A758EB"/>
    <w:rsid w:val="00A80EF9"/>
    <w:rsid w:val="00A81612"/>
    <w:rsid w:val="00A817C2"/>
    <w:rsid w:val="00A81FF3"/>
    <w:rsid w:val="00A8313F"/>
    <w:rsid w:val="00A8553F"/>
    <w:rsid w:val="00A85C08"/>
    <w:rsid w:val="00A86880"/>
    <w:rsid w:val="00A8769E"/>
    <w:rsid w:val="00A904FA"/>
    <w:rsid w:val="00A908F7"/>
    <w:rsid w:val="00A92D91"/>
    <w:rsid w:val="00A93637"/>
    <w:rsid w:val="00A94750"/>
    <w:rsid w:val="00A94A30"/>
    <w:rsid w:val="00A95045"/>
    <w:rsid w:val="00A9537F"/>
    <w:rsid w:val="00A96A06"/>
    <w:rsid w:val="00A96ED9"/>
    <w:rsid w:val="00AA0882"/>
    <w:rsid w:val="00AA0E41"/>
    <w:rsid w:val="00AA18DD"/>
    <w:rsid w:val="00AA2B09"/>
    <w:rsid w:val="00AA426A"/>
    <w:rsid w:val="00AA4653"/>
    <w:rsid w:val="00AA5C37"/>
    <w:rsid w:val="00AA6FA0"/>
    <w:rsid w:val="00AA73E4"/>
    <w:rsid w:val="00AB0186"/>
    <w:rsid w:val="00AB231F"/>
    <w:rsid w:val="00AB2EB7"/>
    <w:rsid w:val="00AB3211"/>
    <w:rsid w:val="00AB3C36"/>
    <w:rsid w:val="00AB46E4"/>
    <w:rsid w:val="00AB48BA"/>
    <w:rsid w:val="00AB4DB6"/>
    <w:rsid w:val="00AB577B"/>
    <w:rsid w:val="00AB651B"/>
    <w:rsid w:val="00AB653F"/>
    <w:rsid w:val="00AB72C1"/>
    <w:rsid w:val="00AC35AA"/>
    <w:rsid w:val="00AC42CC"/>
    <w:rsid w:val="00AC44C8"/>
    <w:rsid w:val="00AC4542"/>
    <w:rsid w:val="00AC4576"/>
    <w:rsid w:val="00AC4670"/>
    <w:rsid w:val="00AC4693"/>
    <w:rsid w:val="00AC57AB"/>
    <w:rsid w:val="00AC5AD0"/>
    <w:rsid w:val="00AC5E31"/>
    <w:rsid w:val="00AC5FCC"/>
    <w:rsid w:val="00AD000A"/>
    <w:rsid w:val="00AD0444"/>
    <w:rsid w:val="00AD07EB"/>
    <w:rsid w:val="00AD13CB"/>
    <w:rsid w:val="00AD1851"/>
    <w:rsid w:val="00AD1C3A"/>
    <w:rsid w:val="00AD2231"/>
    <w:rsid w:val="00AD24E7"/>
    <w:rsid w:val="00AD2AB6"/>
    <w:rsid w:val="00AD2F66"/>
    <w:rsid w:val="00AD3667"/>
    <w:rsid w:val="00AD4464"/>
    <w:rsid w:val="00AD4C5F"/>
    <w:rsid w:val="00AD4DCE"/>
    <w:rsid w:val="00AD4E39"/>
    <w:rsid w:val="00AD6CF8"/>
    <w:rsid w:val="00AD72AC"/>
    <w:rsid w:val="00AD7C27"/>
    <w:rsid w:val="00AE0264"/>
    <w:rsid w:val="00AE02C0"/>
    <w:rsid w:val="00AE0B27"/>
    <w:rsid w:val="00AE18FB"/>
    <w:rsid w:val="00AE233A"/>
    <w:rsid w:val="00AE26B2"/>
    <w:rsid w:val="00AE2864"/>
    <w:rsid w:val="00AE2EB9"/>
    <w:rsid w:val="00AE4595"/>
    <w:rsid w:val="00AE475D"/>
    <w:rsid w:val="00AE66AA"/>
    <w:rsid w:val="00AE7943"/>
    <w:rsid w:val="00AF03C7"/>
    <w:rsid w:val="00AF0519"/>
    <w:rsid w:val="00AF1D51"/>
    <w:rsid w:val="00AF1E48"/>
    <w:rsid w:val="00AF2580"/>
    <w:rsid w:val="00AF307C"/>
    <w:rsid w:val="00AF3A4C"/>
    <w:rsid w:val="00AF5074"/>
    <w:rsid w:val="00AF5532"/>
    <w:rsid w:val="00AF5CDD"/>
    <w:rsid w:val="00AF641B"/>
    <w:rsid w:val="00AF71D2"/>
    <w:rsid w:val="00AF721D"/>
    <w:rsid w:val="00AF729B"/>
    <w:rsid w:val="00B0012E"/>
    <w:rsid w:val="00B0135B"/>
    <w:rsid w:val="00B016F7"/>
    <w:rsid w:val="00B017F1"/>
    <w:rsid w:val="00B02079"/>
    <w:rsid w:val="00B034A9"/>
    <w:rsid w:val="00B046FD"/>
    <w:rsid w:val="00B061A7"/>
    <w:rsid w:val="00B06D5D"/>
    <w:rsid w:val="00B07328"/>
    <w:rsid w:val="00B07503"/>
    <w:rsid w:val="00B077A4"/>
    <w:rsid w:val="00B07AE6"/>
    <w:rsid w:val="00B10EF7"/>
    <w:rsid w:val="00B12C17"/>
    <w:rsid w:val="00B132AB"/>
    <w:rsid w:val="00B13BBB"/>
    <w:rsid w:val="00B15669"/>
    <w:rsid w:val="00B15B6D"/>
    <w:rsid w:val="00B20E89"/>
    <w:rsid w:val="00B20EF5"/>
    <w:rsid w:val="00B21D65"/>
    <w:rsid w:val="00B22689"/>
    <w:rsid w:val="00B22EB7"/>
    <w:rsid w:val="00B235BC"/>
    <w:rsid w:val="00B236E9"/>
    <w:rsid w:val="00B24DB9"/>
    <w:rsid w:val="00B254E1"/>
    <w:rsid w:val="00B25C3C"/>
    <w:rsid w:val="00B25EEC"/>
    <w:rsid w:val="00B266E3"/>
    <w:rsid w:val="00B269C0"/>
    <w:rsid w:val="00B27288"/>
    <w:rsid w:val="00B30A26"/>
    <w:rsid w:val="00B31814"/>
    <w:rsid w:val="00B31952"/>
    <w:rsid w:val="00B3298C"/>
    <w:rsid w:val="00B33525"/>
    <w:rsid w:val="00B35DD3"/>
    <w:rsid w:val="00B365C9"/>
    <w:rsid w:val="00B36FB2"/>
    <w:rsid w:val="00B36FDE"/>
    <w:rsid w:val="00B370AD"/>
    <w:rsid w:val="00B370E6"/>
    <w:rsid w:val="00B371D2"/>
    <w:rsid w:val="00B378FE"/>
    <w:rsid w:val="00B379A5"/>
    <w:rsid w:val="00B379F4"/>
    <w:rsid w:val="00B37E67"/>
    <w:rsid w:val="00B412B0"/>
    <w:rsid w:val="00B41A46"/>
    <w:rsid w:val="00B42C62"/>
    <w:rsid w:val="00B44E4F"/>
    <w:rsid w:val="00B45A09"/>
    <w:rsid w:val="00B46BC7"/>
    <w:rsid w:val="00B50A1B"/>
    <w:rsid w:val="00B51B8F"/>
    <w:rsid w:val="00B5329B"/>
    <w:rsid w:val="00B533B6"/>
    <w:rsid w:val="00B53A40"/>
    <w:rsid w:val="00B53B54"/>
    <w:rsid w:val="00B542ED"/>
    <w:rsid w:val="00B54889"/>
    <w:rsid w:val="00B54EBC"/>
    <w:rsid w:val="00B5657A"/>
    <w:rsid w:val="00B56925"/>
    <w:rsid w:val="00B574D9"/>
    <w:rsid w:val="00B57B6A"/>
    <w:rsid w:val="00B60172"/>
    <w:rsid w:val="00B60336"/>
    <w:rsid w:val="00B60D55"/>
    <w:rsid w:val="00B612F9"/>
    <w:rsid w:val="00B61DF9"/>
    <w:rsid w:val="00B623D8"/>
    <w:rsid w:val="00B62A27"/>
    <w:rsid w:val="00B6344C"/>
    <w:rsid w:val="00B648A5"/>
    <w:rsid w:val="00B6558A"/>
    <w:rsid w:val="00B6574C"/>
    <w:rsid w:val="00B65EFB"/>
    <w:rsid w:val="00B660E3"/>
    <w:rsid w:val="00B6654F"/>
    <w:rsid w:val="00B67035"/>
    <w:rsid w:val="00B70BDE"/>
    <w:rsid w:val="00B71257"/>
    <w:rsid w:val="00B720EC"/>
    <w:rsid w:val="00B72A3C"/>
    <w:rsid w:val="00B72CEE"/>
    <w:rsid w:val="00B738AF"/>
    <w:rsid w:val="00B75D3B"/>
    <w:rsid w:val="00B77631"/>
    <w:rsid w:val="00B80068"/>
    <w:rsid w:val="00B80B11"/>
    <w:rsid w:val="00B81AFF"/>
    <w:rsid w:val="00B81C0C"/>
    <w:rsid w:val="00B82467"/>
    <w:rsid w:val="00B82689"/>
    <w:rsid w:val="00B82EF4"/>
    <w:rsid w:val="00B8321C"/>
    <w:rsid w:val="00B83CE8"/>
    <w:rsid w:val="00B84A2B"/>
    <w:rsid w:val="00B84D8D"/>
    <w:rsid w:val="00B8671B"/>
    <w:rsid w:val="00B87344"/>
    <w:rsid w:val="00B87834"/>
    <w:rsid w:val="00B87E16"/>
    <w:rsid w:val="00B91103"/>
    <w:rsid w:val="00B911BE"/>
    <w:rsid w:val="00B91686"/>
    <w:rsid w:val="00B91B20"/>
    <w:rsid w:val="00B91E3E"/>
    <w:rsid w:val="00B92AE9"/>
    <w:rsid w:val="00B93612"/>
    <w:rsid w:val="00B93EA5"/>
    <w:rsid w:val="00B94E92"/>
    <w:rsid w:val="00B95003"/>
    <w:rsid w:val="00B9519B"/>
    <w:rsid w:val="00B95BD0"/>
    <w:rsid w:val="00B9606D"/>
    <w:rsid w:val="00B976AB"/>
    <w:rsid w:val="00B97991"/>
    <w:rsid w:val="00BA0360"/>
    <w:rsid w:val="00BA0DE5"/>
    <w:rsid w:val="00BA189D"/>
    <w:rsid w:val="00BA2B87"/>
    <w:rsid w:val="00BA351B"/>
    <w:rsid w:val="00BA361F"/>
    <w:rsid w:val="00BA4F97"/>
    <w:rsid w:val="00BA7004"/>
    <w:rsid w:val="00BB0A40"/>
    <w:rsid w:val="00BB1639"/>
    <w:rsid w:val="00BB1C13"/>
    <w:rsid w:val="00BB2C4B"/>
    <w:rsid w:val="00BB2E2C"/>
    <w:rsid w:val="00BB2FDC"/>
    <w:rsid w:val="00BB366B"/>
    <w:rsid w:val="00BB3ADA"/>
    <w:rsid w:val="00BB4017"/>
    <w:rsid w:val="00BB54B3"/>
    <w:rsid w:val="00BB5C04"/>
    <w:rsid w:val="00BB5CA7"/>
    <w:rsid w:val="00BB665B"/>
    <w:rsid w:val="00BB68A7"/>
    <w:rsid w:val="00BB7DE6"/>
    <w:rsid w:val="00BC1BAF"/>
    <w:rsid w:val="00BC2BE8"/>
    <w:rsid w:val="00BC3FB9"/>
    <w:rsid w:val="00BC5DB8"/>
    <w:rsid w:val="00BC5E87"/>
    <w:rsid w:val="00BC6025"/>
    <w:rsid w:val="00BC641B"/>
    <w:rsid w:val="00BC670F"/>
    <w:rsid w:val="00BD0035"/>
    <w:rsid w:val="00BD014E"/>
    <w:rsid w:val="00BD1D11"/>
    <w:rsid w:val="00BD3E6F"/>
    <w:rsid w:val="00BD462B"/>
    <w:rsid w:val="00BD48E0"/>
    <w:rsid w:val="00BD65D3"/>
    <w:rsid w:val="00BD67F4"/>
    <w:rsid w:val="00BD6F89"/>
    <w:rsid w:val="00BD7D6F"/>
    <w:rsid w:val="00BE04D3"/>
    <w:rsid w:val="00BE090A"/>
    <w:rsid w:val="00BE0E6F"/>
    <w:rsid w:val="00BE1066"/>
    <w:rsid w:val="00BE15C2"/>
    <w:rsid w:val="00BE22A7"/>
    <w:rsid w:val="00BE22C6"/>
    <w:rsid w:val="00BE2A52"/>
    <w:rsid w:val="00BE310E"/>
    <w:rsid w:val="00BE3E2C"/>
    <w:rsid w:val="00BE3E37"/>
    <w:rsid w:val="00BE4575"/>
    <w:rsid w:val="00BE4BB8"/>
    <w:rsid w:val="00BE4C4C"/>
    <w:rsid w:val="00BE590D"/>
    <w:rsid w:val="00BE6E5C"/>
    <w:rsid w:val="00BE7181"/>
    <w:rsid w:val="00BE75D3"/>
    <w:rsid w:val="00BF0D49"/>
    <w:rsid w:val="00BF0F41"/>
    <w:rsid w:val="00BF1161"/>
    <w:rsid w:val="00BF1502"/>
    <w:rsid w:val="00BF1555"/>
    <w:rsid w:val="00BF2031"/>
    <w:rsid w:val="00BF23A8"/>
    <w:rsid w:val="00BF3251"/>
    <w:rsid w:val="00BF37A7"/>
    <w:rsid w:val="00BF3F4F"/>
    <w:rsid w:val="00BF587C"/>
    <w:rsid w:val="00BF6048"/>
    <w:rsid w:val="00BF6952"/>
    <w:rsid w:val="00BF6FBB"/>
    <w:rsid w:val="00C00458"/>
    <w:rsid w:val="00C0068D"/>
    <w:rsid w:val="00C00D45"/>
    <w:rsid w:val="00C015D0"/>
    <w:rsid w:val="00C0188B"/>
    <w:rsid w:val="00C01D85"/>
    <w:rsid w:val="00C02933"/>
    <w:rsid w:val="00C0462C"/>
    <w:rsid w:val="00C04B91"/>
    <w:rsid w:val="00C051BE"/>
    <w:rsid w:val="00C060C9"/>
    <w:rsid w:val="00C060EB"/>
    <w:rsid w:val="00C062D6"/>
    <w:rsid w:val="00C06C03"/>
    <w:rsid w:val="00C06D28"/>
    <w:rsid w:val="00C06E2C"/>
    <w:rsid w:val="00C0766B"/>
    <w:rsid w:val="00C078FF"/>
    <w:rsid w:val="00C1017F"/>
    <w:rsid w:val="00C1035A"/>
    <w:rsid w:val="00C10C73"/>
    <w:rsid w:val="00C11495"/>
    <w:rsid w:val="00C1195A"/>
    <w:rsid w:val="00C11A8E"/>
    <w:rsid w:val="00C13114"/>
    <w:rsid w:val="00C14278"/>
    <w:rsid w:val="00C15228"/>
    <w:rsid w:val="00C15B1D"/>
    <w:rsid w:val="00C16C7F"/>
    <w:rsid w:val="00C1704B"/>
    <w:rsid w:val="00C21615"/>
    <w:rsid w:val="00C2178E"/>
    <w:rsid w:val="00C21FFC"/>
    <w:rsid w:val="00C2325F"/>
    <w:rsid w:val="00C24793"/>
    <w:rsid w:val="00C249C7"/>
    <w:rsid w:val="00C24C5D"/>
    <w:rsid w:val="00C27721"/>
    <w:rsid w:val="00C279B0"/>
    <w:rsid w:val="00C27D7D"/>
    <w:rsid w:val="00C3058A"/>
    <w:rsid w:val="00C31AFF"/>
    <w:rsid w:val="00C326F7"/>
    <w:rsid w:val="00C32879"/>
    <w:rsid w:val="00C32DA7"/>
    <w:rsid w:val="00C34179"/>
    <w:rsid w:val="00C34916"/>
    <w:rsid w:val="00C351B1"/>
    <w:rsid w:val="00C3533B"/>
    <w:rsid w:val="00C36B0C"/>
    <w:rsid w:val="00C37F42"/>
    <w:rsid w:val="00C42C52"/>
    <w:rsid w:val="00C433F7"/>
    <w:rsid w:val="00C44292"/>
    <w:rsid w:val="00C44381"/>
    <w:rsid w:val="00C44B8D"/>
    <w:rsid w:val="00C44DF9"/>
    <w:rsid w:val="00C45DCD"/>
    <w:rsid w:val="00C46472"/>
    <w:rsid w:val="00C5272A"/>
    <w:rsid w:val="00C53B47"/>
    <w:rsid w:val="00C543E0"/>
    <w:rsid w:val="00C55CB8"/>
    <w:rsid w:val="00C5625F"/>
    <w:rsid w:val="00C57B63"/>
    <w:rsid w:val="00C57C30"/>
    <w:rsid w:val="00C60306"/>
    <w:rsid w:val="00C607D2"/>
    <w:rsid w:val="00C60D85"/>
    <w:rsid w:val="00C61911"/>
    <w:rsid w:val="00C65602"/>
    <w:rsid w:val="00C679E4"/>
    <w:rsid w:val="00C702B9"/>
    <w:rsid w:val="00C711FB"/>
    <w:rsid w:val="00C7224D"/>
    <w:rsid w:val="00C72D31"/>
    <w:rsid w:val="00C7337F"/>
    <w:rsid w:val="00C74176"/>
    <w:rsid w:val="00C76062"/>
    <w:rsid w:val="00C76964"/>
    <w:rsid w:val="00C769D6"/>
    <w:rsid w:val="00C805FA"/>
    <w:rsid w:val="00C8067F"/>
    <w:rsid w:val="00C81864"/>
    <w:rsid w:val="00C821FB"/>
    <w:rsid w:val="00C82CC4"/>
    <w:rsid w:val="00C83E95"/>
    <w:rsid w:val="00C84458"/>
    <w:rsid w:val="00C85492"/>
    <w:rsid w:val="00C860F7"/>
    <w:rsid w:val="00C863AD"/>
    <w:rsid w:val="00C86DC3"/>
    <w:rsid w:val="00C879D3"/>
    <w:rsid w:val="00C879EE"/>
    <w:rsid w:val="00C920A1"/>
    <w:rsid w:val="00C9230D"/>
    <w:rsid w:val="00C92A69"/>
    <w:rsid w:val="00C951C8"/>
    <w:rsid w:val="00C95620"/>
    <w:rsid w:val="00C95780"/>
    <w:rsid w:val="00C96E5F"/>
    <w:rsid w:val="00CA103D"/>
    <w:rsid w:val="00CA2194"/>
    <w:rsid w:val="00CA24A5"/>
    <w:rsid w:val="00CA2F99"/>
    <w:rsid w:val="00CA3ADF"/>
    <w:rsid w:val="00CA445A"/>
    <w:rsid w:val="00CA544C"/>
    <w:rsid w:val="00CA607F"/>
    <w:rsid w:val="00CA609F"/>
    <w:rsid w:val="00CA6343"/>
    <w:rsid w:val="00CA7277"/>
    <w:rsid w:val="00CA7F23"/>
    <w:rsid w:val="00CB0B5B"/>
    <w:rsid w:val="00CB2F0B"/>
    <w:rsid w:val="00CB33EC"/>
    <w:rsid w:val="00CB3A7C"/>
    <w:rsid w:val="00CB4064"/>
    <w:rsid w:val="00CB4E4E"/>
    <w:rsid w:val="00CB58E2"/>
    <w:rsid w:val="00CB62DF"/>
    <w:rsid w:val="00CB649B"/>
    <w:rsid w:val="00CB6A9F"/>
    <w:rsid w:val="00CB6E3D"/>
    <w:rsid w:val="00CB75CF"/>
    <w:rsid w:val="00CB7CB5"/>
    <w:rsid w:val="00CC0383"/>
    <w:rsid w:val="00CC068E"/>
    <w:rsid w:val="00CC218E"/>
    <w:rsid w:val="00CC2796"/>
    <w:rsid w:val="00CC3308"/>
    <w:rsid w:val="00CC4960"/>
    <w:rsid w:val="00CC4AFB"/>
    <w:rsid w:val="00CC57B1"/>
    <w:rsid w:val="00CC6233"/>
    <w:rsid w:val="00CC67EB"/>
    <w:rsid w:val="00CC6CCC"/>
    <w:rsid w:val="00CC732F"/>
    <w:rsid w:val="00CC7FCC"/>
    <w:rsid w:val="00CD0827"/>
    <w:rsid w:val="00CD0FD2"/>
    <w:rsid w:val="00CD19CF"/>
    <w:rsid w:val="00CD1A11"/>
    <w:rsid w:val="00CD2972"/>
    <w:rsid w:val="00CD3ACD"/>
    <w:rsid w:val="00CD3C80"/>
    <w:rsid w:val="00CD41D4"/>
    <w:rsid w:val="00CD6FF9"/>
    <w:rsid w:val="00CD7664"/>
    <w:rsid w:val="00CD7945"/>
    <w:rsid w:val="00CD7BAB"/>
    <w:rsid w:val="00CE085F"/>
    <w:rsid w:val="00CE0EEC"/>
    <w:rsid w:val="00CE1900"/>
    <w:rsid w:val="00CE19E7"/>
    <w:rsid w:val="00CE3D6A"/>
    <w:rsid w:val="00CE3E42"/>
    <w:rsid w:val="00CE4121"/>
    <w:rsid w:val="00CE43CE"/>
    <w:rsid w:val="00CE4EE9"/>
    <w:rsid w:val="00CE5AC0"/>
    <w:rsid w:val="00CE5E8B"/>
    <w:rsid w:val="00CE60AF"/>
    <w:rsid w:val="00CE61C3"/>
    <w:rsid w:val="00CE658F"/>
    <w:rsid w:val="00CE6DDC"/>
    <w:rsid w:val="00CE77FE"/>
    <w:rsid w:val="00CE7DB1"/>
    <w:rsid w:val="00CF0D5E"/>
    <w:rsid w:val="00CF1CF8"/>
    <w:rsid w:val="00CF1D69"/>
    <w:rsid w:val="00CF211D"/>
    <w:rsid w:val="00CF2E33"/>
    <w:rsid w:val="00CF3007"/>
    <w:rsid w:val="00CF32E7"/>
    <w:rsid w:val="00CF333D"/>
    <w:rsid w:val="00CF359E"/>
    <w:rsid w:val="00CF3962"/>
    <w:rsid w:val="00CF555B"/>
    <w:rsid w:val="00CF6D90"/>
    <w:rsid w:val="00CF74D6"/>
    <w:rsid w:val="00CF7515"/>
    <w:rsid w:val="00D00DCB"/>
    <w:rsid w:val="00D01A26"/>
    <w:rsid w:val="00D02202"/>
    <w:rsid w:val="00D03BA7"/>
    <w:rsid w:val="00D03C32"/>
    <w:rsid w:val="00D05595"/>
    <w:rsid w:val="00D05A87"/>
    <w:rsid w:val="00D0667A"/>
    <w:rsid w:val="00D06AB7"/>
    <w:rsid w:val="00D06F84"/>
    <w:rsid w:val="00D07791"/>
    <w:rsid w:val="00D07ADB"/>
    <w:rsid w:val="00D10378"/>
    <w:rsid w:val="00D10D7A"/>
    <w:rsid w:val="00D12219"/>
    <w:rsid w:val="00D1244F"/>
    <w:rsid w:val="00D12488"/>
    <w:rsid w:val="00D1505E"/>
    <w:rsid w:val="00D16053"/>
    <w:rsid w:val="00D16089"/>
    <w:rsid w:val="00D16518"/>
    <w:rsid w:val="00D174DA"/>
    <w:rsid w:val="00D22EE6"/>
    <w:rsid w:val="00D22F8C"/>
    <w:rsid w:val="00D2378A"/>
    <w:rsid w:val="00D23978"/>
    <w:rsid w:val="00D25C0A"/>
    <w:rsid w:val="00D26202"/>
    <w:rsid w:val="00D27238"/>
    <w:rsid w:val="00D27AE2"/>
    <w:rsid w:val="00D30880"/>
    <w:rsid w:val="00D30FD3"/>
    <w:rsid w:val="00D31FF7"/>
    <w:rsid w:val="00D34765"/>
    <w:rsid w:val="00D34A4A"/>
    <w:rsid w:val="00D34D2A"/>
    <w:rsid w:val="00D34FF9"/>
    <w:rsid w:val="00D35A86"/>
    <w:rsid w:val="00D369CF"/>
    <w:rsid w:val="00D36F01"/>
    <w:rsid w:val="00D3718D"/>
    <w:rsid w:val="00D373A7"/>
    <w:rsid w:val="00D379A1"/>
    <w:rsid w:val="00D37A57"/>
    <w:rsid w:val="00D40762"/>
    <w:rsid w:val="00D41297"/>
    <w:rsid w:val="00D4168D"/>
    <w:rsid w:val="00D4181E"/>
    <w:rsid w:val="00D42F8D"/>
    <w:rsid w:val="00D4480F"/>
    <w:rsid w:val="00D44EC9"/>
    <w:rsid w:val="00D4615E"/>
    <w:rsid w:val="00D47D24"/>
    <w:rsid w:val="00D50734"/>
    <w:rsid w:val="00D50A5A"/>
    <w:rsid w:val="00D51614"/>
    <w:rsid w:val="00D51B99"/>
    <w:rsid w:val="00D51D14"/>
    <w:rsid w:val="00D51D3B"/>
    <w:rsid w:val="00D52926"/>
    <w:rsid w:val="00D5297E"/>
    <w:rsid w:val="00D52D40"/>
    <w:rsid w:val="00D532C0"/>
    <w:rsid w:val="00D532D3"/>
    <w:rsid w:val="00D5413D"/>
    <w:rsid w:val="00D54ADC"/>
    <w:rsid w:val="00D54C66"/>
    <w:rsid w:val="00D54CB9"/>
    <w:rsid w:val="00D55568"/>
    <w:rsid w:val="00D56BA7"/>
    <w:rsid w:val="00D56E4D"/>
    <w:rsid w:val="00D607B4"/>
    <w:rsid w:val="00D60D7C"/>
    <w:rsid w:val="00D615B0"/>
    <w:rsid w:val="00D62A43"/>
    <w:rsid w:val="00D62DCF"/>
    <w:rsid w:val="00D62FDC"/>
    <w:rsid w:val="00D639EC"/>
    <w:rsid w:val="00D63F41"/>
    <w:rsid w:val="00D642A6"/>
    <w:rsid w:val="00D6484E"/>
    <w:rsid w:val="00D66043"/>
    <w:rsid w:val="00D660FB"/>
    <w:rsid w:val="00D67025"/>
    <w:rsid w:val="00D6757C"/>
    <w:rsid w:val="00D67859"/>
    <w:rsid w:val="00D67994"/>
    <w:rsid w:val="00D70096"/>
    <w:rsid w:val="00D700B9"/>
    <w:rsid w:val="00D707A7"/>
    <w:rsid w:val="00D70CD6"/>
    <w:rsid w:val="00D71AA2"/>
    <w:rsid w:val="00D72705"/>
    <w:rsid w:val="00D72DE1"/>
    <w:rsid w:val="00D73464"/>
    <w:rsid w:val="00D7356F"/>
    <w:rsid w:val="00D73FD7"/>
    <w:rsid w:val="00D7640F"/>
    <w:rsid w:val="00D77AF2"/>
    <w:rsid w:val="00D806F8"/>
    <w:rsid w:val="00D8079E"/>
    <w:rsid w:val="00D808B4"/>
    <w:rsid w:val="00D810FE"/>
    <w:rsid w:val="00D8147A"/>
    <w:rsid w:val="00D82863"/>
    <w:rsid w:val="00D82B29"/>
    <w:rsid w:val="00D82D60"/>
    <w:rsid w:val="00D83353"/>
    <w:rsid w:val="00D83A52"/>
    <w:rsid w:val="00D8589F"/>
    <w:rsid w:val="00D85A40"/>
    <w:rsid w:val="00D85BC2"/>
    <w:rsid w:val="00D865A0"/>
    <w:rsid w:val="00D86673"/>
    <w:rsid w:val="00D87257"/>
    <w:rsid w:val="00D87B17"/>
    <w:rsid w:val="00D907CF"/>
    <w:rsid w:val="00D93000"/>
    <w:rsid w:val="00D938E3"/>
    <w:rsid w:val="00D93FFA"/>
    <w:rsid w:val="00D94526"/>
    <w:rsid w:val="00D9480B"/>
    <w:rsid w:val="00D94BDA"/>
    <w:rsid w:val="00D9505A"/>
    <w:rsid w:val="00D95699"/>
    <w:rsid w:val="00DA0DE1"/>
    <w:rsid w:val="00DA169B"/>
    <w:rsid w:val="00DA259E"/>
    <w:rsid w:val="00DA3217"/>
    <w:rsid w:val="00DA3E07"/>
    <w:rsid w:val="00DA405E"/>
    <w:rsid w:val="00DA4991"/>
    <w:rsid w:val="00DA4D57"/>
    <w:rsid w:val="00DA5330"/>
    <w:rsid w:val="00DA53C2"/>
    <w:rsid w:val="00DA697A"/>
    <w:rsid w:val="00DA6A43"/>
    <w:rsid w:val="00DA6CFD"/>
    <w:rsid w:val="00DA6DD7"/>
    <w:rsid w:val="00DA7986"/>
    <w:rsid w:val="00DA7CA4"/>
    <w:rsid w:val="00DA7D4F"/>
    <w:rsid w:val="00DA7EF9"/>
    <w:rsid w:val="00DB0980"/>
    <w:rsid w:val="00DB1871"/>
    <w:rsid w:val="00DB2698"/>
    <w:rsid w:val="00DB2B91"/>
    <w:rsid w:val="00DB43AE"/>
    <w:rsid w:val="00DB51CF"/>
    <w:rsid w:val="00DB7F4E"/>
    <w:rsid w:val="00DC0A3B"/>
    <w:rsid w:val="00DC0B1E"/>
    <w:rsid w:val="00DC0DFA"/>
    <w:rsid w:val="00DC1028"/>
    <w:rsid w:val="00DC15B8"/>
    <w:rsid w:val="00DC1CF3"/>
    <w:rsid w:val="00DC1D0D"/>
    <w:rsid w:val="00DC1E3C"/>
    <w:rsid w:val="00DC3404"/>
    <w:rsid w:val="00DC3BEE"/>
    <w:rsid w:val="00DC405B"/>
    <w:rsid w:val="00DC552C"/>
    <w:rsid w:val="00DC5B80"/>
    <w:rsid w:val="00DC76F5"/>
    <w:rsid w:val="00DC78AA"/>
    <w:rsid w:val="00DD00A2"/>
    <w:rsid w:val="00DD0605"/>
    <w:rsid w:val="00DD06B8"/>
    <w:rsid w:val="00DD1D6A"/>
    <w:rsid w:val="00DD1EAC"/>
    <w:rsid w:val="00DD1FDB"/>
    <w:rsid w:val="00DD242F"/>
    <w:rsid w:val="00DD272E"/>
    <w:rsid w:val="00DD338F"/>
    <w:rsid w:val="00DD4F46"/>
    <w:rsid w:val="00DD51D2"/>
    <w:rsid w:val="00DD5986"/>
    <w:rsid w:val="00DD5CAA"/>
    <w:rsid w:val="00DD7464"/>
    <w:rsid w:val="00DD77D5"/>
    <w:rsid w:val="00DD7FCC"/>
    <w:rsid w:val="00DE0337"/>
    <w:rsid w:val="00DE5ACA"/>
    <w:rsid w:val="00DE652F"/>
    <w:rsid w:val="00DE66EE"/>
    <w:rsid w:val="00DE71B3"/>
    <w:rsid w:val="00DE79A9"/>
    <w:rsid w:val="00DF0272"/>
    <w:rsid w:val="00DF184C"/>
    <w:rsid w:val="00DF185C"/>
    <w:rsid w:val="00DF1C74"/>
    <w:rsid w:val="00DF1D8B"/>
    <w:rsid w:val="00DF21ED"/>
    <w:rsid w:val="00DF2488"/>
    <w:rsid w:val="00DF2495"/>
    <w:rsid w:val="00DF2A81"/>
    <w:rsid w:val="00DF2CFE"/>
    <w:rsid w:val="00DF2DA9"/>
    <w:rsid w:val="00DF3148"/>
    <w:rsid w:val="00DF4B96"/>
    <w:rsid w:val="00DF4D2C"/>
    <w:rsid w:val="00DF5DD4"/>
    <w:rsid w:val="00DF5EF2"/>
    <w:rsid w:val="00DF615A"/>
    <w:rsid w:val="00DF699E"/>
    <w:rsid w:val="00DF7755"/>
    <w:rsid w:val="00E01280"/>
    <w:rsid w:val="00E0202E"/>
    <w:rsid w:val="00E02AA1"/>
    <w:rsid w:val="00E04DD0"/>
    <w:rsid w:val="00E0588A"/>
    <w:rsid w:val="00E05946"/>
    <w:rsid w:val="00E06CC3"/>
    <w:rsid w:val="00E10618"/>
    <w:rsid w:val="00E12E6E"/>
    <w:rsid w:val="00E15BB7"/>
    <w:rsid w:val="00E17BDB"/>
    <w:rsid w:val="00E20769"/>
    <w:rsid w:val="00E20902"/>
    <w:rsid w:val="00E221EE"/>
    <w:rsid w:val="00E22BA1"/>
    <w:rsid w:val="00E22BA2"/>
    <w:rsid w:val="00E23029"/>
    <w:rsid w:val="00E2377C"/>
    <w:rsid w:val="00E242DD"/>
    <w:rsid w:val="00E24DF3"/>
    <w:rsid w:val="00E25FDE"/>
    <w:rsid w:val="00E26522"/>
    <w:rsid w:val="00E273B9"/>
    <w:rsid w:val="00E27E98"/>
    <w:rsid w:val="00E30DF4"/>
    <w:rsid w:val="00E3125C"/>
    <w:rsid w:val="00E321F5"/>
    <w:rsid w:val="00E33281"/>
    <w:rsid w:val="00E3441A"/>
    <w:rsid w:val="00E3505F"/>
    <w:rsid w:val="00E35B24"/>
    <w:rsid w:val="00E36E6C"/>
    <w:rsid w:val="00E373E9"/>
    <w:rsid w:val="00E37784"/>
    <w:rsid w:val="00E377B9"/>
    <w:rsid w:val="00E40332"/>
    <w:rsid w:val="00E40CD5"/>
    <w:rsid w:val="00E41DD3"/>
    <w:rsid w:val="00E41E73"/>
    <w:rsid w:val="00E4284D"/>
    <w:rsid w:val="00E43075"/>
    <w:rsid w:val="00E4387D"/>
    <w:rsid w:val="00E43C11"/>
    <w:rsid w:val="00E44365"/>
    <w:rsid w:val="00E44AA0"/>
    <w:rsid w:val="00E44CC8"/>
    <w:rsid w:val="00E45F1C"/>
    <w:rsid w:val="00E460D1"/>
    <w:rsid w:val="00E467BB"/>
    <w:rsid w:val="00E47A79"/>
    <w:rsid w:val="00E47DAB"/>
    <w:rsid w:val="00E50A07"/>
    <w:rsid w:val="00E50B42"/>
    <w:rsid w:val="00E51286"/>
    <w:rsid w:val="00E51DD9"/>
    <w:rsid w:val="00E53CD1"/>
    <w:rsid w:val="00E547EB"/>
    <w:rsid w:val="00E56ECA"/>
    <w:rsid w:val="00E57AAC"/>
    <w:rsid w:val="00E604FB"/>
    <w:rsid w:val="00E61F9B"/>
    <w:rsid w:val="00E63457"/>
    <w:rsid w:val="00E6506C"/>
    <w:rsid w:val="00E6534B"/>
    <w:rsid w:val="00E70879"/>
    <w:rsid w:val="00E70B9B"/>
    <w:rsid w:val="00E72283"/>
    <w:rsid w:val="00E72FD2"/>
    <w:rsid w:val="00E734BA"/>
    <w:rsid w:val="00E735A7"/>
    <w:rsid w:val="00E77FEE"/>
    <w:rsid w:val="00E82CDC"/>
    <w:rsid w:val="00E8406D"/>
    <w:rsid w:val="00E844AD"/>
    <w:rsid w:val="00E849E4"/>
    <w:rsid w:val="00E84C9B"/>
    <w:rsid w:val="00E86050"/>
    <w:rsid w:val="00E86F34"/>
    <w:rsid w:val="00E86F73"/>
    <w:rsid w:val="00E90AD6"/>
    <w:rsid w:val="00E914AD"/>
    <w:rsid w:val="00E91812"/>
    <w:rsid w:val="00E91832"/>
    <w:rsid w:val="00E91CE8"/>
    <w:rsid w:val="00E93209"/>
    <w:rsid w:val="00E95658"/>
    <w:rsid w:val="00EA0948"/>
    <w:rsid w:val="00EA22B8"/>
    <w:rsid w:val="00EA3775"/>
    <w:rsid w:val="00EA4292"/>
    <w:rsid w:val="00EA4C88"/>
    <w:rsid w:val="00EA4F35"/>
    <w:rsid w:val="00EA5006"/>
    <w:rsid w:val="00EA5CB2"/>
    <w:rsid w:val="00EA6BEB"/>
    <w:rsid w:val="00EA75FB"/>
    <w:rsid w:val="00EA769D"/>
    <w:rsid w:val="00EB1461"/>
    <w:rsid w:val="00EB22F6"/>
    <w:rsid w:val="00EB2B75"/>
    <w:rsid w:val="00EB382F"/>
    <w:rsid w:val="00EB418B"/>
    <w:rsid w:val="00EB63CF"/>
    <w:rsid w:val="00EB6D21"/>
    <w:rsid w:val="00EB7945"/>
    <w:rsid w:val="00EC01EC"/>
    <w:rsid w:val="00EC17A4"/>
    <w:rsid w:val="00EC1AF1"/>
    <w:rsid w:val="00EC1B08"/>
    <w:rsid w:val="00EC25D0"/>
    <w:rsid w:val="00EC2ECA"/>
    <w:rsid w:val="00EC2FAD"/>
    <w:rsid w:val="00EC4030"/>
    <w:rsid w:val="00EC4757"/>
    <w:rsid w:val="00EC7366"/>
    <w:rsid w:val="00EC759E"/>
    <w:rsid w:val="00EC7800"/>
    <w:rsid w:val="00EC7CD9"/>
    <w:rsid w:val="00ED129A"/>
    <w:rsid w:val="00ED1ADA"/>
    <w:rsid w:val="00ED1E82"/>
    <w:rsid w:val="00ED1FB9"/>
    <w:rsid w:val="00ED29E8"/>
    <w:rsid w:val="00ED3526"/>
    <w:rsid w:val="00ED38CB"/>
    <w:rsid w:val="00ED3E66"/>
    <w:rsid w:val="00ED49DC"/>
    <w:rsid w:val="00ED5334"/>
    <w:rsid w:val="00ED5690"/>
    <w:rsid w:val="00ED5A34"/>
    <w:rsid w:val="00ED6484"/>
    <w:rsid w:val="00ED6B35"/>
    <w:rsid w:val="00ED7965"/>
    <w:rsid w:val="00EE0643"/>
    <w:rsid w:val="00EE1879"/>
    <w:rsid w:val="00EE1A65"/>
    <w:rsid w:val="00EE2710"/>
    <w:rsid w:val="00EE2AB5"/>
    <w:rsid w:val="00EE3215"/>
    <w:rsid w:val="00EE46C0"/>
    <w:rsid w:val="00EE4B69"/>
    <w:rsid w:val="00EE4C50"/>
    <w:rsid w:val="00EE4DEA"/>
    <w:rsid w:val="00EE62FC"/>
    <w:rsid w:val="00EE6B3D"/>
    <w:rsid w:val="00EE7BD5"/>
    <w:rsid w:val="00EE7DD2"/>
    <w:rsid w:val="00EF0C50"/>
    <w:rsid w:val="00EF165F"/>
    <w:rsid w:val="00EF1B5E"/>
    <w:rsid w:val="00EF3B6A"/>
    <w:rsid w:val="00EF3E33"/>
    <w:rsid w:val="00EF4C9E"/>
    <w:rsid w:val="00EF4EB5"/>
    <w:rsid w:val="00EF6248"/>
    <w:rsid w:val="00EF6564"/>
    <w:rsid w:val="00F0180B"/>
    <w:rsid w:val="00F01996"/>
    <w:rsid w:val="00F01CF2"/>
    <w:rsid w:val="00F02D7B"/>
    <w:rsid w:val="00F0534C"/>
    <w:rsid w:val="00F0639D"/>
    <w:rsid w:val="00F065A6"/>
    <w:rsid w:val="00F07537"/>
    <w:rsid w:val="00F07C23"/>
    <w:rsid w:val="00F07C3E"/>
    <w:rsid w:val="00F1174C"/>
    <w:rsid w:val="00F11AF1"/>
    <w:rsid w:val="00F1204F"/>
    <w:rsid w:val="00F127BB"/>
    <w:rsid w:val="00F12D6A"/>
    <w:rsid w:val="00F12E5C"/>
    <w:rsid w:val="00F133E4"/>
    <w:rsid w:val="00F13D4A"/>
    <w:rsid w:val="00F13D65"/>
    <w:rsid w:val="00F13E2B"/>
    <w:rsid w:val="00F15266"/>
    <w:rsid w:val="00F15339"/>
    <w:rsid w:val="00F159EE"/>
    <w:rsid w:val="00F15FBD"/>
    <w:rsid w:val="00F16F5B"/>
    <w:rsid w:val="00F176C6"/>
    <w:rsid w:val="00F17916"/>
    <w:rsid w:val="00F233BB"/>
    <w:rsid w:val="00F24652"/>
    <w:rsid w:val="00F25432"/>
    <w:rsid w:val="00F2576D"/>
    <w:rsid w:val="00F26234"/>
    <w:rsid w:val="00F27CC6"/>
    <w:rsid w:val="00F31817"/>
    <w:rsid w:val="00F3215B"/>
    <w:rsid w:val="00F322FD"/>
    <w:rsid w:val="00F35F6B"/>
    <w:rsid w:val="00F36917"/>
    <w:rsid w:val="00F3736F"/>
    <w:rsid w:val="00F37D8F"/>
    <w:rsid w:val="00F401F5"/>
    <w:rsid w:val="00F405DE"/>
    <w:rsid w:val="00F40C48"/>
    <w:rsid w:val="00F4162B"/>
    <w:rsid w:val="00F416BA"/>
    <w:rsid w:val="00F43AD3"/>
    <w:rsid w:val="00F43B90"/>
    <w:rsid w:val="00F44382"/>
    <w:rsid w:val="00F4477C"/>
    <w:rsid w:val="00F44AC8"/>
    <w:rsid w:val="00F44CCA"/>
    <w:rsid w:val="00F45371"/>
    <w:rsid w:val="00F45E15"/>
    <w:rsid w:val="00F46CE2"/>
    <w:rsid w:val="00F47856"/>
    <w:rsid w:val="00F47967"/>
    <w:rsid w:val="00F47D97"/>
    <w:rsid w:val="00F50FDE"/>
    <w:rsid w:val="00F5205D"/>
    <w:rsid w:val="00F521C0"/>
    <w:rsid w:val="00F52747"/>
    <w:rsid w:val="00F52EAC"/>
    <w:rsid w:val="00F53FEB"/>
    <w:rsid w:val="00F54D1E"/>
    <w:rsid w:val="00F55052"/>
    <w:rsid w:val="00F5662A"/>
    <w:rsid w:val="00F56D1B"/>
    <w:rsid w:val="00F573AB"/>
    <w:rsid w:val="00F5748C"/>
    <w:rsid w:val="00F57743"/>
    <w:rsid w:val="00F579C9"/>
    <w:rsid w:val="00F57EDD"/>
    <w:rsid w:val="00F609C5"/>
    <w:rsid w:val="00F61E91"/>
    <w:rsid w:val="00F637E4"/>
    <w:rsid w:val="00F63DF4"/>
    <w:rsid w:val="00F65BE1"/>
    <w:rsid w:val="00F66C83"/>
    <w:rsid w:val="00F67D47"/>
    <w:rsid w:val="00F67E46"/>
    <w:rsid w:val="00F7019A"/>
    <w:rsid w:val="00F702E4"/>
    <w:rsid w:val="00F70BC5"/>
    <w:rsid w:val="00F716D7"/>
    <w:rsid w:val="00F72D77"/>
    <w:rsid w:val="00F735ED"/>
    <w:rsid w:val="00F735F9"/>
    <w:rsid w:val="00F73C5E"/>
    <w:rsid w:val="00F7481F"/>
    <w:rsid w:val="00F748CA"/>
    <w:rsid w:val="00F758E9"/>
    <w:rsid w:val="00F7751B"/>
    <w:rsid w:val="00F77AB7"/>
    <w:rsid w:val="00F8083B"/>
    <w:rsid w:val="00F8095C"/>
    <w:rsid w:val="00F810F3"/>
    <w:rsid w:val="00F81183"/>
    <w:rsid w:val="00F819AB"/>
    <w:rsid w:val="00F81E20"/>
    <w:rsid w:val="00F82288"/>
    <w:rsid w:val="00F826ED"/>
    <w:rsid w:val="00F82A66"/>
    <w:rsid w:val="00F8451B"/>
    <w:rsid w:val="00F84F20"/>
    <w:rsid w:val="00F84FB7"/>
    <w:rsid w:val="00F85731"/>
    <w:rsid w:val="00F85B43"/>
    <w:rsid w:val="00F8664E"/>
    <w:rsid w:val="00F87440"/>
    <w:rsid w:val="00F87934"/>
    <w:rsid w:val="00F87C1B"/>
    <w:rsid w:val="00F92CE2"/>
    <w:rsid w:val="00F930B3"/>
    <w:rsid w:val="00F94C80"/>
    <w:rsid w:val="00F95067"/>
    <w:rsid w:val="00F950F8"/>
    <w:rsid w:val="00F952BF"/>
    <w:rsid w:val="00F96178"/>
    <w:rsid w:val="00F96A03"/>
    <w:rsid w:val="00FA336D"/>
    <w:rsid w:val="00FA3EB6"/>
    <w:rsid w:val="00FA5201"/>
    <w:rsid w:val="00FA5903"/>
    <w:rsid w:val="00FA5A9E"/>
    <w:rsid w:val="00FA5F33"/>
    <w:rsid w:val="00FA60A4"/>
    <w:rsid w:val="00FA74A4"/>
    <w:rsid w:val="00FA7A81"/>
    <w:rsid w:val="00FB0454"/>
    <w:rsid w:val="00FB2367"/>
    <w:rsid w:val="00FB2565"/>
    <w:rsid w:val="00FB2DA4"/>
    <w:rsid w:val="00FB34CD"/>
    <w:rsid w:val="00FB3664"/>
    <w:rsid w:val="00FB3729"/>
    <w:rsid w:val="00FB3D62"/>
    <w:rsid w:val="00FB4177"/>
    <w:rsid w:val="00FB4A1F"/>
    <w:rsid w:val="00FB4D5C"/>
    <w:rsid w:val="00FB59F1"/>
    <w:rsid w:val="00FB6845"/>
    <w:rsid w:val="00FC0317"/>
    <w:rsid w:val="00FC05E5"/>
    <w:rsid w:val="00FC0AD9"/>
    <w:rsid w:val="00FC0E5B"/>
    <w:rsid w:val="00FC1CA4"/>
    <w:rsid w:val="00FC2F50"/>
    <w:rsid w:val="00FC3CB9"/>
    <w:rsid w:val="00FC4F7D"/>
    <w:rsid w:val="00FC58D6"/>
    <w:rsid w:val="00FC5B8F"/>
    <w:rsid w:val="00FC5D72"/>
    <w:rsid w:val="00FC65B7"/>
    <w:rsid w:val="00FC698B"/>
    <w:rsid w:val="00FC6C53"/>
    <w:rsid w:val="00FD0726"/>
    <w:rsid w:val="00FD09DB"/>
    <w:rsid w:val="00FD118B"/>
    <w:rsid w:val="00FD14ED"/>
    <w:rsid w:val="00FD25DB"/>
    <w:rsid w:val="00FD2876"/>
    <w:rsid w:val="00FD48FC"/>
    <w:rsid w:val="00FD4930"/>
    <w:rsid w:val="00FD49D8"/>
    <w:rsid w:val="00FD5A0A"/>
    <w:rsid w:val="00FD6110"/>
    <w:rsid w:val="00FD639C"/>
    <w:rsid w:val="00FD769C"/>
    <w:rsid w:val="00FD7996"/>
    <w:rsid w:val="00FD79AE"/>
    <w:rsid w:val="00FD7A27"/>
    <w:rsid w:val="00FE0D14"/>
    <w:rsid w:val="00FE10FD"/>
    <w:rsid w:val="00FE1A7E"/>
    <w:rsid w:val="00FE2052"/>
    <w:rsid w:val="00FE2759"/>
    <w:rsid w:val="00FE41B8"/>
    <w:rsid w:val="00FE56FA"/>
    <w:rsid w:val="00FE6920"/>
    <w:rsid w:val="00FE75F1"/>
    <w:rsid w:val="00FE768D"/>
    <w:rsid w:val="00FE7C57"/>
    <w:rsid w:val="00FE7DD7"/>
    <w:rsid w:val="00FF047A"/>
    <w:rsid w:val="00FF13CB"/>
    <w:rsid w:val="00FF1D11"/>
    <w:rsid w:val="00FF27FD"/>
    <w:rsid w:val="00FF347B"/>
    <w:rsid w:val="00FF39EC"/>
    <w:rsid w:val="00FF55D0"/>
    <w:rsid w:val="00FF5C62"/>
    <w:rsid w:val="00FF649D"/>
    <w:rsid w:val="00FF6F55"/>
    <w:rsid w:val="00FF6FFD"/>
    <w:rsid w:val="00FF7681"/>
    <w:rsid w:val="00FF7782"/>
  </w:rsids>
  <m:mathPr>
    <m:mathFont m:val="Cambria Math"/>
    <m:brkBin m:val="before"/>
    <m:brkBinSub m:val="--"/>
    <m:smallFrac m:val="0"/>
    <m:dispDef/>
    <m:lMargin m:val="72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imes New Roman" w:hAnsi="Garamond" w:cs="Times New Roman"/>
        <w:sz w:val="24"/>
        <w:szCs w:val="24"/>
        <w:lang w:val="en-AU" w:eastAsia="zh-CN" w:bidi="ar-SA"/>
      </w:rPr>
    </w:rPrDefault>
    <w:pPrDefault>
      <w:pPr>
        <w:spacing w:before="180" w:line="300" w:lineRule="exact"/>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11"/>
    <w:lsdException w:name="toc 5" w:uiPriority="39"/>
    <w:lsdException w:name="toc 6" w:uiPriority="39"/>
    <w:lsdException w:name="toc 7" w:uiPriority="39"/>
    <w:lsdException w:name="toc 8" w:uiPriority="11"/>
    <w:lsdException w:name="toc 9" w:uiPriority="39"/>
    <w:lsdException w:name="annotation text" w:uiPriority="99"/>
    <w:lsdException w:name="footer" w:uiPriority="99"/>
    <w:lsdException w:name="index heading" w:uiPriority="99"/>
    <w:lsdException w:name="caption" w:semiHidden="0" w:unhideWhenUsed="0" w:qFormat="1"/>
    <w:lsdException w:name="table of figures" w:uiPriority="99"/>
    <w:lsdException w:name="table of authorities" w:uiPriority="99"/>
    <w:lsdException w:name="List Bullet" w:uiPriority="2" w:qFormat="1"/>
    <w:lsdException w:name="List Number" w:uiPriority="2" w:qFormat="1"/>
    <w:lsdException w:name="List Bullet 2" w:uiPriority="2" w:qFormat="1"/>
    <w:lsdException w:name="List Bullet 3" w:uiPriority="2" w:qFormat="1"/>
    <w:lsdException w:name="List Number 2" w:uiPriority="2"/>
    <w:lsdException w:name="List Number 3" w:uiPriority="2"/>
    <w:lsdException w:name="Title" w:semiHidden="0" w:unhideWhenUsed="0" w:qFormat="1"/>
    <w:lsdException w:name="Default Paragraph Font" w:uiPriority="1"/>
    <w:lsdException w:name="Body Text" w:qFormat="1"/>
    <w:lsdException w:name="Subtitle" w:semiHidden="0" w:unhideWhenUsed="0"/>
    <w:lsdException w:name="Note Heading" w:uiPriority="99"/>
    <w:lsdException w:name="Hyperlink" w:uiPriority="99"/>
    <w:lsdException w:name="Followed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Table List 1" w:uiPriority="99"/>
    <w:lsdException w:name="Table List 2" w:uiPriority="99"/>
    <w:lsdException w:name="Table List 3" w:uiPriority="99"/>
    <w:lsdException w:name="Table 3D effects 3"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4" w:unhideWhenUsed="0" w:qFormat="1"/>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99" w:unhideWhenUsed="0"/>
    <w:lsdException w:name="Subtle Reference" w:semiHidden="0" w:uiPriority="31" w:unhideWhenUsed="0"/>
    <w:lsdException w:name="Intense Reference" w:semiHidden="0" w:uiPriority="99"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513E3"/>
    <w:pPr>
      <w:spacing w:before="120" w:after="120" w:line="240" w:lineRule="exact"/>
    </w:pPr>
    <w:rPr>
      <w:rFonts w:asciiTheme="minorHAnsi" w:hAnsiTheme="minorHAnsi"/>
      <w:lang w:eastAsia="en-US"/>
    </w:rPr>
  </w:style>
  <w:style w:type="paragraph" w:styleId="Heading1">
    <w:name w:val="heading 1"/>
    <w:next w:val="BodyText"/>
    <w:link w:val="Heading1Char"/>
    <w:qFormat/>
    <w:rsid w:val="002B6DA3"/>
    <w:pPr>
      <w:keepNext/>
      <w:pageBreakBefore/>
      <w:numPr>
        <w:numId w:val="23"/>
      </w:numPr>
      <w:pBdr>
        <w:top w:val="single" w:sz="48" w:space="30" w:color="9757A6"/>
        <w:left w:val="single" w:sz="48" w:space="4" w:color="9757A6"/>
        <w:bottom w:val="single" w:sz="48" w:space="5" w:color="9757A6"/>
      </w:pBdr>
      <w:shd w:val="clear" w:color="auto" w:fill="9757A6"/>
      <w:spacing w:before="300" w:after="60" w:line="420" w:lineRule="exact"/>
      <w:outlineLvl w:val="0"/>
    </w:pPr>
    <w:rPr>
      <w:rFonts w:asciiTheme="majorHAnsi" w:hAnsiTheme="majorHAnsi"/>
      <w:b/>
      <w:color w:val="FFFFFF" w:themeColor="background1"/>
      <w:kern w:val="28"/>
      <w:sz w:val="38"/>
      <w:szCs w:val="38"/>
      <w:lang w:eastAsia="en-AU"/>
    </w:rPr>
  </w:style>
  <w:style w:type="paragraph" w:styleId="Heading2">
    <w:name w:val="heading 2"/>
    <w:next w:val="BodyText"/>
    <w:qFormat/>
    <w:rsid w:val="00A71A4C"/>
    <w:pPr>
      <w:keepNext/>
      <w:numPr>
        <w:ilvl w:val="1"/>
        <w:numId w:val="23"/>
      </w:numPr>
      <w:pBdr>
        <w:bottom w:val="single" w:sz="8" w:space="1" w:color="BFBFBF" w:themeColor="background1" w:themeShade="BF"/>
      </w:pBdr>
      <w:spacing w:before="300" w:after="60" w:line="340" w:lineRule="exact"/>
      <w:outlineLvl w:val="1"/>
    </w:pPr>
    <w:rPr>
      <w:rFonts w:asciiTheme="majorHAnsi" w:hAnsiTheme="majorHAnsi"/>
      <w:b/>
      <w:color w:val="9757A6" w:themeColor="text2"/>
      <w:kern w:val="36"/>
      <w:sz w:val="28"/>
      <w:lang w:eastAsia="en-AU"/>
    </w:rPr>
  </w:style>
  <w:style w:type="paragraph" w:styleId="Heading3">
    <w:name w:val="heading 3"/>
    <w:next w:val="BodyText"/>
    <w:qFormat/>
    <w:rsid w:val="00A71A4C"/>
    <w:pPr>
      <w:keepNext/>
      <w:numPr>
        <w:ilvl w:val="2"/>
        <w:numId w:val="23"/>
      </w:numPr>
      <w:spacing w:before="300" w:line="270" w:lineRule="exact"/>
      <w:outlineLvl w:val="2"/>
    </w:pPr>
    <w:rPr>
      <w:rFonts w:asciiTheme="majorHAnsi" w:hAnsiTheme="majorHAnsi"/>
      <w:b/>
      <w:color w:val="9757A6" w:themeColor="text2"/>
      <w:sz w:val="22"/>
      <w:lang w:eastAsia="en-AU"/>
    </w:rPr>
  </w:style>
  <w:style w:type="paragraph" w:styleId="Heading4">
    <w:name w:val="heading 4"/>
    <w:next w:val="BodyText"/>
    <w:qFormat/>
    <w:rsid w:val="002B6DA3"/>
    <w:pPr>
      <w:keepNext/>
      <w:numPr>
        <w:ilvl w:val="3"/>
        <w:numId w:val="23"/>
      </w:numPr>
      <w:spacing w:before="300" w:after="20" w:line="280" w:lineRule="exact"/>
      <w:outlineLvl w:val="3"/>
    </w:pPr>
    <w:rPr>
      <w:rFonts w:asciiTheme="majorHAnsi" w:hAnsiTheme="majorHAnsi"/>
      <w:b/>
      <w:i/>
      <w:color w:val="9757A6"/>
      <w:sz w:val="20"/>
      <w:lang w:eastAsia="en-AU"/>
    </w:rPr>
  </w:style>
  <w:style w:type="paragraph" w:styleId="Heading5">
    <w:name w:val="heading 5"/>
    <w:basedOn w:val="Heading4"/>
    <w:next w:val="BodyText"/>
    <w:qFormat/>
    <w:rsid w:val="00C249C7"/>
    <w:pPr>
      <w:numPr>
        <w:ilvl w:val="4"/>
      </w:numPr>
      <w:outlineLvl w:val="4"/>
    </w:pPr>
    <w:rPr>
      <w:i w:val="0"/>
      <w:szCs w:val="22"/>
    </w:rPr>
  </w:style>
  <w:style w:type="paragraph" w:styleId="Heading6">
    <w:name w:val="heading 6"/>
    <w:basedOn w:val="Normal"/>
    <w:next w:val="Normal"/>
    <w:semiHidden/>
    <w:rsid w:val="00C249C7"/>
    <w:pPr>
      <w:keepNext/>
      <w:spacing w:before="240" w:after="60"/>
      <w:outlineLvl w:val="5"/>
    </w:pPr>
    <w:rPr>
      <w:i/>
      <w:sz w:val="22"/>
    </w:rPr>
  </w:style>
  <w:style w:type="paragraph" w:styleId="Heading7">
    <w:name w:val="heading 7"/>
    <w:next w:val="BodyText"/>
    <w:qFormat/>
    <w:rsid w:val="002B6DA3"/>
    <w:pPr>
      <w:keepNext/>
      <w:numPr>
        <w:ilvl w:val="6"/>
        <w:numId w:val="23"/>
      </w:numPr>
      <w:spacing w:before="300" w:after="60" w:line="420" w:lineRule="exact"/>
      <w:outlineLvl w:val="6"/>
    </w:pPr>
    <w:rPr>
      <w:rFonts w:asciiTheme="majorHAnsi" w:hAnsiTheme="majorHAnsi"/>
      <w:b/>
      <w:color w:val="9757A6"/>
      <w:sz w:val="36"/>
      <w:szCs w:val="36"/>
      <w:lang w:eastAsia="en-AU"/>
    </w:rPr>
  </w:style>
  <w:style w:type="paragraph" w:styleId="Heading8">
    <w:name w:val="heading 8"/>
    <w:next w:val="BodyText"/>
    <w:qFormat/>
    <w:rsid w:val="00185F69"/>
    <w:pPr>
      <w:keepNext/>
      <w:numPr>
        <w:ilvl w:val="7"/>
        <w:numId w:val="23"/>
      </w:numPr>
      <w:pBdr>
        <w:bottom w:val="single" w:sz="8" w:space="1" w:color="BFBFBF" w:themeColor="background1" w:themeShade="BF"/>
      </w:pBdr>
      <w:spacing w:before="300" w:after="60" w:line="340" w:lineRule="exact"/>
      <w:outlineLvl w:val="7"/>
    </w:pPr>
    <w:rPr>
      <w:rFonts w:asciiTheme="majorHAnsi" w:hAnsiTheme="majorHAnsi"/>
      <w:b/>
      <w:color w:val="9757A6" w:themeColor="text2"/>
      <w:sz w:val="28"/>
      <w:szCs w:val="28"/>
      <w:lang w:eastAsia="en-AU"/>
    </w:rPr>
  </w:style>
  <w:style w:type="paragraph" w:styleId="Heading9">
    <w:name w:val="heading 9"/>
    <w:basedOn w:val="BodyText"/>
    <w:next w:val="BodyText"/>
    <w:qFormat/>
    <w:rsid w:val="002B6DA3"/>
    <w:pPr>
      <w:keepNext/>
      <w:numPr>
        <w:ilvl w:val="8"/>
        <w:numId w:val="23"/>
      </w:numPr>
      <w:spacing w:before="300" w:line="270" w:lineRule="exact"/>
      <w:outlineLvl w:val="8"/>
    </w:pPr>
    <w:rPr>
      <w:rFonts w:asciiTheme="majorHAnsi" w:hAnsiTheme="majorHAnsi"/>
      <w:b/>
      <w:color w:val="9757A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qFormat/>
    <w:rsid w:val="0041114B"/>
    <w:pPr>
      <w:spacing w:before="120" w:after="120" w:line="280" w:lineRule="exact"/>
    </w:pPr>
    <w:rPr>
      <w:rFonts w:asciiTheme="minorHAnsi" w:hAnsiTheme="minorHAnsi"/>
      <w:sz w:val="22"/>
      <w:szCs w:val="22"/>
      <w:lang w:eastAsia="en-AU"/>
    </w:rPr>
  </w:style>
  <w:style w:type="paragraph" w:styleId="Header">
    <w:name w:val="header"/>
    <w:link w:val="HeaderChar"/>
    <w:rsid w:val="00C249C7"/>
    <w:pPr>
      <w:spacing w:before="0" w:line="240" w:lineRule="auto"/>
    </w:pPr>
    <w:rPr>
      <w:rFonts w:asciiTheme="minorHAnsi" w:hAnsiTheme="minorHAnsi"/>
      <w:noProof/>
      <w:sz w:val="16"/>
      <w:lang w:eastAsia="en-AU"/>
    </w:rPr>
  </w:style>
  <w:style w:type="paragraph" w:styleId="Footer">
    <w:name w:val="footer"/>
    <w:link w:val="FooterChar"/>
    <w:uiPriority w:val="99"/>
    <w:rsid w:val="00C249C7"/>
    <w:pPr>
      <w:spacing w:before="0" w:line="240" w:lineRule="auto"/>
      <w:ind w:right="851"/>
    </w:pPr>
    <w:rPr>
      <w:rFonts w:asciiTheme="minorHAnsi" w:hAnsiTheme="minorHAnsi"/>
      <w:sz w:val="14"/>
      <w:lang w:eastAsia="en-US"/>
    </w:rPr>
  </w:style>
  <w:style w:type="paragraph" w:styleId="Title">
    <w:name w:val="Title"/>
    <w:link w:val="TitleChar"/>
    <w:rsid w:val="00180AC7"/>
    <w:pPr>
      <w:spacing w:before="0" w:after="300" w:line="380" w:lineRule="exact"/>
    </w:pPr>
    <w:rPr>
      <w:rFonts w:asciiTheme="majorHAnsi" w:eastAsiaTheme="majorEastAsia" w:hAnsiTheme="majorHAnsi" w:cstheme="majorBidi"/>
      <w:caps/>
      <w:spacing w:val="5"/>
      <w:kern w:val="28"/>
      <w:sz w:val="41"/>
      <w:szCs w:val="52"/>
      <w:lang w:eastAsia="en-US"/>
    </w:rPr>
  </w:style>
  <w:style w:type="paragraph" w:customStyle="1" w:styleId="Preparedfor">
    <w:name w:val="Prepared for"/>
    <w:semiHidden/>
    <w:rsid w:val="00C249C7"/>
    <w:pPr>
      <w:ind w:left="1674"/>
      <w:jc w:val="right"/>
    </w:pPr>
    <w:rPr>
      <w:rFonts w:ascii="Century Gothic" w:hAnsi="Century Gothic"/>
      <w:sz w:val="18"/>
      <w:szCs w:val="20"/>
      <w:lang w:eastAsia="en-AU"/>
    </w:rPr>
  </w:style>
  <w:style w:type="paragraph" w:customStyle="1" w:styleId="CoverLogos">
    <w:name w:val="Cover Logos"/>
    <w:uiPriority w:val="99"/>
    <w:semiHidden/>
    <w:rsid w:val="00C249C7"/>
    <w:pPr>
      <w:framePr w:wrap="notBeside" w:vAnchor="text" w:hAnchor="text" w:y="1"/>
      <w:spacing w:before="60" w:line="240" w:lineRule="auto"/>
      <w:jc w:val="right"/>
    </w:pPr>
    <w:rPr>
      <w:noProof/>
      <w:szCs w:val="20"/>
      <w:lang w:eastAsia="en-AU"/>
    </w:rPr>
  </w:style>
  <w:style w:type="paragraph" w:customStyle="1" w:styleId="SaveDate">
    <w:name w:val="Save Date"/>
    <w:semiHidden/>
    <w:rsid w:val="00C249C7"/>
    <w:pPr>
      <w:ind w:left="2716"/>
      <w:jc w:val="right"/>
    </w:pPr>
    <w:rPr>
      <w:rFonts w:ascii="Century Gothic" w:hAnsi="Century Gothic"/>
      <w:b/>
      <w:lang w:eastAsia="en-US"/>
    </w:rPr>
  </w:style>
  <w:style w:type="paragraph" w:customStyle="1" w:styleId="CoverInfo">
    <w:name w:val="Cover Info"/>
    <w:uiPriority w:val="99"/>
    <w:rsid w:val="00C249C7"/>
    <w:pPr>
      <w:spacing w:before="20" w:after="20" w:line="240" w:lineRule="auto"/>
    </w:pPr>
    <w:rPr>
      <w:rFonts w:asciiTheme="minorHAnsi" w:hAnsiTheme="minorHAnsi"/>
      <w:color w:val="5F5F5F"/>
      <w:sz w:val="18"/>
      <w:szCs w:val="20"/>
      <w:lang w:val="fr-FR" w:eastAsia="en-AU"/>
    </w:rPr>
  </w:style>
  <w:style w:type="paragraph" w:customStyle="1" w:styleId="CoverLogo">
    <w:name w:val="CoverLogo"/>
    <w:uiPriority w:val="99"/>
    <w:semiHidden/>
    <w:rsid w:val="00C249C7"/>
    <w:pPr>
      <w:spacing w:before="120" w:line="240" w:lineRule="auto"/>
    </w:pPr>
    <w:rPr>
      <w:szCs w:val="20"/>
      <w:lang w:eastAsia="en-AU"/>
    </w:rPr>
  </w:style>
  <w:style w:type="paragraph" w:customStyle="1" w:styleId="SubTitle">
    <w:name w:val="Sub Title"/>
    <w:uiPriority w:val="99"/>
    <w:semiHidden/>
    <w:rsid w:val="00C249C7"/>
    <w:pPr>
      <w:spacing w:before="40" w:line="360" w:lineRule="exact"/>
      <w:ind w:left="2778"/>
      <w:jc w:val="right"/>
    </w:pPr>
    <w:rPr>
      <w:rFonts w:ascii="Century Gothic" w:hAnsi="Century Gothic"/>
      <w:szCs w:val="20"/>
      <w:lang w:eastAsia="en-AU"/>
    </w:rPr>
  </w:style>
  <w:style w:type="paragraph" w:customStyle="1" w:styleId="Copyright">
    <w:name w:val="Copyright"/>
    <w:uiPriority w:val="99"/>
    <w:semiHidden/>
    <w:rsid w:val="00C249C7"/>
    <w:pPr>
      <w:spacing w:before="80" w:line="250" w:lineRule="exact"/>
    </w:pPr>
    <w:rPr>
      <w:color w:val="000000"/>
      <w:sz w:val="20"/>
      <w:szCs w:val="20"/>
      <w:lang w:eastAsia="en-AU"/>
    </w:rPr>
  </w:style>
  <w:style w:type="paragraph" w:styleId="BodyText2">
    <w:name w:val="Body Text 2"/>
    <w:basedOn w:val="Normal"/>
    <w:semiHidden/>
    <w:rsid w:val="00C249C7"/>
    <w:rPr>
      <w:color w:val="FF0000"/>
    </w:rPr>
  </w:style>
  <w:style w:type="paragraph" w:customStyle="1" w:styleId="CoverHeadings">
    <w:name w:val="Cover Headings"/>
    <w:uiPriority w:val="99"/>
    <w:semiHidden/>
    <w:rsid w:val="00C249C7"/>
    <w:pPr>
      <w:spacing w:before="240" w:line="270" w:lineRule="exact"/>
    </w:pPr>
    <w:rPr>
      <w:rFonts w:ascii="Century Gothic" w:hAnsi="Century Gothic"/>
      <w:b/>
      <w:color w:val="000080"/>
      <w:sz w:val="22"/>
      <w:lang w:eastAsia="en-US"/>
    </w:rPr>
  </w:style>
  <w:style w:type="paragraph" w:customStyle="1" w:styleId="Office">
    <w:name w:val="Office"/>
    <w:semiHidden/>
    <w:rsid w:val="00C249C7"/>
    <w:pPr>
      <w:spacing w:before="300" w:line="240" w:lineRule="auto"/>
      <w:ind w:right="-291"/>
    </w:pPr>
    <w:rPr>
      <w:rFonts w:ascii="Century Gothic" w:hAnsi="Century Gothic"/>
      <w:b/>
      <w:color w:val="808080"/>
      <w:sz w:val="20"/>
      <w:szCs w:val="20"/>
      <w:lang w:eastAsia="en-AU"/>
    </w:rPr>
  </w:style>
  <w:style w:type="character" w:styleId="Hyperlink">
    <w:name w:val="Hyperlink"/>
    <w:basedOn w:val="DefaultParagraphFont"/>
    <w:uiPriority w:val="99"/>
    <w:rsid w:val="00C249C7"/>
    <w:rPr>
      <w:color w:val="0000FF"/>
      <w:u w:val="single"/>
    </w:rPr>
  </w:style>
  <w:style w:type="character" w:customStyle="1" w:styleId="TitleChar">
    <w:name w:val="Title Char"/>
    <w:basedOn w:val="DefaultParagraphFont"/>
    <w:link w:val="Title"/>
    <w:rsid w:val="00180AC7"/>
    <w:rPr>
      <w:rFonts w:asciiTheme="majorHAnsi" w:eastAsiaTheme="majorEastAsia" w:hAnsiTheme="majorHAnsi" w:cstheme="majorBidi"/>
      <w:caps/>
      <w:spacing w:val="5"/>
      <w:kern w:val="28"/>
      <w:sz w:val="41"/>
      <w:szCs w:val="52"/>
      <w:lang w:eastAsia="en-US"/>
    </w:rPr>
  </w:style>
  <w:style w:type="paragraph" w:customStyle="1" w:styleId="Heading10">
    <w:name w:val="Heading 10"/>
    <w:basedOn w:val="Heading4"/>
    <w:next w:val="BodyText"/>
    <w:qFormat/>
    <w:rsid w:val="00C249C7"/>
    <w:pPr>
      <w:numPr>
        <w:ilvl w:val="0"/>
        <w:numId w:val="0"/>
      </w:numPr>
    </w:pPr>
    <w:rPr>
      <w:szCs w:val="22"/>
    </w:rPr>
  </w:style>
  <w:style w:type="paragraph" w:customStyle="1" w:styleId="Heading11">
    <w:name w:val="Heading 11"/>
    <w:basedOn w:val="Heading5"/>
    <w:next w:val="BodyText"/>
    <w:qFormat/>
    <w:rsid w:val="00C249C7"/>
    <w:pPr>
      <w:numPr>
        <w:ilvl w:val="0"/>
        <w:numId w:val="0"/>
      </w:numPr>
    </w:pPr>
  </w:style>
  <w:style w:type="paragraph" w:customStyle="1" w:styleId="BoxText">
    <w:name w:val="Box Text"/>
    <w:basedOn w:val="BodyText"/>
    <w:qFormat/>
    <w:rsid w:val="00556389"/>
    <w:pPr>
      <w:keepNext/>
      <w:keepLines/>
      <w:spacing w:before="80" w:after="40" w:line="220" w:lineRule="exact"/>
    </w:pPr>
    <w:rPr>
      <w:sz w:val="20"/>
    </w:rPr>
  </w:style>
  <w:style w:type="paragraph" w:customStyle="1" w:styleId="BoxContinued">
    <w:name w:val="Box Continued"/>
    <w:basedOn w:val="Normal"/>
    <w:next w:val="BodyText"/>
    <w:uiPriority w:val="99"/>
    <w:semiHidden/>
    <w:rsid w:val="00C249C7"/>
    <w:pPr>
      <w:spacing w:after="40" w:line="240" w:lineRule="auto"/>
      <w:jc w:val="right"/>
    </w:pPr>
    <w:rPr>
      <w:sz w:val="14"/>
      <w:lang w:eastAsia="en-AU"/>
    </w:rPr>
  </w:style>
  <w:style w:type="paragraph" w:customStyle="1" w:styleId="BoxSideHeading1">
    <w:name w:val="Box Side Heading 1"/>
    <w:basedOn w:val="BoxText"/>
    <w:next w:val="BoxText"/>
    <w:uiPriority w:val="4"/>
    <w:rsid w:val="00C249C7"/>
    <w:pPr>
      <w:spacing w:before="240"/>
    </w:pPr>
    <w:rPr>
      <w:b/>
    </w:rPr>
  </w:style>
  <w:style w:type="paragraph" w:customStyle="1" w:styleId="BoxSideHeading2">
    <w:name w:val="Box Side Heading 2"/>
    <w:basedOn w:val="BoxText"/>
    <w:next w:val="BoxText"/>
    <w:uiPriority w:val="4"/>
    <w:rsid w:val="00C249C7"/>
    <w:pPr>
      <w:spacing w:before="200"/>
    </w:pPr>
    <w:rPr>
      <w:i/>
    </w:rPr>
  </w:style>
  <w:style w:type="paragraph" w:customStyle="1" w:styleId="BoxListBullet">
    <w:name w:val="Box List Bullet"/>
    <w:uiPriority w:val="4"/>
    <w:rsid w:val="00826BEB"/>
    <w:pPr>
      <w:numPr>
        <w:numId w:val="35"/>
      </w:numPr>
      <w:spacing w:before="40" w:after="40" w:line="220" w:lineRule="exact"/>
    </w:pPr>
    <w:rPr>
      <w:rFonts w:asciiTheme="minorHAnsi" w:hAnsiTheme="minorHAnsi"/>
      <w:sz w:val="20"/>
      <w:lang w:eastAsia="en-AU"/>
    </w:rPr>
  </w:style>
  <w:style w:type="paragraph" w:customStyle="1" w:styleId="BoxListBullet2">
    <w:name w:val="Box List Bullet 2"/>
    <w:basedOn w:val="BoxListBullet"/>
    <w:rsid w:val="00C249C7"/>
    <w:pPr>
      <w:numPr>
        <w:ilvl w:val="1"/>
      </w:numPr>
    </w:pPr>
  </w:style>
  <w:style w:type="paragraph" w:customStyle="1" w:styleId="BoxListNumber">
    <w:name w:val="Box List Number"/>
    <w:uiPriority w:val="4"/>
    <w:rsid w:val="00826BEB"/>
    <w:pPr>
      <w:numPr>
        <w:numId w:val="36"/>
      </w:numPr>
      <w:spacing w:before="40" w:after="40" w:line="220" w:lineRule="exact"/>
    </w:pPr>
    <w:rPr>
      <w:rFonts w:asciiTheme="minorHAnsi" w:hAnsiTheme="minorHAnsi"/>
      <w:color w:val="000000"/>
      <w:sz w:val="20"/>
      <w:lang w:eastAsia="en-US"/>
    </w:rPr>
  </w:style>
  <w:style w:type="paragraph" w:customStyle="1" w:styleId="BoxQuote">
    <w:name w:val="Box Quote"/>
    <w:basedOn w:val="BoxText"/>
    <w:next w:val="BoxText"/>
    <w:uiPriority w:val="4"/>
    <w:rsid w:val="00826BEB"/>
    <w:pPr>
      <w:spacing w:line="240" w:lineRule="auto"/>
      <w:ind w:left="227"/>
    </w:pPr>
    <w:rPr>
      <w:sz w:val="18"/>
      <w:szCs w:val="14"/>
    </w:rPr>
  </w:style>
  <w:style w:type="paragraph" w:styleId="Caption">
    <w:name w:val="caption"/>
    <w:next w:val="BodyText"/>
    <w:qFormat/>
    <w:rsid w:val="009949E9"/>
    <w:pPr>
      <w:keepNext/>
      <w:spacing w:before="360" w:after="40" w:line="240" w:lineRule="exact"/>
      <w:ind w:left="993" w:hanging="993"/>
      <w:outlineLvl w:val="8"/>
    </w:pPr>
    <w:rPr>
      <w:rFonts w:asciiTheme="majorHAnsi" w:hAnsiTheme="majorHAnsi" w:cs="Arial"/>
      <w:sz w:val="20"/>
      <w:lang w:eastAsia="en-US"/>
    </w:rPr>
  </w:style>
  <w:style w:type="paragraph" w:customStyle="1" w:styleId="ChapterSummary">
    <w:name w:val="Chapter Summary"/>
    <w:basedOn w:val="BodyText"/>
    <w:next w:val="BodyText"/>
    <w:rsid w:val="00C249C7"/>
    <w:pPr>
      <w:spacing w:before="200" w:after="60" w:line="300" w:lineRule="exact"/>
      <w:ind w:left="-2552"/>
    </w:pPr>
    <w:rPr>
      <w:b/>
      <w:i/>
      <w:color w:val="808080" w:themeColor="background1" w:themeShade="80"/>
    </w:rPr>
  </w:style>
  <w:style w:type="paragraph" w:styleId="ListBullet">
    <w:name w:val="List Bullet"/>
    <w:basedOn w:val="BodyText"/>
    <w:link w:val="ListBulletChar"/>
    <w:uiPriority w:val="2"/>
    <w:qFormat/>
    <w:rsid w:val="00DC3BEE"/>
    <w:pPr>
      <w:numPr>
        <w:numId w:val="44"/>
      </w:numPr>
      <w:spacing w:before="60" w:after="60"/>
    </w:pPr>
  </w:style>
  <w:style w:type="paragraph" w:styleId="ListBullet2">
    <w:name w:val="List Bullet 2"/>
    <w:basedOn w:val="ListBullet"/>
    <w:uiPriority w:val="2"/>
    <w:qFormat/>
    <w:rsid w:val="00C249C7"/>
    <w:pPr>
      <w:numPr>
        <w:ilvl w:val="1"/>
      </w:numPr>
    </w:pPr>
  </w:style>
  <w:style w:type="character" w:styleId="CommentReference">
    <w:name w:val="annotation reference"/>
    <w:basedOn w:val="DefaultParagraphFont"/>
    <w:semiHidden/>
    <w:rsid w:val="00C249C7"/>
    <w:rPr>
      <w:rFonts w:ascii="Garamond" w:hAnsi="Garamond"/>
      <w:b/>
      <w:vanish/>
      <w:color w:val="FF00FF"/>
      <w:sz w:val="20"/>
    </w:rPr>
  </w:style>
  <w:style w:type="paragraph" w:styleId="CommentText">
    <w:name w:val="annotation text"/>
    <w:basedOn w:val="BodyText"/>
    <w:uiPriority w:val="99"/>
    <w:semiHidden/>
    <w:rsid w:val="00C249C7"/>
    <w:pPr>
      <w:ind w:left="567" w:hanging="567"/>
    </w:pPr>
    <w:rPr>
      <w:rFonts w:ascii="Century Gothic" w:hAnsi="Century Gothic"/>
      <w:sz w:val="21"/>
    </w:rPr>
  </w:style>
  <w:style w:type="paragraph" w:customStyle="1" w:styleId="Confidential">
    <w:name w:val="Confidential"/>
    <w:next w:val="BodyText"/>
    <w:uiPriority w:val="99"/>
    <w:semiHidden/>
    <w:rsid w:val="00C249C7"/>
    <w:pPr>
      <w:spacing w:before="120" w:line="520" w:lineRule="exact"/>
      <w:ind w:left="2268"/>
      <w:jc w:val="right"/>
    </w:pPr>
    <w:rPr>
      <w:rFonts w:ascii="Century Gothic" w:hAnsi="Century Gothic"/>
      <w:b/>
      <w:color w:val="808080" w:themeColor="background1" w:themeShade="80"/>
      <w:sz w:val="52"/>
      <w:lang w:eastAsia="en-US"/>
    </w:rPr>
  </w:style>
  <w:style w:type="paragraph" w:customStyle="1" w:styleId="Contents">
    <w:name w:val="Contents"/>
    <w:basedOn w:val="BodyText"/>
    <w:next w:val="BodyText"/>
    <w:rsid w:val="00C249C7"/>
    <w:pPr>
      <w:pBdr>
        <w:bottom w:val="single" w:sz="4" w:space="1" w:color="A6A6A6" w:themeColor="background1" w:themeShade="A6"/>
      </w:pBdr>
      <w:tabs>
        <w:tab w:val="left" w:pos="0"/>
      </w:tabs>
      <w:spacing w:before="200" w:after="200" w:line="240" w:lineRule="auto"/>
      <w:jc w:val="center"/>
      <w:outlineLvl w:val="3"/>
    </w:pPr>
    <w:rPr>
      <w:rFonts w:ascii="Novecento UltraLight" w:hAnsi="Novecento UltraLight"/>
      <w:spacing w:val="460"/>
      <w:sz w:val="66"/>
      <w:szCs w:val="52"/>
    </w:rPr>
  </w:style>
  <w:style w:type="paragraph" w:styleId="TOC1">
    <w:name w:val="toc 1"/>
    <w:basedOn w:val="BodyText"/>
    <w:next w:val="TOC2"/>
    <w:autoRedefine/>
    <w:uiPriority w:val="39"/>
    <w:rsid w:val="009949E9"/>
    <w:pPr>
      <w:pBdr>
        <w:top w:val="single" w:sz="6" w:space="1" w:color="BFBFBF" w:themeColor="background1" w:themeShade="BF"/>
      </w:pBdr>
      <w:tabs>
        <w:tab w:val="left" w:pos="340"/>
        <w:tab w:val="right" w:pos="7371"/>
      </w:tabs>
      <w:spacing w:before="300"/>
      <w:ind w:left="340" w:right="568" w:hanging="340"/>
    </w:pPr>
    <w:rPr>
      <w:rFonts w:asciiTheme="majorHAnsi" w:hAnsiTheme="majorHAnsi"/>
      <w:b/>
      <w:noProof/>
      <w:color w:val="9757A6"/>
    </w:rPr>
  </w:style>
  <w:style w:type="paragraph" w:styleId="TOC2">
    <w:name w:val="toc 2"/>
    <w:autoRedefine/>
    <w:uiPriority w:val="39"/>
    <w:rsid w:val="009949E9"/>
    <w:pPr>
      <w:tabs>
        <w:tab w:val="left" w:pos="794"/>
        <w:tab w:val="right" w:pos="7371"/>
      </w:tabs>
      <w:spacing w:before="60"/>
      <w:ind w:left="794" w:right="568" w:hanging="454"/>
    </w:pPr>
    <w:rPr>
      <w:rFonts w:asciiTheme="majorHAnsi" w:hAnsiTheme="majorHAnsi"/>
      <w:noProof/>
      <w:sz w:val="22"/>
      <w:lang w:eastAsia="en-AU"/>
    </w:rPr>
  </w:style>
  <w:style w:type="paragraph" w:customStyle="1" w:styleId="Continued">
    <w:name w:val="Continued"/>
    <w:basedOn w:val="BoxContinued"/>
    <w:next w:val="BodyText"/>
    <w:uiPriority w:val="5"/>
    <w:semiHidden/>
    <w:rsid w:val="00C249C7"/>
    <w:pPr>
      <w:spacing w:before="40"/>
      <w:jc w:val="left"/>
    </w:pPr>
    <w:rPr>
      <w:color w:val="000080"/>
      <w:sz w:val="18"/>
    </w:rPr>
  </w:style>
  <w:style w:type="character" w:customStyle="1" w:styleId="DraftingNote">
    <w:name w:val="Drafting Note"/>
    <w:basedOn w:val="DefaultParagraphFont"/>
    <w:uiPriority w:val="5"/>
    <w:rsid w:val="00C249C7"/>
    <w:rPr>
      <w:rFonts w:asciiTheme="minorHAnsi" w:hAnsiTheme="minorHAnsi"/>
      <w:b/>
      <w:color w:val="FF0000"/>
      <w:szCs w:val="20"/>
      <w:u w:val="dotted"/>
    </w:rPr>
  </w:style>
  <w:style w:type="paragraph" w:customStyle="1" w:styleId="Figure">
    <w:name w:val="Figure"/>
    <w:basedOn w:val="BodyText"/>
    <w:rsid w:val="00C249C7"/>
    <w:pPr>
      <w:keepNext/>
      <w:spacing w:before="60" w:line="240" w:lineRule="auto"/>
      <w:jc w:val="center"/>
    </w:pPr>
    <w:rPr>
      <w:sz w:val="18"/>
      <w:szCs w:val="20"/>
      <w:lang w:eastAsia="en-US"/>
    </w:rPr>
  </w:style>
  <w:style w:type="character" w:styleId="FootnoteReference">
    <w:name w:val="footnote reference"/>
    <w:basedOn w:val="DefaultParagraphFont"/>
    <w:rsid w:val="00C249C7"/>
    <w:rPr>
      <w:rFonts w:asciiTheme="minorHAnsi" w:hAnsiTheme="minorHAnsi"/>
      <w:position w:val="0"/>
      <w:vertAlign w:val="superscript"/>
    </w:rPr>
  </w:style>
  <w:style w:type="paragraph" w:styleId="FootnoteText">
    <w:name w:val="footnote text"/>
    <w:basedOn w:val="BodyText"/>
    <w:link w:val="FootnoteTextChar"/>
    <w:rsid w:val="00C249C7"/>
    <w:pPr>
      <w:spacing w:before="80" w:line="240" w:lineRule="auto"/>
      <w:ind w:left="227" w:hanging="227"/>
    </w:pPr>
    <w:rPr>
      <w:sz w:val="16"/>
    </w:rPr>
  </w:style>
  <w:style w:type="paragraph" w:customStyle="1" w:styleId="Heading1nonumber">
    <w:name w:val="Heading 1 (no number)"/>
    <w:basedOn w:val="BodyText"/>
    <w:next w:val="BodyText"/>
    <w:qFormat/>
    <w:rsid w:val="00A0209B"/>
    <w:pPr>
      <w:keepNext/>
      <w:spacing w:before="200" w:after="60" w:line="420" w:lineRule="exact"/>
      <w:outlineLvl w:val="0"/>
    </w:pPr>
    <w:rPr>
      <w:rFonts w:asciiTheme="majorHAnsi" w:hAnsiTheme="majorHAnsi"/>
      <w:b/>
      <w:color w:val="9757A6" w:themeColor="text2"/>
      <w:kern w:val="28"/>
      <w:sz w:val="36"/>
    </w:rPr>
  </w:style>
  <w:style w:type="paragraph" w:customStyle="1" w:styleId="Heading2nonumber">
    <w:name w:val="Heading 2 (no number)"/>
    <w:basedOn w:val="Heading2"/>
    <w:next w:val="BodyText"/>
    <w:qFormat/>
    <w:rsid w:val="00C249C7"/>
    <w:pPr>
      <w:numPr>
        <w:ilvl w:val="0"/>
        <w:numId w:val="0"/>
      </w:numPr>
    </w:pPr>
  </w:style>
  <w:style w:type="paragraph" w:customStyle="1" w:styleId="Heading3nonumber">
    <w:name w:val="Heading 3 (no number)"/>
    <w:basedOn w:val="Heading3"/>
    <w:next w:val="BodyText"/>
    <w:qFormat/>
    <w:rsid w:val="00C249C7"/>
    <w:pPr>
      <w:numPr>
        <w:ilvl w:val="0"/>
        <w:numId w:val="0"/>
      </w:numPr>
    </w:pPr>
  </w:style>
  <w:style w:type="paragraph" w:customStyle="1" w:styleId="Heading8nonumber">
    <w:name w:val="Heading 8 (no number)"/>
    <w:basedOn w:val="Heading8"/>
    <w:next w:val="BodyText"/>
    <w:qFormat/>
    <w:rsid w:val="00C249C7"/>
    <w:pPr>
      <w:numPr>
        <w:ilvl w:val="0"/>
        <w:numId w:val="0"/>
      </w:numPr>
      <w:outlineLvl w:val="1"/>
    </w:pPr>
  </w:style>
  <w:style w:type="paragraph" w:customStyle="1" w:styleId="Heading9nonumber">
    <w:name w:val="Heading 9 (no number)"/>
    <w:basedOn w:val="Heading9"/>
    <w:next w:val="BodyText"/>
    <w:qFormat/>
    <w:rsid w:val="00C249C7"/>
    <w:pPr>
      <w:numPr>
        <w:ilvl w:val="0"/>
        <w:numId w:val="0"/>
      </w:numPr>
      <w:outlineLvl w:val="2"/>
    </w:pPr>
  </w:style>
  <w:style w:type="paragraph" w:customStyle="1" w:styleId="Invisiblepara">
    <w:name w:val="Invisible para"/>
    <w:basedOn w:val="Normal"/>
    <w:semiHidden/>
    <w:rsid w:val="00C249C7"/>
    <w:pPr>
      <w:keepNext/>
      <w:spacing w:before="0" w:line="240" w:lineRule="auto"/>
    </w:pPr>
    <w:rPr>
      <w:sz w:val="16"/>
    </w:rPr>
  </w:style>
  <w:style w:type="paragraph" w:styleId="ListBullet3">
    <w:name w:val="List Bullet 3"/>
    <w:basedOn w:val="ListBullet2"/>
    <w:uiPriority w:val="2"/>
    <w:qFormat/>
    <w:rsid w:val="00C249C7"/>
    <w:pPr>
      <w:numPr>
        <w:ilvl w:val="2"/>
      </w:numPr>
    </w:pPr>
  </w:style>
  <w:style w:type="paragraph" w:styleId="ListNumber">
    <w:name w:val="List Number"/>
    <w:basedOn w:val="ListBullet"/>
    <w:uiPriority w:val="2"/>
    <w:qFormat/>
    <w:rsid w:val="00013650"/>
    <w:pPr>
      <w:numPr>
        <w:numId w:val="41"/>
      </w:numPr>
    </w:pPr>
  </w:style>
  <w:style w:type="paragraph" w:customStyle="1" w:styleId="Note">
    <w:name w:val="Note"/>
    <w:next w:val="BodyText"/>
    <w:rsid w:val="009949E9"/>
    <w:pPr>
      <w:keepNext/>
      <w:keepLines/>
      <w:spacing w:before="40" w:line="180" w:lineRule="exact"/>
    </w:pPr>
    <w:rPr>
      <w:rFonts w:ascii="Arial" w:hAnsi="Arial"/>
      <w:sz w:val="16"/>
      <w:lang w:eastAsia="en-US"/>
    </w:rPr>
  </w:style>
  <w:style w:type="character" w:customStyle="1" w:styleId="Notelabel">
    <w:name w:val="Note label"/>
    <w:basedOn w:val="DefaultParagraphFont"/>
    <w:rsid w:val="009949E9"/>
    <w:rPr>
      <w:rFonts w:ascii="Arial" w:hAnsi="Arial"/>
      <w:b/>
      <w:color w:val="auto"/>
      <w:vertAlign w:val="superscript"/>
    </w:rPr>
  </w:style>
  <w:style w:type="character" w:customStyle="1" w:styleId="NoteLabelTable">
    <w:name w:val="Note Label Table"/>
    <w:basedOn w:val="DefaultParagraphFont"/>
    <w:uiPriority w:val="5"/>
    <w:rsid w:val="00C249C7"/>
    <w:rPr>
      <w:rFonts w:asciiTheme="minorHAnsi" w:hAnsiTheme="minorHAnsi"/>
      <w:b/>
      <w:color w:val="auto"/>
      <w:position w:val="6"/>
      <w:sz w:val="14"/>
    </w:rPr>
  </w:style>
  <w:style w:type="character" w:styleId="PageNumber">
    <w:name w:val="page number"/>
    <w:rsid w:val="00C249C7"/>
    <w:rPr>
      <w:rFonts w:ascii="Arial Narrow" w:eastAsia="Calibri" w:hAnsi="Arial Narrow"/>
      <w:sz w:val="24"/>
      <w:szCs w:val="28"/>
    </w:rPr>
  </w:style>
  <w:style w:type="paragraph" w:styleId="Quote">
    <w:name w:val="Quote"/>
    <w:basedOn w:val="BodyText"/>
    <w:next w:val="BodyText"/>
    <w:uiPriority w:val="4"/>
    <w:qFormat/>
    <w:rsid w:val="00C249C7"/>
    <w:pPr>
      <w:spacing w:before="60" w:after="60" w:line="220" w:lineRule="exact"/>
      <w:ind w:left="567" w:right="567"/>
    </w:pPr>
    <w:rPr>
      <w:sz w:val="18"/>
    </w:rPr>
  </w:style>
  <w:style w:type="paragraph" w:customStyle="1" w:styleId="SideNote">
    <w:name w:val="Side Note"/>
    <w:basedOn w:val="BodyText"/>
    <w:next w:val="BodyText"/>
    <w:uiPriority w:val="2"/>
    <w:rsid w:val="009949E9"/>
    <w:pPr>
      <w:keepNext/>
      <w:framePr w:w="2268" w:hSpace="284" w:vSpace="181" w:wrap="around" w:vAnchor="text" w:hAnchor="margin" w:x="-2551" w:y="1"/>
      <w:spacing w:before="60" w:after="40" w:line="220" w:lineRule="exact"/>
    </w:pPr>
    <w:rPr>
      <w:rFonts w:asciiTheme="majorHAnsi" w:hAnsiTheme="majorHAnsi"/>
      <w:b/>
      <w:color w:val="9757A6"/>
      <w:sz w:val="16"/>
    </w:rPr>
  </w:style>
  <w:style w:type="paragraph" w:customStyle="1" w:styleId="SideDash">
    <w:name w:val="Side Dash"/>
    <w:basedOn w:val="SideNote"/>
    <w:next w:val="BodyText"/>
    <w:uiPriority w:val="2"/>
    <w:qFormat/>
    <w:rsid w:val="00C249C7"/>
    <w:pPr>
      <w:framePr w:wrap="around"/>
      <w:numPr>
        <w:numId w:val="9"/>
      </w:numPr>
    </w:pPr>
  </w:style>
  <w:style w:type="paragraph" w:customStyle="1" w:styleId="Source">
    <w:name w:val="Source"/>
    <w:basedOn w:val="BodyText"/>
    <w:next w:val="BodyText"/>
    <w:rsid w:val="009949E9"/>
    <w:pPr>
      <w:pBdr>
        <w:bottom w:val="single" w:sz="2" w:space="1" w:color="C0C0C0"/>
      </w:pBdr>
      <w:spacing w:before="40" w:after="60" w:line="180" w:lineRule="exact"/>
    </w:pPr>
    <w:rPr>
      <w:rFonts w:ascii="Arial" w:hAnsi="Arial"/>
      <w:sz w:val="16"/>
      <w:szCs w:val="14"/>
    </w:rPr>
  </w:style>
  <w:style w:type="paragraph" w:customStyle="1" w:styleId="PageNumberLandscape">
    <w:name w:val="Page Number Landscape"/>
    <w:basedOn w:val="Normal"/>
    <w:link w:val="PageNumberLandscapeChar"/>
    <w:semiHidden/>
    <w:rsid w:val="00C249C7"/>
    <w:pPr>
      <w:jc w:val="right"/>
    </w:pPr>
  </w:style>
  <w:style w:type="paragraph" w:customStyle="1" w:styleId="Tablebody">
    <w:name w:val="Table body"/>
    <w:uiPriority w:val="3"/>
    <w:qFormat/>
    <w:rsid w:val="00C249C7"/>
    <w:pPr>
      <w:keepNext/>
      <w:keepLines/>
      <w:spacing w:before="40" w:after="40" w:line="240" w:lineRule="auto"/>
    </w:pPr>
    <w:rPr>
      <w:rFonts w:asciiTheme="minorHAnsi" w:hAnsiTheme="minorHAnsi"/>
      <w:color w:val="000000"/>
      <w:sz w:val="18"/>
      <w:lang w:eastAsia="en-US"/>
    </w:rPr>
  </w:style>
  <w:style w:type="paragraph" w:customStyle="1" w:styleId="Tablecolumnheadings">
    <w:name w:val="Table column headings"/>
    <w:uiPriority w:val="3"/>
    <w:qFormat/>
    <w:rsid w:val="00C249C7"/>
    <w:pPr>
      <w:keepNext/>
      <w:spacing w:before="60" w:after="60" w:line="220" w:lineRule="exact"/>
    </w:pPr>
    <w:rPr>
      <w:rFonts w:asciiTheme="majorHAnsi" w:hAnsiTheme="majorHAnsi"/>
      <w:color w:val="FFFFFF" w:themeColor="background1"/>
      <w:sz w:val="16"/>
      <w:szCs w:val="16"/>
      <w:lang w:eastAsia="en-US"/>
    </w:rPr>
  </w:style>
  <w:style w:type="paragraph" w:customStyle="1" w:styleId="Tablecontinued">
    <w:name w:val="Table continued"/>
    <w:basedOn w:val="Note"/>
    <w:next w:val="BodyText"/>
    <w:uiPriority w:val="4"/>
    <w:semiHidden/>
    <w:rsid w:val="00C249C7"/>
    <w:pPr>
      <w:spacing w:after="120" w:line="220" w:lineRule="exact"/>
      <w:jc w:val="right"/>
    </w:pPr>
  </w:style>
  <w:style w:type="paragraph" w:customStyle="1" w:styleId="Tablesideheading1">
    <w:name w:val="Table side heading 1"/>
    <w:basedOn w:val="Tablebody"/>
    <w:next w:val="Tabletext"/>
    <w:uiPriority w:val="3"/>
    <w:rsid w:val="009949E9"/>
    <w:rPr>
      <w:rFonts w:ascii="Arial" w:hAnsi="Arial"/>
      <w:b/>
      <w:color w:val="auto"/>
      <w:sz w:val="16"/>
      <w:szCs w:val="16"/>
    </w:rPr>
  </w:style>
  <w:style w:type="paragraph" w:customStyle="1" w:styleId="Tablesideheading2">
    <w:name w:val="Table side heading 2"/>
    <w:basedOn w:val="Tablesideheading1"/>
    <w:next w:val="Tabletext"/>
    <w:uiPriority w:val="3"/>
    <w:rsid w:val="009949E9"/>
    <w:rPr>
      <w:b w:val="0"/>
      <w:i/>
    </w:rPr>
  </w:style>
  <w:style w:type="paragraph" w:customStyle="1" w:styleId="Tablelistbullet">
    <w:name w:val="Table list bullet"/>
    <w:uiPriority w:val="3"/>
    <w:rsid w:val="00F35F6B"/>
    <w:pPr>
      <w:numPr>
        <w:numId w:val="38"/>
      </w:numPr>
      <w:spacing w:before="40" w:after="40" w:line="240" w:lineRule="auto"/>
    </w:pPr>
    <w:rPr>
      <w:rFonts w:ascii="Arial" w:hAnsi="Arial"/>
      <w:color w:val="000000"/>
      <w:sz w:val="16"/>
      <w:lang w:eastAsia="en-US"/>
    </w:rPr>
  </w:style>
  <w:style w:type="paragraph" w:customStyle="1" w:styleId="Tablelistbullet2">
    <w:name w:val="Table list bullet 2"/>
    <w:basedOn w:val="Tablebody"/>
    <w:uiPriority w:val="3"/>
    <w:rsid w:val="00F35F6B"/>
    <w:pPr>
      <w:numPr>
        <w:ilvl w:val="1"/>
        <w:numId w:val="38"/>
      </w:numPr>
    </w:pPr>
    <w:rPr>
      <w:rFonts w:ascii="Arial" w:hAnsi="Arial"/>
      <w:sz w:val="16"/>
    </w:rPr>
  </w:style>
  <w:style w:type="paragraph" w:customStyle="1" w:styleId="Tablelistnumber">
    <w:name w:val="Table list number"/>
    <w:uiPriority w:val="3"/>
    <w:rsid w:val="00520ED6"/>
    <w:pPr>
      <w:numPr>
        <w:numId w:val="25"/>
      </w:numPr>
      <w:spacing w:before="40" w:after="40" w:line="240" w:lineRule="auto"/>
    </w:pPr>
    <w:rPr>
      <w:rFonts w:ascii="Arial" w:hAnsi="Arial"/>
      <w:color w:val="000000"/>
      <w:sz w:val="16"/>
      <w:lang w:eastAsia="en-US"/>
    </w:rPr>
  </w:style>
  <w:style w:type="paragraph" w:styleId="TableofFigures">
    <w:name w:val="table of figures"/>
    <w:basedOn w:val="BodyText"/>
    <w:next w:val="BodyText"/>
    <w:autoRedefine/>
    <w:uiPriority w:val="99"/>
    <w:rsid w:val="009949E9"/>
    <w:pPr>
      <w:tabs>
        <w:tab w:val="left" w:pos="1021"/>
        <w:tab w:val="right" w:pos="7371"/>
      </w:tabs>
      <w:spacing w:before="40" w:line="240" w:lineRule="auto"/>
      <w:ind w:left="1021" w:right="680" w:hanging="1021"/>
    </w:pPr>
    <w:rPr>
      <w:rFonts w:asciiTheme="majorHAnsi" w:hAnsiTheme="majorHAnsi"/>
      <w:sz w:val="18"/>
    </w:rPr>
  </w:style>
  <w:style w:type="paragraph" w:customStyle="1" w:styleId="Tableunitsrow">
    <w:name w:val="Table units row"/>
    <w:basedOn w:val="Tablecolumnheadings"/>
    <w:uiPriority w:val="3"/>
    <w:rsid w:val="009949E9"/>
    <w:pPr>
      <w:spacing w:before="40"/>
    </w:pPr>
    <w:rPr>
      <w:color w:val="auto"/>
    </w:rPr>
  </w:style>
  <w:style w:type="paragraph" w:styleId="TOC3">
    <w:name w:val="toc 3"/>
    <w:basedOn w:val="TOC2"/>
    <w:next w:val="BodyText"/>
    <w:autoRedefine/>
    <w:uiPriority w:val="39"/>
    <w:rsid w:val="009949E9"/>
    <w:pPr>
      <w:tabs>
        <w:tab w:val="clear" w:pos="794"/>
        <w:tab w:val="left" w:pos="1361"/>
      </w:tabs>
      <w:ind w:left="1361" w:hanging="567"/>
    </w:pPr>
  </w:style>
  <w:style w:type="paragraph" w:customStyle="1" w:styleId="Footerlandscape">
    <w:name w:val="Footer landscape"/>
    <w:basedOn w:val="PageNumberLandscape"/>
    <w:semiHidden/>
    <w:rsid w:val="00C249C7"/>
    <w:pPr>
      <w:framePr w:wrap="around" w:hAnchor="text"/>
      <w:jc w:val="left"/>
    </w:pPr>
  </w:style>
  <w:style w:type="character" w:customStyle="1" w:styleId="PlaceholderTitle">
    <w:name w:val="Placeholder Title"/>
    <w:rsid w:val="00C249C7"/>
    <w:rPr>
      <w:b/>
      <w:color w:val="000000"/>
    </w:rPr>
  </w:style>
  <w:style w:type="paragraph" w:customStyle="1" w:styleId="Reference">
    <w:name w:val="Reference"/>
    <w:basedOn w:val="BodyText"/>
    <w:uiPriority w:val="99"/>
    <w:rsid w:val="00C249C7"/>
    <w:pPr>
      <w:spacing w:before="100" w:line="240" w:lineRule="auto"/>
      <w:ind w:left="340" w:hanging="340"/>
    </w:pPr>
    <w:rPr>
      <w:sz w:val="21"/>
    </w:rPr>
  </w:style>
  <w:style w:type="paragraph" w:styleId="ListNumber2">
    <w:name w:val="List Number 2"/>
    <w:basedOn w:val="ListNumber"/>
    <w:uiPriority w:val="2"/>
    <w:rsid w:val="00013650"/>
    <w:pPr>
      <w:numPr>
        <w:ilvl w:val="1"/>
      </w:numPr>
      <w:spacing w:before="40" w:after="40" w:line="260" w:lineRule="exact"/>
    </w:pPr>
  </w:style>
  <w:style w:type="paragraph" w:customStyle="1" w:styleId="LastBoxRow">
    <w:name w:val="LastBoxRow"/>
    <w:basedOn w:val="BoxText"/>
    <w:uiPriority w:val="99"/>
    <w:semiHidden/>
    <w:rsid w:val="00C249C7"/>
    <w:rPr>
      <w:sz w:val="8"/>
      <w:szCs w:val="8"/>
    </w:rPr>
  </w:style>
  <w:style w:type="paragraph" w:styleId="BodyText3">
    <w:name w:val="Body Text 3"/>
    <w:basedOn w:val="Normal"/>
    <w:semiHidden/>
    <w:rsid w:val="00C249C7"/>
    <w:rPr>
      <w:sz w:val="16"/>
    </w:rPr>
  </w:style>
  <w:style w:type="paragraph" w:styleId="ListBullet4">
    <w:name w:val="List Bullet 4"/>
    <w:basedOn w:val="Normal"/>
    <w:semiHidden/>
    <w:rsid w:val="00C249C7"/>
    <w:pPr>
      <w:numPr>
        <w:numId w:val="2"/>
      </w:numPr>
    </w:pPr>
  </w:style>
  <w:style w:type="paragraph" w:styleId="ListBullet5">
    <w:name w:val="List Bullet 5"/>
    <w:basedOn w:val="Normal"/>
    <w:semiHidden/>
    <w:rsid w:val="00C249C7"/>
    <w:pPr>
      <w:numPr>
        <w:numId w:val="3"/>
      </w:numPr>
    </w:pPr>
  </w:style>
  <w:style w:type="paragraph" w:customStyle="1" w:styleId="BoxListNumber2">
    <w:name w:val="Box List Number 2"/>
    <w:basedOn w:val="BoxListNumber"/>
    <w:uiPriority w:val="4"/>
    <w:rsid w:val="00C249C7"/>
    <w:pPr>
      <w:numPr>
        <w:ilvl w:val="1"/>
      </w:numPr>
    </w:pPr>
  </w:style>
  <w:style w:type="paragraph" w:customStyle="1" w:styleId="SideNoteopListBullet">
    <w:name w:val="Side Note op List Bullet"/>
    <w:basedOn w:val="SideNote"/>
    <w:uiPriority w:val="2"/>
    <w:rsid w:val="00C249C7"/>
    <w:pPr>
      <w:framePr w:wrap="around"/>
    </w:pPr>
  </w:style>
  <w:style w:type="paragraph" w:customStyle="1" w:styleId="OfficeAddress">
    <w:name w:val="OfficeAddress"/>
    <w:autoRedefine/>
    <w:semiHidden/>
    <w:rsid w:val="00C249C7"/>
    <w:pPr>
      <w:spacing w:before="0" w:line="240" w:lineRule="auto"/>
      <w:ind w:right="-291"/>
    </w:pPr>
    <w:rPr>
      <w:sz w:val="16"/>
      <w:szCs w:val="20"/>
      <w:lang w:eastAsia="en-AU"/>
    </w:rPr>
  </w:style>
  <w:style w:type="paragraph" w:customStyle="1" w:styleId="OfficeContact">
    <w:name w:val="OfficeContact"/>
    <w:autoRedefine/>
    <w:semiHidden/>
    <w:rsid w:val="00C249C7"/>
    <w:pPr>
      <w:spacing w:before="60" w:line="240" w:lineRule="auto"/>
    </w:pPr>
    <w:rPr>
      <w:sz w:val="16"/>
      <w:szCs w:val="20"/>
      <w:lang w:eastAsia="en-AU"/>
    </w:rPr>
  </w:style>
  <w:style w:type="paragraph" w:customStyle="1" w:styleId="OfficeEmail">
    <w:name w:val="OfficeEmail"/>
    <w:basedOn w:val="OfficeAddress"/>
    <w:autoRedefine/>
    <w:semiHidden/>
    <w:rsid w:val="00C249C7"/>
  </w:style>
  <w:style w:type="paragraph" w:styleId="BalloonText">
    <w:name w:val="Balloon Text"/>
    <w:basedOn w:val="Normal"/>
    <w:semiHidden/>
    <w:rsid w:val="00C249C7"/>
    <w:rPr>
      <w:rFonts w:ascii="Tahoma" w:hAnsi="Tahoma" w:cs="Tahoma"/>
      <w:sz w:val="16"/>
      <w:szCs w:val="16"/>
    </w:rPr>
  </w:style>
  <w:style w:type="paragraph" w:styleId="CommentSubject">
    <w:name w:val="annotation subject"/>
    <w:basedOn w:val="CommentText"/>
    <w:next w:val="CommentText"/>
    <w:semiHidden/>
    <w:rsid w:val="00C249C7"/>
    <w:pPr>
      <w:spacing w:before="0" w:line="240" w:lineRule="auto"/>
      <w:ind w:left="0" w:firstLine="0"/>
    </w:pPr>
    <w:rPr>
      <w:rFonts w:ascii="Garamond" w:hAnsi="Garamond"/>
      <w:b/>
      <w:bCs/>
      <w:sz w:val="20"/>
    </w:rPr>
  </w:style>
  <w:style w:type="paragraph" w:styleId="DocumentMap">
    <w:name w:val="Document Map"/>
    <w:basedOn w:val="Normal"/>
    <w:semiHidden/>
    <w:rsid w:val="00C249C7"/>
    <w:pPr>
      <w:shd w:val="clear" w:color="auto" w:fill="000080"/>
    </w:pPr>
    <w:rPr>
      <w:rFonts w:ascii="Tahoma" w:hAnsi="Tahoma" w:cs="Tahoma"/>
    </w:rPr>
  </w:style>
  <w:style w:type="character" w:styleId="EndnoteReference">
    <w:name w:val="endnote reference"/>
    <w:basedOn w:val="DefaultParagraphFont"/>
    <w:semiHidden/>
    <w:rsid w:val="00C249C7"/>
    <w:rPr>
      <w:vertAlign w:val="superscript"/>
    </w:rPr>
  </w:style>
  <w:style w:type="paragraph" w:styleId="EndnoteText">
    <w:name w:val="endnote text"/>
    <w:semiHidden/>
    <w:rsid w:val="00C249C7"/>
    <w:rPr>
      <w:lang w:eastAsia="en-US"/>
    </w:rPr>
  </w:style>
  <w:style w:type="paragraph" w:styleId="Index1">
    <w:name w:val="index 1"/>
    <w:basedOn w:val="Normal"/>
    <w:next w:val="Normal"/>
    <w:autoRedefine/>
    <w:uiPriority w:val="99"/>
    <w:semiHidden/>
    <w:rsid w:val="00C249C7"/>
    <w:pPr>
      <w:ind w:left="240" w:hanging="240"/>
    </w:pPr>
  </w:style>
  <w:style w:type="paragraph" w:styleId="Index2">
    <w:name w:val="index 2"/>
    <w:basedOn w:val="Normal"/>
    <w:next w:val="Normal"/>
    <w:autoRedefine/>
    <w:uiPriority w:val="99"/>
    <w:semiHidden/>
    <w:rsid w:val="00C249C7"/>
    <w:pPr>
      <w:ind w:left="480" w:hanging="240"/>
    </w:pPr>
  </w:style>
  <w:style w:type="paragraph" w:styleId="Index3">
    <w:name w:val="index 3"/>
    <w:basedOn w:val="Normal"/>
    <w:next w:val="Normal"/>
    <w:autoRedefine/>
    <w:uiPriority w:val="99"/>
    <w:semiHidden/>
    <w:rsid w:val="00C249C7"/>
    <w:pPr>
      <w:ind w:left="720" w:hanging="240"/>
    </w:pPr>
  </w:style>
  <w:style w:type="paragraph" w:styleId="Index4">
    <w:name w:val="index 4"/>
    <w:basedOn w:val="Normal"/>
    <w:next w:val="Normal"/>
    <w:autoRedefine/>
    <w:uiPriority w:val="99"/>
    <w:semiHidden/>
    <w:rsid w:val="00C249C7"/>
    <w:pPr>
      <w:ind w:left="960" w:hanging="240"/>
    </w:pPr>
  </w:style>
  <w:style w:type="paragraph" w:styleId="Index5">
    <w:name w:val="index 5"/>
    <w:basedOn w:val="Normal"/>
    <w:next w:val="Normal"/>
    <w:autoRedefine/>
    <w:semiHidden/>
    <w:rsid w:val="00C249C7"/>
    <w:pPr>
      <w:ind w:left="1200" w:hanging="240"/>
    </w:pPr>
  </w:style>
  <w:style w:type="paragraph" w:styleId="Index6">
    <w:name w:val="index 6"/>
    <w:basedOn w:val="Normal"/>
    <w:next w:val="Normal"/>
    <w:autoRedefine/>
    <w:semiHidden/>
    <w:rsid w:val="00C249C7"/>
    <w:pPr>
      <w:ind w:left="1440" w:hanging="240"/>
    </w:pPr>
  </w:style>
  <w:style w:type="paragraph" w:styleId="Index7">
    <w:name w:val="index 7"/>
    <w:basedOn w:val="Normal"/>
    <w:next w:val="Normal"/>
    <w:autoRedefine/>
    <w:semiHidden/>
    <w:rsid w:val="00C249C7"/>
    <w:pPr>
      <w:ind w:left="1680" w:hanging="240"/>
    </w:pPr>
  </w:style>
  <w:style w:type="paragraph" w:styleId="Index8">
    <w:name w:val="index 8"/>
    <w:basedOn w:val="Normal"/>
    <w:next w:val="Normal"/>
    <w:autoRedefine/>
    <w:semiHidden/>
    <w:rsid w:val="00C249C7"/>
    <w:pPr>
      <w:ind w:left="1920" w:hanging="240"/>
    </w:pPr>
  </w:style>
  <w:style w:type="paragraph" w:styleId="Index9">
    <w:name w:val="index 9"/>
    <w:basedOn w:val="Normal"/>
    <w:next w:val="Normal"/>
    <w:autoRedefine/>
    <w:semiHidden/>
    <w:rsid w:val="00C249C7"/>
    <w:pPr>
      <w:ind w:left="2160" w:hanging="240"/>
    </w:pPr>
  </w:style>
  <w:style w:type="paragraph" w:styleId="IndexHeading">
    <w:name w:val="index heading"/>
    <w:basedOn w:val="Normal"/>
    <w:next w:val="Index1"/>
    <w:uiPriority w:val="99"/>
    <w:semiHidden/>
    <w:rsid w:val="00C249C7"/>
    <w:rPr>
      <w:rFonts w:ascii="Arial" w:hAnsi="Arial" w:cs="Arial"/>
      <w:b/>
      <w:bCs/>
    </w:rPr>
  </w:style>
  <w:style w:type="paragraph" w:styleId="MacroText">
    <w:name w:val="macro"/>
    <w:semiHidden/>
    <w:rsid w:val="00C249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next w:val="Normal"/>
    <w:uiPriority w:val="99"/>
    <w:rsid w:val="00C249C7"/>
    <w:pPr>
      <w:ind w:left="240" w:hanging="240"/>
    </w:pPr>
    <w:rPr>
      <w:rFonts w:asciiTheme="minorHAnsi" w:hAnsiTheme="minorHAnsi"/>
      <w:lang w:eastAsia="en-US"/>
    </w:rPr>
  </w:style>
  <w:style w:type="paragraph" w:styleId="TOAHeading">
    <w:name w:val="toa heading"/>
    <w:basedOn w:val="Normal"/>
    <w:next w:val="Normal"/>
    <w:autoRedefine/>
    <w:rsid w:val="00C249C7"/>
    <w:rPr>
      <w:rFonts w:asciiTheme="majorHAnsi" w:hAnsiTheme="majorHAnsi" w:cs="Arial"/>
      <w:b/>
      <w:bCs/>
      <w:sz w:val="20"/>
    </w:rPr>
  </w:style>
  <w:style w:type="paragraph" w:styleId="TOC4">
    <w:name w:val="toc 4"/>
    <w:basedOn w:val="Normal"/>
    <w:next w:val="Normal"/>
    <w:autoRedefine/>
    <w:uiPriority w:val="11"/>
    <w:rsid w:val="009949E9"/>
    <w:pPr>
      <w:ind w:left="720"/>
    </w:pPr>
    <w:rPr>
      <w:rFonts w:asciiTheme="majorHAnsi" w:hAnsiTheme="majorHAnsi"/>
    </w:rPr>
  </w:style>
  <w:style w:type="paragraph" w:styleId="TOC5">
    <w:name w:val="toc 5"/>
    <w:basedOn w:val="Normal"/>
    <w:next w:val="Normal"/>
    <w:autoRedefine/>
    <w:uiPriority w:val="39"/>
    <w:rsid w:val="00F77AB7"/>
    <w:pPr>
      <w:tabs>
        <w:tab w:val="right" w:pos="7362"/>
      </w:tabs>
      <w:spacing w:before="600" w:after="0" w:line="260" w:lineRule="exact"/>
    </w:pPr>
    <w:rPr>
      <w:rFonts w:asciiTheme="majorHAnsi" w:hAnsiTheme="majorHAnsi"/>
      <w:b/>
      <w:smallCaps/>
      <w:noProof/>
      <w:color w:val="9757A6" w:themeColor="text2"/>
    </w:rPr>
  </w:style>
  <w:style w:type="paragraph" w:styleId="TOC6">
    <w:name w:val="toc 6"/>
    <w:basedOn w:val="Normal"/>
    <w:next w:val="Normal"/>
    <w:autoRedefine/>
    <w:uiPriority w:val="39"/>
    <w:rsid w:val="009949E9"/>
    <w:pPr>
      <w:tabs>
        <w:tab w:val="right" w:pos="7371"/>
      </w:tabs>
      <w:ind w:right="568"/>
    </w:pPr>
    <w:rPr>
      <w:rFonts w:asciiTheme="majorHAnsi" w:hAnsiTheme="majorHAnsi"/>
      <w:sz w:val="22"/>
    </w:rPr>
  </w:style>
  <w:style w:type="paragraph" w:styleId="TOC7">
    <w:name w:val="toc 7"/>
    <w:basedOn w:val="Normal"/>
    <w:next w:val="Normal"/>
    <w:autoRedefine/>
    <w:uiPriority w:val="39"/>
    <w:rsid w:val="009949E9"/>
    <w:pPr>
      <w:tabs>
        <w:tab w:val="right" w:pos="7371"/>
      </w:tabs>
      <w:ind w:left="1701" w:right="567" w:hanging="1701"/>
    </w:pPr>
    <w:rPr>
      <w:rFonts w:asciiTheme="majorHAnsi" w:hAnsiTheme="majorHAnsi"/>
      <w:noProof/>
      <w:sz w:val="22"/>
    </w:rPr>
  </w:style>
  <w:style w:type="paragraph" w:styleId="TOC8">
    <w:name w:val="toc 8"/>
    <w:basedOn w:val="Normal"/>
    <w:next w:val="Normal"/>
    <w:autoRedefine/>
    <w:uiPriority w:val="11"/>
    <w:rsid w:val="009949E9"/>
    <w:pPr>
      <w:tabs>
        <w:tab w:val="right" w:pos="7371"/>
      </w:tabs>
      <w:spacing w:before="500" w:after="0" w:line="260" w:lineRule="exact"/>
    </w:pPr>
    <w:rPr>
      <w:rFonts w:asciiTheme="majorHAnsi" w:hAnsiTheme="majorHAnsi"/>
      <w:b/>
      <w:noProof/>
      <w:color w:val="9757A6" w:themeColor="text2"/>
      <w:sz w:val="32"/>
    </w:rPr>
  </w:style>
  <w:style w:type="paragraph" w:styleId="TOC9">
    <w:name w:val="toc 9"/>
    <w:basedOn w:val="Normal"/>
    <w:next w:val="Normal"/>
    <w:autoRedefine/>
    <w:uiPriority w:val="39"/>
    <w:rsid w:val="009949E9"/>
    <w:pPr>
      <w:ind w:left="1920"/>
    </w:pPr>
    <w:rPr>
      <w:rFonts w:asciiTheme="majorHAnsi" w:hAnsiTheme="majorHAnsi"/>
      <w:sz w:val="52"/>
    </w:rPr>
  </w:style>
  <w:style w:type="numbering" w:styleId="ArticleSection">
    <w:name w:val="Outline List 3"/>
    <w:basedOn w:val="NoList"/>
    <w:semiHidden/>
    <w:rsid w:val="00C249C7"/>
    <w:pPr>
      <w:numPr>
        <w:numId w:val="8"/>
      </w:numPr>
    </w:pPr>
  </w:style>
  <w:style w:type="paragraph" w:styleId="BlockText">
    <w:name w:val="Block Text"/>
    <w:basedOn w:val="Normal"/>
    <w:semiHidden/>
    <w:rsid w:val="00C249C7"/>
    <w:pPr>
      <w:ind w:left="1440" w:right="1440"/>
    </w:pPr>
  </w:style>
  <w:style w:type="paragraph" w:styleId="BodyTextFirstIndent">
    <w:name w:val="Body Text First Indent"/>
    <w:basedOn w:val="BodyText"/>
    <w:semiHidden/>
    <w:rsid w:val="00C249C7"/>
    <w:pPr>
      <w:spacing w:before="0" w:line="240" w:lineRule="auto"/>
      <w:ind w:firstLine="210"/>
    </w:pPr>
  </w:style>
  <w:style w:type="paragraph" w:styleId="BodyTextIndent">
    <w:name w:val="Body Text Indent"/>
    <w:basedOn w:val="Normal"/>
    <w:semiHidden/>
    <w:rsid w:val="00C249C7"/>
    <w:pPr>
      <w:ind w:left="283"/>
    </w:pPr>
  </w:style>
  <w:style w:type="paragraph" w:styleId="BodyTextFirstIndent2">
    <w:name w:val="Body Text First Indent 2"/>
    <w:basedOn w:val="BodyTextIndent"/>
    <w:semiHidden/>
    <w:rsid w:val="00C249C7"/>
    <w:pPr>
      <w:ind w:firstLine="210"/>
    </w:pPr>
  </w:style>
  <w:style w:type="paragraph" w:styleId="BodyTextIndent2">
    <w:name w:val="Body Text Indent 2"/>
    <w:basedOn w:val="Normal"/>
    <w:semiHidden/>
    <w:rsid w:val="00C249C7"/>
    <w:pPr>
      <w:spacing w:line="480" w:lineRule="auto"/>
      <w:ind w:left="283"/>
    </w:pPr>
  </w:style>
  <w:style w:type="paragraph" w:styleId="BodyTextIndent3">
    <w:name w:val="Body Text Indent 3"/>
    <w:basedOn w:val="Normal"/>
    <w:semiHidden/>
    <w:rsid w:val="00C249C7"/>
    <w:pPr>
      <w:ind w:left="283"/>
    </w:pPr>
    <w:rPr>
      <w:sz w:val="16"/>
      <w:szCs w:val="16"/>
    </w:rPr>
  </w:style>
  <w:style w:type="paragraph" w:styleId="Closing">
    <w:name w:val="Closing"/>
    <w:basedOn w:val="Normal"/>
    <w:semiHidden/>
    <w:rsid w:val="00C249C7"/>
    <w:pPr>
      <w:ind w:left="4252"/>
    </w:pPr>
  </w:style>
  <w:style w:type="paragraph" w:styleId="E-mailSignature">
    <w:name w:val="E-mail Signature"/>
    <w:basedOn w:val="Normal"/>
    <w:semiHidden/>
    <w:rsid w:val="00C249C7"/>
  </w:style>
  <w:style w:type="character" w:styleId="Emphasis">
    <w:name w:val="Emphasis"/>
    <w:basedOn w:val="DefaultParagraphFont"/>
    <w:semiHidden/>
    <w:rsid w:val="00C249C7"/>
    <w:rPr>
      <w:i/>
      <w:iCs/>
    </w:rPr>
  </w:style>
  <w:style w:type="paragraph" w:styleId="EnvelopeAddress">
    <w:name w:val="envelope address"/>
    <w:basedOn w:val="Normal"/>
    <w:semiHidden/>
    <w:rsid w:val="00C249C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249C7"/>
    <w:rPr>
      <w:rFonts w:ascii="Arial" w:hAnsi="Arial" w:cs="Arial"/>
    </w:rPr>
  </w:style>
  <w:style w:type="character" w:styleId="FollowedHyperlink">
    <w:name w:val="FollowedHyperlink"/>
    <w:basedOn w:val="DefaultParagraphFont"/>
    <w:uiPriority w:val="99"/>
    <w:semiHidden/>
    <w:rsid w:val="00C249C7"/>
    <w:rPr>
      <w:color w:val="800080"/>
      <w:u w:val="single"/>
    </w:rPr>
  </w:style>
  <w:style w:type="character" w:styleId="HTMLAcronym">
    <w:name w:val="HTML Acronym"/>
    <w:basedOn w:val="DefaultParagraphFont"/>
    <w:semiHidden/>
    <w:rsid w:val="00C249C7"/>
  </w:style>
  <w:style w:type="paragraph" w:styleId="HTMLAddress">
    <w:name w:val="HTML Address"/>
    <w:basedOn w:val="Normal"/>
    <w:semiHidden/>
    <w:rsid w:val="00C249C7"/>
    <w:rPr>
      <w:i/>
      <w:iCs/>
    </w:rPr>
  </w:style>
  <w:style w:type="character" w:styleId="HTMLCite">
    <w:name w:val="HTML Cite"/>
    <w:basedOn w:val="DefaultParagraphFont"/>
    <w:semiHidden/>
    <w:rsid w:val="00C249C7"/>
    <w:rPr>
      <w:i/>
      <w:iCs/>
    </w:rPr>
  </w:style>
  <w:style w:type="character" w:styleId="HTMLCode">
    <w:name w:val="HTML Code"/>
    <w:basedOn w:val="DefaultParagraphFont"/>
    <w:semiHidden/>
    <w:rsid w:val="00C249C7"/>
    <w:rPr>
      <w:rFonts w:ascii="Courier New" w:hAnsi="Courier New" w:cs="Courier New"/>
      <w:sz w:val="20"/>
      <w:szCs w:val="20"/>
    </w:rPr>
  </w:style>
  <w:style w:type="character" w:styleId="HTMLDefinition">
    <w:name w:val="HTML Definition"/>
    <w:basedOn w:val="DefaultParagraphFont"/>
    <w:semiHidden/>
    <w:rsid w:val="00C249C7"/>
    <w:rPr>
      <w:i/>
      <w:iCs/>
    </w:rPr>
  </w:style>
  <w:style w:type="character" w:styleId="HTMLKeyboard">
    <w:name w:val="HTML Keyboard"/>
    <w:basedOn w:val="DefaultParagraphFont"/>
    <w:semiHidden/>
    <w:rsid w:val="00C249C7"/>
    <w:rPr>
      <w:rFonts w:ascii="Courier New" w:hAnsi="Courier New" w:cs="Courier New"/>
      <w:sz w:val="20"/>
      <w:szCs w:val="20"/>
    </w:rPr>
  </w:style>
  <w:style w:type="paragraph" w:styleId="HTMLPreformatted">
    <w:name w:val="HTML Preformatted"/>
    <w:basedOn w:val="Normal"/>
    <w:semiHidden/>
    <w:rsid w:val="00C249C7"/>
    <w:rPr>
      <w:rFonts w:ascii="Courier New" w:hAnsi="Courier New" w:cs="Courier New"/>
    </w:rPr>
  </w:style>
  <w:style w:type="character" w:styleId="HTMLSample">
    <w:name w:val="HTML Sample"/>
    <w:basedOn w:val="DefaultParagraphFont"/>
    <w:semiHidden/>
    <w:rsid w:val="00C249C7"/>
    <w:rPr>
      <w:rFonts w:ascii="Courier New" w:hAnsi="Courier New" w:cs="Courier New"/>
    </w:rPr>
  </w:style>
  <w:style w:type="character" w:styleId="HTMLTypewriter">
    <w:name w:val="HTML Typewriter"/>
    <w:basedOn w:val="DefaultParagraphFont"/>
    <w:semiHidden/>
    <w:rsid w:val="00C249C7"/>
    <w:rPr>
      <w:rFonts w:ascii="Courier New" w:hAnsi="Courier New" w:cs="Courier New"/>
      <w:sz w:val="20"/>
      <w:szCs w:val="20"/>
    </w:rPr>
  </w:style>
  <w:style w:type="character" w:styleId="HTMLVariable">
    <w:name w:val="HTML Variable"/>
    <w:basedOn w:val="DefaultParagraphFont"/>
    <w:semiHidden/>
    <w:rsid w:val="00C249C7"/>
    <w:rPr>
      <w:i/>
      <w:iCs/>
    </w:rPr>
  </w:style>
  <w:style w:type="character" w:styleId="LineNumber">
    <w:name w:val="line number"/>
    <w:basedOn w:val="DefaultParagraphFont"/>
    <w:semiHidden/>
    <w:rsid w:val="00C249C7"/>
  </w:style>
  <w:style w:type="paragraph" w:styleId="List">
    <w:name w:val="List"/>
    <w:basedOn w:val="Normal"/>
    <w:semiHidden/>
    <w:rsid w:val="00C249C7"/>
    <w:pPr>
      <w:ind w:left="283" w:hanging="283"/>
    </w:pPr>
  </w:style>
  <w:style w:type="paragraph" w:styleId="List2">
    <w:name w:val="List 2"/>
    <w:basedOn w:val="Normal"/>
    <w:semiHidden/>
    <w:rsid w:val="00C249C7"/>
    <w:pPr>
      <w:ind w:left="566" w:hanging="283"/>
    </w:pPr>
  </w:style>
  <w:style w:type="paragraph" w:styleId="List3">
    <w:name w:val="List 3"/>
    <w:basedOn w:val="Normal"/>
    <w:semiHidden/>
    <w:rsid w:val="00C249C7"/>
    <w:pPr>
      <w:ind w:left="849" w:hanging="283"/>
    </w:pPr>
  </w:style>
  <w:style w:type="paragraph" w:styleId="List4">
    <w:name w:val="List 4"/>
    <w:basedOn w:val="Normal"/>
    <w:semiHidden/>
    <w:rsid w:val="00C249C7"/>
    <w:pPr>
      <w:ind w:left="1132" w:hanging="283"/>
    </w:pPr>
  </w:style>
  <w:style w:type="paragraph" w:styleId="List5">
    <w:name w:val="List 5"/>
    <w:basedOn w:val="Normal"/>
    <w:semiHidden/>
    <w:rsid w:val="00C249C7"/>
    <w:pPr>
      <w:ind w:left="1415" w:hanging="283"/>
    </w:pPr>
  </w:style>
  <w:style w:type="paragraph" w:styleId="ListContinue">
    <w:name w:val="List Continue"/>
    <w:basedOn w:val="Normal"/>
    <w:semiHidden/>
    <w:rsid w:val="00C249C7"/>
    <w:pPr>
      <w:ind w:left="283"/>
    </w:pPr>
  </w:style>
  <w:style w:type="paragraph" w:styleId="ListContinue2">
    <w:name w:val="List Continue 2"/>
    <w:basedOn w:val="Normal"/>
    <w:semiHidden/>
    <w:rsid w:val="00C249C7"/>
    <w:pPr>
      <w:ind w:left="566"/>
    </w:pPr>
  </w:style>
  <w:style w:type="paragraph" w:styleId="ListContinue3">
    <w:name w:val="List Continue 3"/>
    <w:basedOn w:val="Normal"/>
    <w:semiHidden/>
    <w:rsid w:val="00C249C7"/>
    <w:pPr>
      <w:ind w:left="849"/>
    </w:pPr>
  </w:style>
  <w:style w:type="paragraph" w:styleId="ListContinue4">
    <w:name w:val="List Continue 4"/>
    <w:basedOn w:val="Normal"/>
    <w:semiHidden/>
    <w:rsid w:val="00C249C7"/>
    <w:pPr>
      <w:ind w:left="1132"/>
    </w:pPr>
  </w:style>
  <w:style w:type="paragraph" w:styleId="ListContinue5">
    <w:name w:val="List Continue 5"/>
    <w:basedOn w:val="Normal"/>
    <w:semiHidden/>
    <w:rsid w:val="00C249C7"/>
    <w:pPr>
      <w:ind w:left="1415"/>
    </w:pPr>
  </w:style>
  <w:style w:type="paragraph" w:styleId="ListNumber3">
    <w:name w:val="List Number 3"/>
    <w:basedOn w:val="ListNumber2"/>
    <w:uiPriority w:val="2"/>
    <w:rsid w:val="00013650"/>
    <w:pPr>
      <w:numPr>
        <w:ilvl w:val="2"/>
      </w:numPr>
    </w:pPr>
  </w:style>
  <w:style w:type="paragraph" w:styleId="ListNumber4">
    <w:name w:val="List Number 4"/>
    <w:basedOn w:val="Normal"/>
    <w:semiHidden/>
    <w:rsid w:val="00C249C7"/>
    <w:pPr>
      <w:numPr>
        <w:numId w:val="4"/>
      </w:numPr>
    </w:pPr>
  </w:style>
  <w:style w:type="paragraph" w:styleId="ListNumber5">
    <w:name w:val="List Number 5"/>
    <w:basedOn w:val="Normal"/>
    <w:semiHidden/>
    <w:rsid w:val="00C249C7"/>
    <w:pPr>
      <w:numPr>
        <w:numId w:val="5"/>
      </w:numPr>
    </w:pPr>
  </w:style>
  <w:style w:type="paragraph" w:styleId="MessageHeader">
    <w:name w:val="Message Header"/>
    <w:basedOn w:val="Normal"/>
    <w:semiHidden/>
    <w:rsid w:val="00C249C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C249C7"/>
    <w:rPr>
      <w:rFonts w:ascii="Times New Roman" w:hAnsi="Times New Roman"/>
    </w:rPr>
  </w:style>
  <w:style w:type="paragraph" w:styleId="NormalIndent">
    <w:name w:val="Normal Indent"/>
    <w:basedOn w:val="Normal"/>
    <w:semiHidden/>
    <w:rsid w:val="00C249C7"/>
    <w:pPr>
      <w:ind w:left="720"/>
    </w:pPr>
  </w:style>
  <w:style w:type="paragraph" w:styleId="PlainText">
    <w:name w:val="Plain Text"/>
    <w:basedOn w:val="Normal"/>
    <w:semiHidden/>
    <w:rsid w:val="00C249C7"/>
    <w:rPr>
      <w:rFonts w:ascii="Courier New" w:hAnsi="Courier New" w:cs="Courier New"/>
    </w:rPr>
  </w:style>
  <w:style w:type="paragraph" w:styleId="Salutation">
    <w:name w:val="Salutation"/>
    <w:basedOn w:val="Normal"/>
    <w:next w:val="Normal"/>
    <w:semiHidden/>
    <w:rsid w:val="00C249C7"/>
  </w:style>
  <w:style w:type="paragraph" w:styleId="Signature">
    <w:name w:val="Signature"/>
    <w:basedOn w:val="Normal"/>
    <w:semiHidden/>
    <w:rsid w:val="00C249C7"/>
    <w:pPr>
      <w:ind w:left="4252"/>
    </w:pPr>
  </w:style>
  <w:style w:type="character" w:styleId="Strong">
    <w:name w:val="Strong"/>
    <w:basedOn w:val="DefaultParagraphFont"/>
    <w:semiHidden/>
    <w:rsid w:val="00C249C7"/>
    <w:rPr>
      <w:b/>
      <w:bCs/>
    </w:rPr>
  </w:style>
  <w:style w:type="table" w:styleId="Table3Deffects1">
    <w:name w:val="Table 3D effects 1"/>
    <w:basedOn w:val="TableNormal"/>
    <w:semiHidden/>
    <w:rsid w:val="00C249C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49C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49C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49C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49C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49C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49C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49C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49C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49C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49C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49C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49C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49C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49C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49C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249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C249C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49C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49C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49C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49C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49C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49C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49C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C249C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49C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49C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49C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49C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49C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49C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49C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49C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49C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49C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49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249C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49C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49C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
    <w:name w:val="Table"/>
    <w:uiPriority w:val="4"/>
    <w:rsid w:val="00C249C7"/>
    <w:pPr>
      <w:spacing w:before="40" w:after="40" w:line="240" w:lineRule="auto"/>
    </w:pPr>
    <w:rPr>
      <w:rFonts w:ascii="Arial" w:hAnsi="Arial"/>
      <w:color w:val="000000"/>
      <w:sz w:val="16"/>
      <w:lang w:eastAsia="en-AU"/>
    </w:rPr>
  </w:style>
  <w:style w:type="paragraph" w:customStyle="1" w:styleId="QuoteListBullet">
    <w:name w:val="Quote List Bullet"/>
    <w:basedOn w:val="Quote"/>
    <w:uiPriority w:val="4"/>
    <w:qFormat/>
    <w:rsid w:val="00C249C7"/>
    <w:pPr>
      <w:numPr>
        <w:numId w:val="10"/>
      </w:numPr>
    </w:pPr>
    <w:rPr>
      <w:szCs w:val="18"/>
    </w:rPr>
  </w:style>
  <w:style w:type="paragraph" w:customStyle="1" w:styleId="AppendixFooterlandscape">
    <w:name w:val="AppendixFooter landscape"/>
    <w:uiPriority w:val="99"/>
    <w:semiHidden/>
    <w:rsid w:val="00C249C7"/>
    <w:pPr>
      <w:framePr w:wrap="around" w:vAnchor="text" w:hAnchor="margin" w:xAlign="right" w:y="1"/>
      <w:spacing w:line="200" w:lineRule="exact"/>
      <w:ind w:right="40"/>
      <w:jc w:val="both"/>
    </w:pPr>
    <w:rPr>
      <w:rFonts w:ascii="Century Gothic" w:hAnsi="Century Gothic"/>
      <w:b/>
      <w:sz w:val="16"/>
      <w:lang w:eastAsia="en-AU"/>
    </w:rPr>
  </w:style>
  <w:style w:type="paragraph" w:customStyle="1" w:styleId="AppendixLandscapePageNumber">
    <w:name w:val="AppendixLandscapePage Number"/>
    <w:basedOn w:val="Normal"/>
    <w:semiHidden/>
    <w:rsid w:val="00C249C7"/>
    <w:pPr>
      <w:framePr w:wrap="around" w:vAnchor="text" w:hAnchor="margin" w:xAlign="right" w:y="1"/>
      <w:spacing w:before="40"/>
      <w:ind w:left="-142" w:right="40"/>
      <w:jc w:val="right"/>
    </w:pPr>
    <w:rPr>
      <w:rFonts w:ascii="Century Gothic" w:hAnsi="Century Gothic"/>
      <w:sz w:val="16"/>
    </w:rPr>
  </w:style>
  <w:style w:type="character" w:customStyle="1" w:styleId="Heading1Char">
    <w:name w:val="Heading 1 Char"/>
    <w:basedOn w:val="DefaultParagraphFont"/>
    <w:link w:val="Heading1"/>
    <w:rsid w:val="00C249C7"/>
    <w:rPr>
      <w:rFonts w:asciiTheme="majorHAnsi" w:hAnsiTheme="majorHAnsi"/>
      <w:b/>
      <w:color w:val="FFFFFF" w:themeColor="background1"/>
      <w:kern w:val="28"/>
      <w:sz w:val="38"/>
      <w:szCs w:val="38"/>
      <w:shd w:val="clear" w:color="auto" w:fill="9757A6"/>
      <w:lang w:eastAsia="en-AU"/>
    </w:rPr>
  </w:style>
  <w:style w:type="paragraph" w:customStyle="1" w:styleId="LastTableRow">
    <w:name w:val="LastTableRow"/>
    <w:basedOn w:val="Tablebody"/>
    <w:uiPriority w:val="99"/>
    <w:semiHidden/>
    <w:rsid w:val="00C249C7"/>
  </w:style>
  <w:style w:type="paragraph" w:customStyle="1" w:styleId="HeaderLandscape">
    <w:name w:val="HeaderLandscape"/>
    <w:semiHidden/>
    <w:rsid w:val="00C249C7"/>
    <w:pPr>
      <w:spacing w:before="0" w:line="240" w:lineRule="auto"/>
    </w:pPr>
    <w:rPr>
      <w:rFonts w:asciiTheme="minorHAnsi" w:hAnsiTheme="minorHAnsi"/>
      <w:sz w:val="14"/>
      <w:szCs w:val="16"/>
      <w:lang w:eastAsia="en-US"/>
    </w:rPr>
  </w:style>
  <w:style w:type="character" w:customStyle="1" w:styleId="HeaderChar">
    <w:name w:val="Header Char"/>
    <w:basedOn w:val="DefaultParagraphFont"/>
    <w:link w:val="Header"/>
    <w:rsid w:val="00C249C7"/>
    <w:rPr>
      <w:rFonts w:asciiTheme="minorHAnsi" w:hAnsiTheme="minorHAnsi"/>
      <w:noProof/>
      <w:sz w:val="16"/>
      <w:lang w:eastAsia="en-AU"/>
    </w:rPr>
  </w:style>
  <w:style w:type="character" w:customStyle="1" w:styleId="FooterChar">
    <w:name w:val="Footer Char"/>
    <w:basedOn w:val="DefaultParagraphFont"/>
    <w:link w:val="Footer"/>
    <w:uiPriority w:val="99"/>
    <w:rsid w:val="00C249C7"/>
    <w:rPr>
      <w:rFonts w:asciiTheme="minorHAnsi" w:hAnsiTheme="minorHAnsi"/>
      <w:sz w:val="14"/>
      <w:lang w:eastAsia="en-US"/>
    </w:rPr>
  </w:style>
  <w:style w:type="paragraph" w:customStyle="1" w:styleId="Contact">
    <w:name w:val="Contact"/>
    <w:basedOn w:val="OfficeAddress"/>
    <w:rsid w:val="00180AC7"/>
    <w:pPr>
      <w:spacing w:after="120" w:line="200" w:lineRule="exact"/>
      <w:ind w:left="113" w:right="-289"/>
    </w:pPr>
    <w:rPr>
      <w:rFonts w:asciiTheme="majorHAnsi" w:hAnsiTheme="majorHAnsi"/>
      <w:caps/>
      <w:sz w:val="14"/>
    </w:rPr>
  </w:style>
  <w:style w:type="paragraph" w:customStyle="1" w:styleId="BoxQuoteListBullet">
    <w:name w:val="Box Quote List Bullet"/>
    <w:basedOn w:val="BoxQuote"/>
    <w:uiPriority w:val="4"/>
    <w:rsid w:val="00EE1A65"/>
    <w:pPr>
      <w:numPr>
        <w:numId w:val="32"/>
      </w:numPr>
      <w:spacing w:before="40"/>
    </w:pPr>
  </w:style>
  <w:style w:type="paragraph" w:styleId="Bibliography">
    <w:name w:val="Bibliography"/>
    <w:basedOn w:val="Reference"/>
    <w:next w:val="BodyText"/>
    <w:uiPriority w:val="37"/>
    <w:semiHidden/>
    <w:rsid w:val="00C249C7"/>
  </w:style>
  <w:style w:type="table" w:customStyle="1" w:styleId="LightShading1">
    <w:name w:val="Light Shading1"/>
    <w:basedOn w:val="TableNormal"/>
    <w:uiPriority w:val="60"/>
    <w:rsid w:val="00C249C7"/>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quation">
    <w:name w:val="Equation"/>
    <w:basedOn w:val="BodyText"/>
    <w:next w:val="BodyText"/>
    <w:uiPriority w:val="8"/>
    <w:rsid w:val="00C249C7"/>
    <w:pPr>
      <w:spacing w:before="0" w:after="60" w:line="240" w:lineRule="auto"/>
      <w:jc w:val="center"/>
    </w:pPr>
  </w:style>
  <w:style w:type="character" w:styleId="PlaceholderText">
    <w:name w:val="Placeholder Text"/>
    <w:basedOn w:val="DefaultParagraphFont"/>
    <w:uiPriority w:val="99"/>
    <w:semiHidden/>
    <w:rsid w:val="00C249C7"/>
    <w:rPr>
      <w:color w:val="808080"/>
    </w:rPr>
  </w:style>
  <w:style w:type="paragraph" w:customStyle="1" w:styleId="Subject">
    <w:name w:val="Subject"/>
    <w:semiHidden/>
    <w:rsid w:val="00C249C7"/>
    <w:pPr>
      <w:spacing w:before="0"/>
    </w:pPr>
    <w:rPr>
      <w:rFonts w:ascii="Century Gothic" w:hAnsi="Century Gothic"/>
      <w:b/>
      <w:color w:val="000080"/>
      <w:szCs w:val="20"/>
      <w:lang w:eastAsia="en-US"/>
    </w:rPr>
  </w:style>
  <w:style w:type="paragraph" w:customStyle="1" w:styleId="Email">
    <w:name w:val="Email"/>
    <w:basedOn w:val="Normal"/>
    <w:semiHidden/>
    <w:rsid w:val="00C249C7"/>
    <w:pPr>
      <w:spacing w:before="0" w:line="240" w:lineRule="auto"/>
      <w:outlineLvl w:val="0"/>
    </w:pPr>
    <w:rPr>
      <w:sz w:val="23"/>
      <w:szCs w:val="20"/>
    </w:rPr>
  </w:style>
  <w:style w:type="paragraph" w:customStyle="1" w:styleId="SignatureBlock">
    <w:name w:val="Signature Block"/>
    <w:basedOn w:val="LetterName"/>
    <w:uiPriority w:val="6"/>
    <w:rsid w:val="00610859"/>
    <w:pPr>
      <w:spacing w:line="240" w:lineRule="auto"/>
    </w:pPr>
  </w:style>
  <w:style w:type="paragraph" w:customStyle="1" w:styleId="Address">
    <w:name w:val="Address"/>
    <w:basedOn w:val="BodyText"/>
    <w:uiPriority w:val="99"/>
    <w:semiHidden/>
    <w:rsid w:val="00C249C7"/>
  </w:style>
  <w:style w:type="paragraph" w:customStyle="1" w:styleId="OfficeDarwin">
    <w:name w:val="OfficeDarwin"/>
    <w:basedOn w:val="Office"/>
    <w:uiPriority w:val="99"/>
    <w:semiHidden/>
    <w:rsid w:val="00C249C7"/>
    <w:pPr>
      <w:spacing w:before="540"/>
      <w:ind w:right="-289"/>
    </w:pPr>
  </w:style>
  <w:style w:type="paragraph" w:customStyle="1" w:styleId="OfficeSydney">
    <w:name w:val="OfficeSydney"/>
    <w:basedOn w:val="Office"/>
    <w:uiPriority w:val="99"/>
    <w:semiHidden/>
    <w:rsid w:val="00C249C7"/>
    <w:pPr>
      <w:spacing w:before="640"/>
      <w:ind w:right="-289"/>
    </w:pPr>
  </w:style>
  <w:style w:type="paragraph" w:customStyle="1" w:styleId="Tablelistnumber2">
    <w:name w:val="Table list number 2"/>
    <w:basedOn w:val="Tablelistnumber"/>
    <w:uiPriority w:val="3"/>
    <w:rsid w:val="00520ED6"/>
    <w:pPr>
      <w:numPr>
        <w:ilvl w:val="1"/>
      </w:numPr>
    </w:pPr>
  </w:style>
  <w:style w:type="paragraph" w:customStyle="1" w:styleId="BoxListNumber3">
    <w:name w:val="Box List Number 3"/>
    <w:basedOn w:val="BoxListNumber2"/>
    <w:uiPriority w:val="4"/>
    <w:rsid w:val="00C249C7"/>
    <w:pPr>
      <w:numPr>
        <w:ilvl w:val="2"/>
      </w:numPr>
    </w:pPr>
  </w:style>
  <w:style w:type="paragraph" w:customStyle="1" w:styleId="Tablelistnumber3">
    <w:name w:val="Table list number 3"/>
    <w:basedOn w:val="Tablelistnumber2"/>
    <w:uiPriority w:val="3"/>
    <w:rsid w:val="00520ED6"/>
    <w:pPr>
      <w:numPr>
        <w:ilvl w:val="2"/>
      </w:numPr>
    </w:pPr>
    <w:rPr>
      <w:rFonts w:cs="Arial"/>
      <w:szCs w:val="16"/>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41114B"/>
    <w:rPr>
      <w:rFonts w:asciiTheme="minorHAnsi" w:hAnsiTheme="minorHAnsi"/>
      <w:sz w:val="22"/>
      <w:szCs w:val="22"/>
      <w:lang w:eastAsia="en-AU"/>
    </w:rPr>
  </w:style>
  <w:style w:type="numbering" w:styleId="111111">
    <w:name w:val="Outline List 2"/>
    <w:basedOn w:val="NoList"/>
    <w:uiPriority w:val="99"/>
    <w:semiHidden/>
    <w:unhideWhenUsed/>
    <w:rsid w:val="00C249C7"/>
    <w:pPr>
      <w:numPr>
        <w:numId w:val="7"/>
      </w:numPr>
    </w:pPr>
  </w:style>
  <w:style w:type="numbering" w:styleId="1ai">
    <w:name w:val="Outline List 1"/>
    <w:basedOn w:val="NoList"/>
    <w:uiPriority w:val="99"/>
    <w:semiHidden/>
    <w:unhideWhenUsed/>
    <w:rsid w:val="00C249C7"/>
    <w:pPr>
      <w:numPr>
        <w:numId w:val="6"/>
      </w:numPr>
    </w:pPr>
  </w:style>
  <w:style w:type="character" w:styleId="BookTitle">
    <w:name w:val="Book Title"/>
    <w:basedOn w:val="DefaultParagraphFont"/>
    <w:uiPriority w:val="33"/>
    <w:semiHidden/>
    <w:rsid w:val="00C249C7"/>
    <w:rPr>
      <w:b/>
      <w:bCs/>
      <w:smallCaps/>
      <w:spacing w:val="5"/>
    </w:rPr>
  </w:style>
  <w:style w:type="table" w:styleId="ColorfulGrid">
    <w:name w:val="Colorful Grid"/>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next w:val="Normal"/>
    <w:link w:val="DateChar"/>
    <w:rsid w:val="00C249C7"/>
    <w:pPr>
      <w:spacing w:before="0" w:line="240" w:lineRule="auto"/>
    </w:pPr>
    <w:rPr>
      <w:rFonts w:asciiTheme="majorHAnsi" w:hAnsiTheme="majorHAnsi"/>
      <w:caps/>
      <w:sz w:val="20"/>
      <w:lang w:eastAsia="en-US"/>
    </w:rPr>
  </w:style>
  <w:style w:type="character" w:customStyle="1" w:styleId="DateChar">
    <w:name w:val="Date Char"/>
    <w:basedOn w:val="DefaultParagraphFont"/>
    <w:link w:val="Date"/>
    <w:rsid w:val="00C249C7"/>
    <w:rPr>
      <w:rFonts w:asciiTheme="majorHAnsi" w:hAnsiTheme="majorHAnsi"/>
      <w:caps/>
      <w:sz w:val="20"/>
      <w:lang w:eastAsia="en-US"/>
    </w:rPr>
  </w:style>
  <w:style w:type="character" w:styleId="IntenseEmphasis">
    <w:name w:val="Intense Emphasis"/>
    <w:basedOn w:val="DefaultParagraphFont"/>
    <w:uiPriority w:val="99"/>
    <w:semiHidden/>
    <w:rsid w:val="00C249C7"/>
    <w:rPr>
      <w:b/>
      <w:bCs/>
      <w:i/>
      <w:iCs/>
      <w:color w:val="9757A6" w:themeColor="accent1"/>
    </w:rPr>
  </w:style>
  <w:style w:type="paragraph" w:styleId="IntenseQuote">
    <w:name w:val="Intense Quote"/>
    <w:basedOn w:val="Normal"/>
    <w:next w:val="Normal"/>
    <w:link w:val="IntenseQuoteChar"/>
    <w:uiPriority w:val="99"/>
    <w:semiHidden/>
    <w:rsid w:val="00C249C7"/>
    <w:pPr>
      <w:pBdr>
        <w:bottom w:val="single" w:sz="4" w:space="4" w:color="9757A6" w:themeColor="accent1"/>
      </w:pBdr>
      <w:spacing w:before="200" w:after="280"/>
      <w:ind w:left="936" w:right="936"/>
    </w:pPr>
    <w:rPr>
      <w:rFonts w:ascii="Garamond" w:hAnsi="Garamond"/>
      <w:b/>
      <w:bCs/>
      <w:i/>
      <w:iCs/>
      <w:color w:val="9757A6" w:themeColor="accent1"/>
    </w:rPr>
  </w:style>
  <w:style w:type="character" w:customStyle="1" w:styleId="IntenseQuoteChar">
    <w:name w:val="Intense Quote Char"/>
    <w:basedOn w:val="DefaultParagraphFont"/>
    <w:link w:val="IntenseQuote"/>
    <w:uiPriority w:val="99"/>
    <w:semiHidden/>
    <w:rsid w:val="00C249C7"/>
    <w:rPr>
      <w:b/>
      <w:bCs/>
      <w:i/>
      <w:iCs/>
      <w:color w:val="9757A6" w:themeColor="accent1"/>
      <w:lang w:eastAsia="en-US"/>
    </w:rPr>
  </w:style>
  <w:style w:type="character" w:styleId="IntenseReference">
    <w:name w:val="Intense Reference"/>
    <w:basedOn w:val="DefaultParagraphFont"/>
    <w:uiPriority w:val="99"/>
    <w:semiHidden/>
    <w:rsid w:val="00C249C7"/>
    <w:rPr>
      <w:b/>
      <w:bCs/>
      <w:smallCaps/>
      <w:color w:val="FFAE3B" w:themeColor="accent2"/>
      <w:spacing w:val="5"/>
      <w:u w:val="single"/>
    </w:rPr>
  </w:style>
  <w:style w:type="table" w:styleId="LightGrid">
    <w:name w:val="Light Grid"/>
    <w:basedOn w:val="TableNormal"/>
    <w:uiPriority w:val="62"/>
    <w:rsid w:val="00C249C7"/>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249C7"/>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rsid w:val="00C249C7"/>
    <w:pPr>
      <w:spacing w:before="0" w:line="240" w:lineRule="auto"/>
    </w:p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rsid w:val="00C249C7"/>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C249C7"/>
    <w:pPr>
      <w:spacing w:before="0" w:line="240" w:lineRule="auto"/>
    </w:p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rsid w:val="00C249C7"/>
    <w:pPr>
      <w:spacing w:before="0" w:line="240" w:lineRule="auto"/>
    </w:p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rsid w:val="00C249C7"/>
    <w:pPr>
      <w:spacing w:before="0" w:line="240" w:lineRule="auto"/>
    </w:p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rsid w:val="00C249C7"/>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249C7"/>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rsid w:val="00C249C7"/>
    <w:pPr>
      <w:spacing w:before="0" w:line="240" w:lineRule="auto"/>
    </w:p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rsid w:val="00C249C7"/>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C249C7"/>
    <w:pPr>
      <w:spacing w:before="0" w:line="240" w:lineRule="auto"/>
    </w:p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rsid w:val="00C249C7"/>
    <w:pPr>
      <w:spacing w:before="0" w:line="240" w:lineRule="auto"/>
    </w:p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rsid w:val="00C249C7"/>
    <w:pPr>
      <w:spacing w:before="0" w:line="240" w:lineRule="auto"/>
    </w:p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rsid w:val="00C249C7"/>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249C7"/>
    <w:pPr>
      <w:spacing w:before="0" w:line="240" w:lineRule="auto"/>
    </w:pPr>
    <w:rPr>
      <w:color w:val="70417C" w:themeColor="accent1" w:themeShade="BF"/>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rsid w:val="00C249C7"/>
    <w:pPr>
      <w:spacing w:before="0" w:line="240" w:lineRule="auto"/>
    </w:pPr>
    <w:rPr>
      <w:color w:val="EB8900" w:themeColor="accent2" w:themeShade="BF"/>
    </w:rPr>
    <w:tblPr>
      <w:tblStyleRowBandSize w:val="1"/>
      <w:tblStyleColBandSize w:val="1"/>
      <w:tblInd w:w="0" w:type="dxa"/>
      <w:tblBorders>
        <w:top w:val="single" w:sz="8" w:space="0" w:color="FFAE3B" w:themeColor="accent2"/>
        <w:bottom w:val="single" w:sz="8" w:space="0" w:color="FFAE3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rsid w:val="00C249C7"/>
    <w:pPr>
      <w:spacing w:before="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C249C7"/>
    <w:pPr>
      <w:spacing w:before="0" w:line="240" w:lineRule="auto"/>
    </w:pPr>
    <w:rPr>
      <w:color w:val="9255A1" w:themeColor="accent4" w:themeShade="BF"/>
    </w:rPr>
    <w:tblPr>
      <w:tblStyleRowBandSize w:val="1"/>
      <w:tblStyleColBandSize w:val="1"/>
      <w:tblInd w:w="0" w:type="dxa"/>
      <w:tblBorders>
        <w:top w:val="single" w:sz="8" w:space="0" w:color="B689C1" w:themeColor="accent4"/>
        <w:bottom w:val="single" w:sz="8" w:space="0" w:color="B689C1"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rsid w:val="00C249C7"/>
    <w:pPr>
      <w:spacing w:before="0" w:line="240" w:lineRule="auto"/>
    </w:pPr>
    <w:rPr>
      <w:color w:val="AF6700" w:themeColor="accent5" w:themeShade="BF"/>
    </w:rPr>
    <w:tblPr>
      <w:tblStyleRowBandSize w:val="1"/>
      <w:tblStyleColBandSize w:val="1"/>
      <w:tblInd w:w="0" w:type="dxa"/>
      <w:tblBorders>
        <w:top w:val="single" w:sz="8" w:space="0" w:color="EA8B00" w:themeColor="accent5"/>
        <w:bottom w:val="single" w:sz="8" w:space="0" w:color="EA8B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rsid w:val="00C249C7"/>
    <w:pPr>
      <w:spacing w:before="0" w:line="240" w:lineRule="auto"/>
    </w:pPr>
    <w:rPr>
      <w:color w:val="8F8F8F" w:themeColor="accent6" w:themeShade="BF"/>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paragraph" w:styleId="ListParagraph">
    <w:name w:val="List Paragraph"/>
    <w:basedOn w:val="Normal"/>
    <w:uiPriority w:val="34"/>
    <w:semiHidden/>
    <w:rsid w:val="00C249C7"/>
    <w:pPr>
      <w:ind w:left="720"/>
      <w:contextualSpacing/>
    </w:pPr>
  </w:style>
  <w:style w:type="table" w:styleId="MediumGrid1">
    <w:name w:val="Medium Grid 1"/>
    <w:basedOn w:val="TableNormal"/>
    <w:uiPriority w:val="67"/>
    <w:rsid w:val="00C249C7"/>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249C7"/>
    <w:pPr>
      <w:spacing w:before="0" w:line="240" w:lineRule="auto"/>
    </w:pPr>
    <w:tblPr>
      <w:tblStyleRowBandSize w:val="1"/>
      <w:tblStyleColBandSize w:val="1"/>
      <w:tblInd w:w="0" w:type="dxa"/>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CellMar>
        <w:top w:w="0" w:type="dxa"/>
        <w:left w:w="108" w:type="dxa"/>
        <w:bottom w:w="0" w:type="dxa"/>
        <w:right w:w="108" w:type="dxa"/>
      </w:tblCellMar>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rsid w:val="00C249C7"/>
    <w:pPr>
      <w:spacing w:before="0" w:line="240" w:lineRule="auto"/>
    </w:pPr>
    <w:tblPr>
      <w:tblStyleRowBandSize w:val="1"/>
      <w:tblStyleColBandSize w:val="1"/>
      <w:tblInd w:w="0" w:type="dxa"/>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CellMar>
        <w:top w:w="0" w:type="dxa"/>
        <w:left w:w="108" w:type="dxa"/>
        <w:bottom w:w="0" w:type="dxa"/>
        <w:right w:w="108" w:type="dxa"/>
      </w:tblCellMar>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rsid w:val="00C249C7"/>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C249C7"/>
    <w:pPr>
      <w:spacing w:before="0" w:line="240" w:lineRule="auto"/>
    </w:pPr>
    <w:tblPr>
      <w:tblStyleRowBandSize w:val="1"/>
      <w:tblStyleColBandSize w:val="1"/>
      <w:tblInd w:w="0" w:type="dxa"/>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CellMar>
        <w:top w:w="0" w:type="dxa"/>
        <w:left w:w="108" w:type="dxa"/>
        <w:bottom w:w="0" w:type="dxa"/>
        <w:right w:w="108" w:type="dxa"/>
      </w:tblCellMar>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rsid w:val="00C249C7"/>
    <w:pPr>
      <w:spacing w:before="0" w:line="240" w:lineRule="auto"/>
    </w:pPr>
    <w:tblPr>
      <w:tblStyleRowBandSize w:val="1"/>
      <w:tblStyleColBandSize w:val="1"/>
      <w:tblInd w:w="0" w:type="dxa"/>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CellMar>
        <w:top w:w="0" w:type="dxa"/>
        <w:left w:w="108" w:type="dxa"/>
        <w:bottom w:w="0" w:type="dxa"/>
        <w:right w:w="108" w:type="dxa"/>
      </w:tblCellMar>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rsid w:val="00C249C7"/>
    <w:pPr>
      <w:spacing w:before="0" w:line="240" w:lineRule="auto"/>
    </w:pPr>
    <w:tblPr>
      <w:tblStyleRowBandSize w:val="1"/>
      <w:tblStyleColBandSize w:val="1"/>
      <w:tblInd w:w="0" w:type="dxa"/>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CellMar>
        <w:top w:w="0" w:type="dxa"/>
        <w:left w:w="108" w:type="dxa"/>
        <w:bottom w:w="0" w:type="dxa"/>
        <w:right w:w="108" w:type="dxa"/>
      </w:tblCellMar>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CellMar>
        <w:top w:w="0" w:type="dxa"/>
        <w:left w:w="108" w:type="dxa"/>
        <w:bottom w:w="0" w:type="dxa"/>
        <w:right w:w="108" w:type="dxa"/>
      </w:tblCellMar>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CellMar>
        <w:top w:w="0" w:type="dxa"/>
        <w:left w:w="108" w:type="dxa"/>
        <w:bottom w:w="0" w:type="dxa"/>
        <w:right w:w="108" w:type="dxa"/>
      </w:tblCellMar>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CellMar>
        <w:top w:w="0" w:type="dxa"/>
        <w:left w:w="108" w:type="dxa"/>
        <w:bottom w:w="0" w:type="dxa"/>
        <w:right w:w="108" w:type="dxa"/>
      </w:tblCellMar>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CellMar>
        <w:top w:w="0" w:type="dxa"/>
        <w:left w:w="108" w:type="dxa"/>
        <w:bottom w:w="0" w:type="dxa"/>
        <w:right w:w="108" w:type="dxa"/>
      </w:tblCellMar>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CellMar>
        <w:top w:w="0" w:type="dxa"/>
        <w:left w:w="108" w:type="dxa"/>
        <w:bottom w:w="0" w:type="dxa"/>
        <w:right w:w="108" w:type="dxa"/>
      </w:tblCellMar>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FFAE3B" w:themeColor="accent2"/>
        <w:bottom w:val="single" w:sz="8" w:space="0" w:color="FFAE3B"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B689C1" w:themeColor="accent4"/>
        <w:bottom w:val="single" w:sz="8" w:space="0" w:color="B689C1"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EA8B00" w:themeColor="accent5"/>
        <w:bottom w:val="single" w:sz="8" w:space="0" w:color="EA8B00"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249C7"/>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249C7"/>
    <w:pPr>
      <w:spacing w:before="0" w:line="240" w:lineRule="auto"/>
    </w:pPr>
    <w:tblPr>
      <w:tblStyleRowBandSize w:val="1"/>
      <w:tblStyleColBandSize w:val="1"/>
      <w:tblInd w:w="0" w:type="dxa"/>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249C7"/>
    <w:pPr>
      <w:spacing w:before="0" w:line="240" w:lineRule="auto"/>
    </w:pPr>
    <w:tblPr>
      <w:tblStyleRowBandSize w:val="1"/>
      <w:tblStyleColBandSize w:val="1"/>
      <w:tblInd w:w="0" w:type="dxa"/>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249C7"/>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249C7"/>
    <w:pPr>
      <w:spacing w:before="0" w:line="240" w:lineRule="auto"/>
    </w:pPr>
    <w:tblPr>
      <w:tblStyleRowBandSize w:val="1"/>
      <w:tblStyleColBandSize w:val="1"/>
      <w:tblInd w:w="0" w:type="dxa"/>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249C7"/>
    <w:pPr>
      <w:spacing w:before="0" w:line="240" w:lineRule="auto"/>
    </w:pPr>
    <w:tblPr>
      <w:tblStyleRowBandSize w:val="1"/>
      <w:tblStyleColBandSize w:val="1"/>
      <w:tblInd w:w="0" w:type="dxa"/>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249C7"/>
    <w:pPr>
      <w:spacing w:before="0" w:line="240" w:lineRule="auto"/>
    </w:pPr>
    <w:tblPr>
      <w:tblStyleRowBandSize w:val="1"/>
      <w:tblStyleColBandSize w:val="1"/>
      <w:tblInd w:w="0" w:type="dxa"/>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semiHidden/>
    <w:rsid w:val="00C249C7"/>
    <w:pPr>
      <w:spacing w:before="0" w:line="240" w:lineRule="auto"/>
    </w:pPr>
    <w:rPr>
      <w:lang w:eastAsia="en-US"/>
    </w:rPr>
  </w:style>
  <w:style w:type="paragraph" w:styleId="NoteHeading">
    <w:name w:val="Note Heading"/>
    <w:basedOn w:val="Normal"/>
    <w:next w:val="Normal"/>
    <w:link w:val="NoteHeadingChar"/>
    <w:uiPriority w:val="99"/>
    <w:semiHidden/>
    <w:unhideWhenUsed/>
    <w:rsid w:val="00C249C7"/>
    <w:pPr>
      <w:spacing w:before="0" w:line="240" w:lineRule="auto"/>
    </w:pPr>
    <w:rPr>
      <w:rFonts w:ascii="Garamond" w:hAnsi="Garamond"/>
    </w:rPr>
  </w:style>
  <w:style w:type="character" w:customStyle="1" w:styleId="NoteHeadingChar">
    <w:name w:val="Note Heading Char"/>
    <w:basedOn w:val="DefaultParagraphFont"/>
    <w:link w:val="NoteHeading"/>
    <w:uiPriority w:val="99"/>
    <w:semiHidden/>
    <w:rsid w:val="00C249C7"/>
    <w:rPr>
      <w:lang w:eastAsia="en-US"/>
    </w:rPr>
  </w:style>
  <w:style w:type="paragraph" w:styleId="Subtitle0">
    <w:name w:val="Subtitle"/>
    <w:basedOn w:val="Normal"/>
    <w:next w:val="Normal"/>
    <w:link w:val="SubtitleChar"/>
    <w:rsid w:val="00180AC7"/>
    <w:pPr>
      <w:numPr>
        <w:ilvl w:val="1"/>
      </w:numPr>
      <w:spacing w:before="0" w:after="0" w:line="220" w:lineRule="exact"/>
    </w:pPr>
    <w:rPr>
      <w:rFonts w:asciiTheme="majorHAnsi" w:eastAsiaTheme="majorEastAsia" w:hAnsiTheme="majorHAnsi" w:cstheme="majorBidi"/>
      <w:b/>
      <w:iCs/>
      <w:caps/>
      <w:spacing w:val="15"/>
      <w:sz w:val="22"/>
    </w:rPr>
  </w:style>
  <w:style w:type="character" w:customStyle="1" w:styleId="SubtitleChar">
    <w:name w:val="Subtitle Char"/>
    <w:basedOn w:val="DefaultParagraphFont"/>
    <w:link w:val="Subtitle0"/>
    <w:rsid w:val="00180AC7"/>
    <w:rPr>
      <w:rFonts w:asciiTheme="majorHAnsi" w:eastAsiaTheme="majorEastAsia" w:hAnsiTheme="majorHAnsi" w:cstheme="majorBidi"/>
      <w:b/>
      <w:iCs/>
      <w:caps/>
      <w:spacing w:val="15"/>
      <w:sz w:val="22"/>
      <w:lang w:eastAsia="en-US"/>
    </w:rPr>
  </w:style>
  <w:style w:type="character" w:styleId="SubtleEmphasis">
    <w:name w:val="Subtle Emphasis"/>
    <w:basedOn w:val="DefaultParagraphFont"/>
    <w:uiPriority w:val="19"/>
    <w:semiHidden/>
    <w:rsid w:val="00C249C7"/>
    <w:rPr>
      <w:i/>
      <w:iCs/>
      <w:color w:val="808080" w:themeColor="text1" w:themeTint="7F"/>
    </w:rPr>
  </w:style>
  <w:style w:type="character" w:styleId="SubtleReference">
    <w:name w:val="Subtle Reference"/>
    <w:basedOn w:val="DefaultParagraphFont"/>
    <w:uiPriority w:val="31"/>
    <w:semiHidden/>
    <w:rsid w:val="00C249C7"/>
    <w:rPr>
      <w:smallCaps/>
      <w:color w:val="FFAE3B" w:themeColor="accent2"/>
      <w:u w:val="single"/>
    </w:rPr>
  </w:style>
  <w:style w:type="table" w:styleId="Table3Deffects3">
    <w:name w:val="Table 3D effects 3"/>
    <w:basedOn w:val="TableNormal"/>
    <w:uiPriority w:val="99"/>
    <w:semiHidden/>
    <w:unhideWhenUsed/>
    <w:rsid w:val="00C249C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249C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249C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249C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C249C7"/>
    <w:pPr>
      <w:keepLines/>
      <w:pageBreakBefore w:val="0"/>
      <w:numPr>
        <w:numId w:val="0"/>
      </w:numPr>
      <w:spacing w:before="480" w:after="0" w:line="300" w:lineRule="exact"/>
      <w:outlineLvl w:val="9"/>
    </w:pPr>
    <w:rPr>
      <w:rFonts w:eastAsiaTheme="majorEastAsia" w:cstheme="majorBidi"/>
      <w:bCs/>
      <w:color w:val="70417C" w:themeColor="accent1" w:themeShade="BF"/>
      <w:kern w:val="0"/>
      <w:sz w:val="28"/>
      <w:szCs w:val="28"/>
      <w:lang w:eastAsia="en-US"/>
    </w:rPr>
  </w:style>
  <w:style w:type="paragraph" w:customStyle="1" w:styleId="BoxListBullet3">
    <w:name w:val="Box List Bullet 3"/>
    <w:basedOn w:val="BoxListBullet2"/>
    <w:uiPriority w:val="4"/>
    <w:rsid w:val="00C249C7"/>
    <w:pPr>
      <w:numPr>
        <w:ilvl w:val="2"/>
      </w:numPr>
    </w:pPr>
  </w:style>
  <w:style w:type="paragraph" w:customStyle="1" w:styleId="Tablelistbullet3">
    <w:name w:val="Table list bullet 3"/>
    <w:basedOn w:val="Tablebody"/>
    <w:uiPriority w:val="3"/>
    <w:rsid w:val="00F35F6B"/>
    <w:pPr>
      <w:numPr>
        <w:ilvl w:val="2"/>
        <w:numId w:val="38"/>
      </w:numPr>
    </w:pPr>
    <w:rPr>
      <w:rFonts w:ascii="Arial" w:hAnsi="Arial"/>
      <w:sz w:val="16"/>
    </w:rPr>
  </w:style>
  <w:style w:type="paragraph" w:customStyle="1" w:styleId="SmallDeltasRightAligned">
    <w:name w:val="SmallDeltasRightAligned"/>
    <w:basedOn w:val="Normal"/>
    <w:rsid w:val="00C249C7"/>
    <w:pPr>
      <w:spacing w:before="0" w:after="0" w:line="240" w:lineRule="auto"/>
      <w:jc w:val="right"/>
    </w:pPr>
  </w:style>
  <w:style w:type="paragraph" w:customStyle="1" w:styleId="SmallDeltasLeftAligned">
    <w:name w:val="SmallDeltasLeftAligned"/>
    <w:basedOn w:val="BodyText"/>
    <w:semiHidden/>
    <w:rsid w:val="00C249C7"/>
  </w:style>
  <w:style w:type="paragraph" w:customStyle="1" w:styleId="LandscapeHeader">
    <w:name w:val="LandscapeHeader"/>
    <w:basedOn w:val="Header"/>
    <w:rsid w:val="00C249C7"/>
    <w:pPr>
      <w:pBdr>
        <w:top w:val="single" w:sz="6" w:space="2" w:color="A6A6A6" w:themeColor="background1" w:themeShade="A6"/>
      </w:pBdr>
      <w:tabs>
        <w:tab w:val="left" w:pos="567"/>
      </w:tabs>
      <w:jc w:val="right"/>
    </w:pPr>
    <w:rPr>
      <w:rFonts w:ascii="Novecento Book" w:hAnsi="Novecento Book"/>
      <w:b/>
      <w:spacing w:val="22"/>
      <w:sz w:val="14"/>
      <w:szCs w:val="14"/>
    </w:rPr>
  </w:style>
  <w:style w:type="paragraph" w:customStyle="1" w:styleId="PortraitHeader">
    <w:name w:val="PortraitHeader"/>
    <w:basedOn w:val="Normal"/>
    <w:semiHidden/>
    <w:rsid w:val="00C249C7"/>
    <w:pPr>
      <w:pBdr>
        <w:top w:val="single" w:sz="6" w:space="2" w:color="A6A6A6" w:themeColor="background1" w:themeShade="A6"/>
      </w:pBdr>
      <w:tabs>
        <w:tab w:val="left" w:pos="567"/>
      </w:tabs>
      <w:spacing w:before="0" w:after="0" w:line="240" w:lineRule="auto"/>
      <w:ind w:left="-2268"/>
      <w:jc w:val="right"/>
    </w:pPr>
    <w:rPr>
      <w:rFonts w:ascii="Novecento Book" w:hAnsi="Novecento Book"/>
      <w:b/>
      <w:spacing w:val="22"/>
      <w:sz w:val="14"/>
      <w:szCs w:val="14"/>
    </w:rPr>
  </w:style>
  <w:style w:type="paragraph" w:customStyle="1" w:styleId="PortraitFooter">
    <w:name w:val="PortraitFooter"/>
    <w:basedOn w:val="Normal"/>
    <w:rsid w:val="00C249C7"/>
    <w:pPr>
      <w:spacing w:before="0" w:after="0" w:line="240" w:lineRule="auto"/>
      <w:jc w:val="right"/>
    </w:pPr>
    <w:rPr>
      <w:rFonts w:asciiTheme="majorHAnsi" w:eastAsia="Calibri" w:hAnsiTheme="majorHAnsi"/>
      <w:caps/>
      <w:sz w:val="14"/>
      <w:szCs w:val="14"/>
    </w:rPr>
  </w:style>
  <w:style w:type="paragraph" w:customStyle="1" w:styleId="LandscapeFooter">
    <w:name w:val="LandscapeFooter"/>
    <w:basedOn w:val="PortraitFooter"/>
    <w:rsid w:val="00C249C7"/>
    <w:rPr>
      <w:b/>
    </w:rPr>
  </w:style>
  <w:style w:type="paragraph" w:customStyle="1" w:styleId="AACHeader">
    <w:name w:val="AACHeader"/>
    <w:basedOn w:val="Header"/>
    <w:rsid w:val="00EA4292"/>
    <w:pPr>
      <w:pBdr>
        <w:top w:val="single" w:sz="6" w:space="2" w:color="A6A6A6" w:themeColor="background1" w:themeShade="A6"/>
      </w:pBdr>
      <w:ind w:left="-2552"/>
      <w:jc w:val="right"/>
    </w:pPr>
    <w:rPr>
      <w:rFonts w:asciiTheme="majorHAnsi" w:hAnsiTheme="majorHAnsi" w:cstheme="majorHAnsi"/>
      <w:b/>
      <w:caps/>
      <w:spacing w:val="22"/>
      <w:sz w:val="14"/>
      <w:szCs w:val="14"/>
    </w:rPr>
  </w:style>
  <w:style w:type="paragraph" w:customStyle="1" w:styleId="AACFooter">
    <w:name w:val="AACFooter"/>
    <w:basedOn w:val="Footer"/>
    <w:semiHidden/>
    <w:rsid w:val="00C249C7"/>
    <w:pPr>
      <w:jc w:val="right"/>
    </w:pPr>
    <w:rPr>
      <w:rFonts w:ascii="Novecento Book" w:eastAsia="Calibri" w:hAnsi="Novecento Book"/>
      <w:szCs w:val="14"/>
    </w:rPr>
  </w:style>
  <w:style w:type="paragraph" w:customStyle="1" w:styleId="Tabletext">
    <w:name w:val="Table text"/>
    <w:uiPriority w:val="3"/>
    <w:rsid w:val="009949E9"/>
    <w:pPr>
      <w:keepNext/>
      <w:keepLines/>
      <w:spacing w:before="40" w:after="40" w:line="240" w:lineRule="auto"/>
    </w:pPr>
    <w:rPr>
      <w:rFonts w:ascii="Arial" w:hAnsi="Arial"/>
      <w:color w:val="000000"/>
      <w:sz w:val="16"/>
      <w:lang w:eastAsia="en-US"/>
    </w:rPr>
  </w:style>
  <w:style w:type="paragraph" w:customStyle="1" w:styleId="SpaceAboveAppendixTOC">
    <w:name w:val="SpaceAboveAppendixTOC"/>
    <w:basedOn w:val="BodyText"/>
    <w:uiPriority w:val="8"/>
    <w:semiHidden/>
    <w:rsid w:val="00C249C7"/>
    <w:pPr>
      <w:pBdr>
        <w:top w:val="single" w:sz="4" w:space="1" w:color="A6A6A6" w:themeColor="background1" w:themeShade="A6"/>
      </w:pBdr>
    </w:pPr>
  </w:style>
  <w:style w:type="paragraph" w:customStyle="1" w:styleId="SpaceAboveInTOC">
    <w:name w:val="SpaceAboveInTOC"/>
    <w:basedOn w:val="BodyText"/>
    <w:rsid w:val="00C249C7"/>
    <w:pPr>
      <w:pBdr>
        <w:top w:val="single" w:sz="4" w:space="1" w:color="A6A6A6" w:themeColor="background1" w:themeShade="A6"/>
      </w:pBdr>
      <w:spacing w:before="0" w:after="0" w:line="240" w:lineRule="auto"/>
    </w:pPr>
  </w:style>
  <w:style w:type="paragraph" w:customStyle="1" w:styleId="ContactPageDeltas">
    <w:name w:val="ContactPageDeltas"/>
    <w:basedOn w:val="Normal"/>
    <w:rsid w:val="00C249C7"/>
    <w:pPr>
      <w:spacing w:before="0" w:after="0" w:line="240" w:lineRule="auto"/>
    </w:pPr>
  </w:style>
  <w:style w:type="paragraph" w:customStyle="1" w:styleId="ReportTo">
    <w:name w:val="ReportTo"/>
    <w:basedOn w:val="Normal"/>
    <w:rsid w:val="00C249C7"/>
    <w:pPr>
      <w:spacing w:before="0" w:after="0" w:line="240" w:lineRule="auto"/>
    </w:pPr>
    <w:rPr>
      <w:rFonts w:asciiTheme="majorHAnsi" w:hAnsiTheme="majorHAnsi"/>
      <w:caps/>
      <w:sz w:val="22"/>
    </w:rPr>
  </w:style>
  <w:style w:type="paragraph" w:customStyle="1" w:styleId="CoverPageDeltas">
    <w:name w:val="CoverPageDeltas"/>
    <w:basedOn w:val="Normal"/>
    <w:rsid w:val="00C249C7"/>
    <w:pPr>
      <w:spacing w:before="0" w:after="0" w:line="240" w:lineRule="auto"/>
      <w:jc w:val="right"/>
    </w:pPr>
  </w:style>
  <w:style w:type="paragraph" w:customStyle="1" w:styleId="PreparedFor0">
    <w:name w:val="Prepared For"/>
    <w:basedOn w:val="Normal"/>
    <w:rsid w:val="00C249C7"/>
    <w:pPr>
      <w:spacing w:before="0" w:after="0" w:line="240" w:lineRule="auto"/>
    </w:pPr>
    <w:rPr>
      <w:rFonts w:asciiTheme="majorHAnsi" w:eastAsiaTheme="minorHAnsi" w:hAnsiTheme="majorHAnsi"/>
      <w:b/>
      <w:caps/>
      <w:sz w:val="22"/>
      <w:szCs w:val="20"/>
    </w:rPr>
  </w:style>
  <w:style w:type="character" w:customStyle="1" w:styleId="StyleTextBrandingNotBoldCustomColorRGB25517459Expan">
    <w:name w:val="Style TextBranding + Not Bold Custom Color(RGB(25517459)) Expan..."/>
    <w:basedOn w:val="DefaultParagraphFont"/>
    <w:uiPriority w:val="7"/>
    <w:rsid w:val="00C249C7"/>
    <w:rPr>
      <w:color w:val="FFAE3B"/>
      <w:spacing w:val="120"/>
    </w:rPr>
  </w:style>
  <w:style w:type="paragraph" w:customStyle="1" w:styleId="TextBranding">
    <w:name w:val="TextBranding"/>
    <w:basedOn w:val="Normal"/>
    <w:rsid w:val="00C249C7"/>
    <w:pPr>
      <w:spacing w:before="0" w:after="0" w:line="240" w:lineRule="auto"/>
    </w:pPr>
    <w:rPr>
      <w:rFonts w:ascii="Novecento Book" w:eastAsiaTheme="minorHAnsi" w:hAnsi="Novecento Book"/>
      <w:b/>
      <w:caps/>
      <w:color w:val="9757A6"/>
      <w:spacing w:val="60"/>
      <w:sz w:val="27"/>
    </w:rPr>
  </w:style>
  <w:style w:type="paragraph" w:customStyle="1" w:styleId="TextBrandingPurple">
    <w:name w:val="TextBrandingPurple"/>
    <w:basedOn w:val="Normal"/>
    <w:rsid w:val="00C249C7"/>
    <w:pPr>
      <w:spacing w:before="0" w:after="0" w:line="240" w:lineRule="auto"/>
    </w:pPr>
    <w:rPr>
      <w:rFonts w:asciiTheme="majorHAnsi" w:eastAsiaTheme="minorHAnsi" w:hAnsiTheme="majorHAnsi"/>
      <w:b/>
      <w:caps/>
      <w:color w:val="9757A6"/>
      <w:spacing w:val="120"/>
      <w:sz w:val="25"/>
    </w:rPr>
  </w:style>
  <w:style w:type="paragraph" w:customStyle="1" w:styleId="TextBrandingYellow">
    <w:name w:val="TextBrandingYellow"/>
    <w:basedOn w:val="TextBrandingPurple"/>
    <w:uiPriority w:val="7"/>
    <w:rsid w:val="00C249C7"/>
    <w:rPr>
      <w:b w:val="0"/>
      <w:caps w:val="0"/>
      <w:color w:val="FFAE3B"/>
    </w:rPr>
  </w:style>
  <w:style w:type="paragraph" w:customStyle="1" w:styleId="TitleShort">
    <w:name w:val="Title Short"/>
    <w:basedOn w:val="Normal"/>
    <w:qFormat/>
    <w:rsid w:val="00C249C7"/>
    <w:pPr>
      <w:spacing w:after="0" w:line="780" w:lineRule="exact"/>
    </w:pPr>
    <w:rPr>
      <w:rFonts w:ascii="Georgia" w:eastAsiaTheme="minorHAnsi" w:hAnsi="Georgia"/>
      <w:b/>
      <w:caps/>
      <w:color w:val="9D57A6"/>
      <w:sz w:val="72"/>
      <w:szCs w:val="20"/>
    </w:rPr>
  </w:style>
  <w:style w:type="paragraph" w:customStyle="1" w:styleId="Image">
    <w:name w:val="Image"/>
    <w:basedOn w:val="Normal"/>
    <w:rsid w:val="00C249C7"/>
    <w:pPr>
      <w:spacing w:before="0" w:after="0" w:line="240" w:lineRule="auto"/>
      <w:jc w:val="right"/>
    </w:pPr>
    <w:rPr>
      <w:rFonts w:eastAsiaTheme="minorHAnsi"/>
      <w:noProof/>
      <w:szCs w:val="20"/>
      <w:lang w:eastAsia="en-AU"/>
    </w:rPr>
  </w:style>
  <w:style w:type="paragraph" w:customStyle="1" w:styleId="SpaceAbove">
    <w:name w:val="SpaceAbove"/>
    <w:basedOn w:val="Normal"/>
    <w:rsid w:val="009949E9"/>
    <w:pPr>
      <w:spacing w:before="0" w:after="0" w:line="240" w:lineRule="auto"/>
    </w:pPr>
    <w:rPr>
      <w:rFonts w:asciiTheme="majorHAnsi" w:eastAsiaTheme="minorHAnsi" w:hAnsiTheme="majorHAnsi"/>
      <w:sz w:val="12"/>
      <w:szCs w:val="20"/>
    </w:rPr>
  </w:style>
  <w:style w:type="paragraph" w:customStyle="1" w:styleId="Disclaimer">
    <w:name w:val="Disclaimer"/>
    <w:basedOn w:val="Normal"/>
    <w:rsid w:val="00FD14ED"/>
    <w:pPr>
      <w:spacing w:before="0" w:after="40" w:line="240" w:lineRule="auto"/>
    </w:pPr>
    <w:rPr>
      <w:rFonts w:asciiTheme="majorHAnsi" w:eastAsiaTheme="minorHAnsi" w:hAnsiTheme="majorHAnsi"/>
      <w:caps/>
      <w:sz w:val="14"/>
      <w:szCs w:val="16"/>
    </w:rPr>
  </w:style>
  <w:style w:type="table" w:customStyle="1" w:styleId="TableGrid10">
    <w:name w:val="Table Grid1"/>
    <w:basedOn w:val="TableNormal"/>
    <w:next w:val="TableGrid"/>
    <w:uiPriority w:val="59"/>
    <w:rsid w:val="00C249C7"/>
    <w:pPr>
      <w:spacing w:before="0" w:line="240" w:lineRule="auto"/>
    </w:pPr>
    <w:rPr>
      <w:rFonts w:ascii="HelveticaNeueLT Std Lt Cn" w:eastAsiaTheme="minorHAnsi" w:hAnsi="HelveticaNeueLT Std Lt C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CILAllenTable">
    <w:name w:val="ACIL Allen Table"/>
    <w:basedOn w:val="TableNormal"/>
    <w:uiPriority w:val="99"/>
    <w:rsid w:val="00C249C7"/>
    <w:pPr>
      <w:spacing w:before="40" w:after="40" w:line="240" w:lineRule="auto"/>
    </w:pPr>
    <w:rPr>
      <w:rFonts w:asciiTheme="minorHAnsi" w:hAnsiTheme="minorHAnsi"/>
      <w:sz w:val="16"/>
    </w:rPr>
    <w:tblPr>
      <w:tblInd w:w="0" w:type="dxa"/>
      <w:tblBorders>
        <w:bottom w:val="single" w:sz="6" w:space="0" w:color="BFBFBF" w:themeColor="background1" w:themeShade="BF"/>
        <w:insideH w:val="single" w:sz="6" w:space="0" w:color="BFBFBF" w:themeColor="background1" w:themeShade="BF"/>
      </w:tblBorders>
      <w:tblCellMar>
        <w:top w:w="0" w:type="dxa"/>
        <w:left w:w="108" w:type="dxa"/>
        <w:bottom w:w="0" w:type="dxa"/>
        <w:right w:w="108" w:type="dxa"/>
      </w:tblCellMar>
    </w:tblPr>
    <w:tblStylePr w:type="firstRow">
      <w:rPr>
        <w:rFonts w:asciiTheme="minorHAnsi" w:hAnsiTheme="minorHAnsi"/>
        <w:color w:val="FFFFFF" w:themeColor="background1"/>
        <w:sz w:val="16"/>
      </w:rPr>
      <w:tblPr/>
      <w:tcPr>
        <w:shd w:val="clear" w:color="auto" w:fill="9757A6"/>
      </w:tcPr>
    </w:tblStylePr>
    <w:tblStylePr w:type="lastRow">
      <w:tblPr/>
      <w:tcPr>
        <w:tcBorders>
          <w:bottom w:val="single" w:sz="6" w:space="0" w:color="C0C0C0"/>
        </w:tcBorders>
      </w:tcPr>
    </w:tblStylePr>
  </w:style>
  <w:style w:type="numbering" w:customStyle="1" w:styleId="ACILAllenBoxBulletedList">
    <w:name w:val="ACIL Allen Box Bulleted List"/>
    <w:uiPriority w:val="99"/>
    <w:rsid w:val="007F1F56"/>
    <w:pPr>
      <w:numPr>
        <w:numId w:val="12"/>
      </w:numPr>
    </w:pPr>
  </w:style>
  <w:style w:type="numbering" w:customStyle="1" w:styleId="ACILAllenBoxListNumbering">
    <w:name w:val="ACIL Allen Box List Numbering"/>
    <w:uiPriority w:val="99"/>
    <w:rsid w:val="007F1F56"/>
    <w:pPr>
      <w:numPr>
        <w:numId w:val="13"/>
      </w:numPr>
    </w:pPr>
  </w:style>
  <w:style w:type="numbering" w:customStyle="1" w:styleId="ACILAllenNumberedList">
    <w:name w:val="ACIL Allen Numbered List"/>
    <w:uiPriority w:val="99"/>
    <w:rsid w:val="00C249C7"/>
    <w:pPr>
      <w:numPr>
        <w:numId w:val="14"/>
      </w:numPr>
    </w:pPr>
  </w:style>
  <w:style w:type="numbering" w:customStyle="1" w:styleId="ACILAllenTableBulletedList">
    <w:name w:val="ACIL Allen Table Bulleted List"/>
    <w:uiPriority w:val="99"/>
    <w:rsid w:val="00F35F6B"/>
    <w:pPr>
      <w:numPr>
        <w:numId w:val="15"/>
      </w:numPr>
    </w:pPr>
  </w:style>
  <w:style w:type="numbering" w:customStyle="1" w:styleId="ACILAllenTableListNumbering">
    <w:name w:val="ACIL Allen Table List Numbering"/>
    <w:uiPriority w:val="99"/>
    <w:rsid w:val="00520ED6"/>
    <w:pPr>
      <w:numPr>
        <w:numId w:val="25"/>
      </w:numPr>
    </w:pPr>
  </w:style>
  <w:style w:type="paragraph" w:customStyle="1" w:styleId="TableQuote">
    <w:name w:val="Table Quote"/>
    <w:basedOn w:val="Tabletext"/>
    <w:uiPriority w:val="3"/>
    <w:rsid w:val="009949E9"/>
    <w:pPr>
      <w:ind w:left="113" w:right="113"/>
    </w:pPr>
  </w:style>
  <w:style w:type="paragraph" w:customStyle="1" w:styleId="TableQuoteBullet">
    <w:name w:val="Table Quote Bullet"/>
    <w:basedOn w:val="TableQuote"/>
    <w:uiPriority w:val="3"/>
    <w:rsid w:val="00E57AAC"/>
    <w:pPr>
      <w:numPr>
        <w:numId w:val="29"/>
      </w:numPr>
    </w:pPr>
  </w:style>
  <w:style w:type="paragraph" w:customStyle="1" w:styleId="LetterHeading1">
    <w:name w:val="Letter Heading 1"/>
    <w:next w:val="BodyText"/>
    <w:uiPriority w:val="7"/>
    <w:qFormat/>
    <w:rsid w:val="00C249C7"/>
    <w:pPr>
      <w:spacing w:before="200" w:line="240" w:lineRule="auto"/>
    </w:pPr>
    <w:rPr>
      <w:rFonts w:asciiTheme="majorHAnsi" w:hAnsiTheme="majorHAnsi"/>
      <w:b/>
      <w:sz w:val="20"/>
      <w:szCs w:val="36"/>
      <w:lang w:eastAsia="en-AU"/>
    </w:rPr>
  </w:style>
  <w:style w:type="paragraph" w:customStyle="1" w:styleId="LetterHeading2">
    <w:name w:val="Letter Heading 2"/>
    <w:basedOn w:val="LetterHeading1"/>
    <w:next w:val="BodyText"/>
    <w:uiPriority w:val="7"/>
    <w:qFormat/>
    <w:rsid w:val="00C249C7"/>
    <w:rPr>
      <w:i/>
      <w:sz w:val="18"/>
      <w:szCs w:val="28"/>
    </w:rPr>
  </w:style>
  <w:style w:type="paragraph" w:customStyle="1" w:styleId="LetterHeading3">
    <w:name w:val="Letter Heading 3"/>
    <w:basedOn w:val="LetterHeading2"/>
    <w:next w:val="BodyText"/>
    <w:uiPriority w:val="7"/>
    <w:qFormat/>
    <w:rsid w:val="00C249C7"/>
    <w:rPr>
      <w:b w:val="0"/>
      <w:szCs w:val="27"/>
    </w:rPr>
  </w:style>
  <w:style w:type="paragraph" w:customStyle="1" w:styleId="LetterAddress">
    <w:name w:val="LetterAddress"/>
    <w:basedOn w:val="LetterName"/>
    <w:uiPriority w:val="99"/>
    <w:rsid w:val="00610859"/>
    <w:pPr>
      <w:jc w:val="both"/>
    </w:pPr>
  </w:style>
  <w:style w:type="paragraph" w:customStyle="1" w:styleId="LetterCityStatePostcode">
    <w:name w:val="LetterCityStatePostcode"/>
    <w:basedOn w:val="LetterName"/>
    <w:uiPriority w:val="99"/>
    <w:rsid w:val="00610859"/>
    <w:pPr>
      <w:spacing w:line="260" w:lineRule="exact"/>
    </w:pPr>
  </w:style>
  <w:style w:type="paragraph" w:customStyle="1" w:styleId="LetterCompany">
    <w:name w:val="LetterCompany"/>
    <w:basedOn w:val="LetterName"/>
    <w:uiPriority w:val="99"/>
    <w:rsid w:val="00610859"/>
  </w:style>
  <w:style w:type="paragraph" w:customStyle="1" w:styleId="LetterDate">
    <w:name w:val="LetterDate"/>
    <w:basedOn w:val="LetterName"/>
    <w:uiPriority w:val="99"/>
    <w:rsid w:val="00EF6248"/>
    <w:pPr>
      <w:spacing w:before="600"/>
    </w:pPr>
  </w:style>
  <w:style w:type="paragraph" w:customStyle="1" w:styleId="LetterName">
    <w:name w:val="LetterName"/>
    <w:basedOn w:val="Normal"/>
    <w:uiPriority w:val="99"/>
    <w:rsid w:val="00610859"/>
    <w:pPr>
      <w:spacing w:before="0" w:after="0" w:line="280" w:lineRule="exact"/>
    </w:pPr>
    <w:rPr>
      <w:sz w:val="22"/>
      <w:szCs w:val="20"/>
    </w:rPr>
  </w:style>
  <w:style w:type="paragraph" w:customStyle="1" w:styleId="LetterSubject">
    <w:name w:val="LetterSubject"/>
    <w:basedOn w:val="Normal"/>
    <w:next w:val="Normal"/>
    <w:uiPriority w:val="99"/>
    <w:semiHidden/>
    <w:rsid w:val="00C249C7"/>
    <w:pPr>
      <w:tabs>
        <w:tab w:val="left" w:pos="4395"/>
        <w:tab w:val="left" w:pos="6946"/>
      </w:tabs>
      <w:spacing w:before="400" w:after="200" w:line="260" w:lineRule="exact"/>
    </w:pPr>
    <w:rPr>
      <w:b/>
      <w:caps/>
      <w:szCs w:val="20"/>
    </w:rPr>
  </w:style>
  <w:style w:type="paragraph" w:customStyle="1" w:styleId="LetterTitle">
    <w:name w:val="LetterTitle"/>
    <w:basedOn w:val="LetterName"/>
    <w:uiPriority w:val="99"/>
    <w:rsid w:val="00610859"/>
  </w:style>
  <w:style w:type="character" w:customStyle="1" w:styleId="ACILAllenYellow">
    <w:name w:val="ACIL Allen Yellow"/>
    <w:basedOn w:val="DefaultParagraphFont"/>
    <w:uiPriority w:val="1"/>
    <w:rsid w:val="00C249C7"/>
    <w:rPr>
      <w:color w:val="FFAE3B"/>
    </w:rPr>
  </w:style>
  <w:style w:type="character" w:customStyle="1" w:styleId="PageNumberLandscapeChar">
    <w:name w:val="Page Number Landscape Char"/>
    <w:basedOn w:val="DefaultParagraphFont"/>
    <w:link w:val="PageNumberLandscape"/>
    <w:semiHidden/>
    <w:rsid w:val="00C249C7"/>
    <w:rPr>
      <w:rFonts w:asciiTheme="minorHAnsi" w:hAnsiTheme="minorHAnsi"/>
      <w:lang w:eastAsia="en-US"/>
    </w:rPr>
  </w:style>
  <w:style w:type="character" w:customStyle="1" w:styleId="CaptionLabel">
    <w:name w:val="Caption Label"/>
    <w:qFormat/>
    <w:rsid w:val="00C249C7"/>
    <w:rPr>
      <w:b/>
    </w:rPr>
  </w:style>
  <w:style w:type="paragraph" w:customStyle="1" w:styleId="SideQuote">
    <w:name w:val="Side Quote"/>
    <w:basedOn w:val="SideNote"/>
    <w:link w:val="SideQuoteChar"/>
    <w:rsid w:val="00C249C7"/>
    <w:pPr>
      <w:framePr w:wrap="around"/>
      <w:pBdr>
        <w:top w:val="single" w:sz="12" w:space="3" w:color="9757A6" w:themeColor="accent1"/>
        <w:bottom w:val="single" w:sz="12" w:space="3" w:color="9757A6" w:themeColor="accent1"/>
      </w:pBdr>
    </w:pPr>
    <w:rPr>
      <w:color w:val="808080" w:themeColor="background1" w:themeShade="80"/>
    </w:rPr>
  </w:style>
  <w:style w:type="paragraph" w:customStyle="1" w:styleId="SideQuoteSource">
    <w:name w:val="Side Quote Source"/>
    <w:basedOn w:val="SideQuote"/>
    <w:next w:val="BodyText"/>
    <w:rsid w:val="00C249C7"/>
    <w:pPr>
      <w:framePr w:wrap="around"/>
      <w:jc w:val="right"/>
    </w:pPr>
    <w:rPr>
      <w:i/>
    </w:rPr>
  </w:style>
  <w:style w:type="paragraph" w:customStyle="1" w:styleId="Style1">
    <w:name w:val="Style1"/>
    <w:basedOn w:val="SideQuote"/>
    <w:next w:val="BodyText"/>
    <w:link w:val="Style1Char"/>
    <w:rsid w:val="00C249C7"/>
    <w:pPr>
      <w:keepNext w:val="0"/>
      <w:framePr w:w="0" w:hSpace="0" w:vSpace="0" w:wrap="auto" w:vAnchor="margin" w:hAnchor="text" w:xAlign="left" w:yAlign="inline"/>
      <w:spacing w:before="120" w:after="120" w:line="240" w:lineRule="exact"/>
    </w:pPr>
    <w:rPr>
      <w:b w:val="0"/>
      <w:color w:val="9757A6" w:themeColor="accent1"/>
      <w:sz w:val="18"/>
      <w:lang w:eastAsia="en-US"/>
    </w:rPr>
  </w:style>
  <w:style w:type="character" w:customStyle="1" w:styleId="Style1Char">
    <w:name w:val="Style1 Char"/>
    <w:basedOn w:val="DefaultParagraphFont"/>
    <w:link w:val="Style1"/>
    <w:rsid w:val="00C249C7"/>
    <w:rPr>
      <w:rFonts w:asciiTheme="minorHAnsi" w:hAnsiTheme="minorHAnsi"/>
      <w:color w:val="9757A6" w:themeColor="accent1"/>
      <w:sz w:val="18"/>
      <w:lang w:eastAsia="en-US"/>
    </w:rPr>
  </w:style>
  <w:style w:type="character" w:customStyle="1" w:styleId="SideQuoteChar">
    <w:name w:val="Side Quote Char"/>
    <w:basedOn w:val="DefaultParagraphFont"/>
    <w:link w:val="SideQuote"/>
    <w:rsid w:val="00C249C7"/>
    <w:rPr>
      <w:rFonts w:asciiTheme="minorHAnsi" w:hAnsiTheme="minorHAnsi"/>
      <w:b/>
      <w:color w:val="808080" w:themeColor="background1" w:themeShade="80"/>
      <w:sz w:val="16"/>
      <w:lang w:eastAsia="en-AU"/>
    </w:rPr>
  </w:style>
  <w:style w:type="paragraph" w:customStyle="1" w:styleId="ExecSummaryHeading">
    <w:name w:val="Exec Summary Heading"/>
    <w:basedOn w:val="Heading1nonumber"/>
    <w:next w:val="BodyText"/>
    <w:rsid w:val="00B61DF9"/>
    <w:pPr>
      <w:pBdr>
        <w:top w:val="single" w:sz="48" w:space="30" w:color="9757A6"/>
        <w:left w:val="single" w:sz="48" w:space="4" w:color="9757A6"/>
        <w:bottom w:val="single" w:sz="48" w:space="5" w:color="9757A6"/>
      </w:pBdr>
      <w:shd w:val="clear" w:color="auto" w:fill="9757A6"/>
      <w:spacing w:before="0"/>
    </w:pPr>
    <w:rPr>
      <w:color w:val="FFFFFF" w:themeColor="background1"/>
    </w:rPr>
  </w:style>
  <w:style w:type="paragraph" w:customStyle="1" w:styleId="QuoteSource">
    <w:name w:val="Quote Source"/>
    <w:basedOn w:val="Quote"/>
    <w:next w:val="BodyText"/>
    <w:rsid w:val="00C249C7"/>
    <w:pPr>
      <w:jc w:val="right"/>
    </w:pPr>
    <w:rPr>
      <w:i/>
    </w:rPr>
  </w:style>
  <w:style w:type="paragraph" w:customStyle="1" w:styleId="BoxQuoteSource">
    <w:name w:val="Box Quote Source"/>
    <w:basedOn w:val="BoxQuote"/>
    <w:rsid w:val="00C249C7"/>
    <w:pPr>
      <w:ind w:right="199"/>
      <w:jc w:val="right"/>
    </w:pPr>
    <w:rPr>
      <w:i/>
    </w:rPr>
  </w:style>
  <w:style w:type="paragraph" w:customStyle="1" w:styleId="TableQuoteSource">
    <w:name w:val="Table Quote Source"/>
    <w:basedOn w:val="TableQuote"/>
    <w:rsid w:val="00C249C7"/>
    <w:pPr>
      <w:jc w:val="right"/>
    </w:pPr>
    <w:rPr>
      <w:i/>
    </w:rPr>
  </w:style>
  <w:style w:type="paragraph" w:customStyle="1" w:styleId="ConsultantContact">
    <w:name w:val="Consultant Contact"/>
    <w:basedOn w:val="BodyText"/>
    <w:rsid w:val="007377C2"/>
    <w:rPr>
      <w:color w:val="808080" w:themeColor="background1" w:themeShade="80"/>
      <w:sz w:val="20"/>
    </w:rPr>
  </w:style>
  <w:style w:type="paragraph" w:customStyle="1" w:styleId="CoverInfoHeading">
    <w:name w:val="Cover Info Heading"/>
    <w:basedOn w:val="CoverInfo"/>
    <w:rsid w:val="007377C2"/>
    <w:rPr>
      <w:b/>
      <w:color w:val="9757A6"/>
      <w:sz w:val="20"/>
      <w:lang w:val="en-AU"/>
    </w:rPr>
  </w:style>
  <w:style w:type="numbering" w:customStyle="1" w:styleId="ACILAllenBulletedlist">
    <w:name w:val="ACIL Allen Bulleted list"/>
    <w:uiPriority w:val="99"/>
    <w:rsid w:val="00DC3BEE"/>
    <w:pPr>
      <w:numPr>
        <w:numId w:val="17"/>
      </w:numPr>
    </w:pPr>
  </w:style>
  <w:style w:type="paragraph" w:customStyle="1" w:styleId="ListDash">
    <w:name w:val="List Dash"/>
    <w:basedOn w:val="BodyText"/>
    <w:rsid w:val="00A62441"/>
    <w:pPr>
      <w:numPr>
        <w:numId w:val="22"/>
      </w:numPr>
      <w:spacing w:before="60" w:after="60"/>
    </w:pPr>
  </w:style>
  <w:style w:type="paragraph" w:customStyle="1" w:styleId="ListDash2">
    <w:name w:val="List Dash 2"/>
    <w:basedOn w:val="ListDash"/>
    <w:rsid w:val="00160E03"/>
    <w:pPr>
      <w:numPr>
        <w:ilvl w:val="1"/>
      </w:numPr>
      <w:ind w:left="567"/>
    </w:pPr>
  </w:style>
  <w:style w:type="paragraph" w:customStyle="1" w:styleId="ListDash3">
    <w:name w:val="List Dash 3"/>
    <w:basedOn w:val="ListDash2"/>
    <w:rsid w:val="00160E03"/>
    <w:pPr>
      <w:numPr>
        <w:ilvl w:val="2"/>
      </w:numPr>
      <w:ind w:left="851"/>
    </w:pPr>
  </w:style>
  <w:style w:type="numbering" w:customStyle="1" w:styleId="ACILAllenDashedList">
    <w:name w:val="ACIL Allen Dashed List"/>
    <w:uiPriority w:val="99"/>
    <w:rsid w:val="00A62441"/>
    <w:pPr>
      <w:numPr>
        <w:numId w:val="18"/>
      </w:numPr>
    </w:pPr>
  </w:style>
  <w:style w:type="paragraph" w:customStyle="1" w:styleId="NewPartDeltas">
    <w:name w:val="NewPartDeltas"/>
    <w:basedOn w:val="BodyText"/>
    <w:rsid w:val="00C249C7"/>
    <w:pPr>
      <w:spacing w:before="0" w:after="0" w:line="240" w:lineRule="auto"/>
    </w:pPr>
    <w:rPr>
      <w:noProof/>
    </w:rPr>
  </w:style>
  <w:style w:type="paragraph" w:customStyle="1" w:styleId="Part">
    <w:name w:val="Part"/>
    <w:basedOn w:val="Normal"/>
    <w:rsid w:val="007B3211"/>
    <w:pPr>
      <w:spacing w:before="0" w:after="0" w:line="240" w:lineRule="auto"/>
    </w:pPr>
    <w:rPr>
      <w:rFonts w:asciiTheme="majorHAnsi" w:hAnsiTheme="majorHAnsi"/>
      <w:color w:val="FFFFFF" w:themeColor="background1"/>
      <w:spacing w:val="80"/>
      <w:sz w:val="80"/>
      <w:szCs w:val="80"/>
    </w:rPr>
  </w:style>
  <w:style w:type="paragraph" w:customStyle="1" w:styleId="PartTitle">
    <w:name w:val="Part Title"/>
    <w:basedOn w:val="BodyText"/>
    <w:rsid w:val="007B3211"/>
    <w:pPr>
      <w:spacing w:line="240" w:lineRule="auto"/>
    </w:pPr>
    <w:rPr>
      <w:rFonts w:ascii="Arial Narrow" w:hAnsi="Arial Narrow" w:cstheme="majorHAnsi"/>
      <w:b/>
      <w:caps/>
      <w:color w:val="FFAE3B"/>
      <w:spacing w:val="100"/>
      <w:sz w:val="40"/>
      <w:szCs w:val="40"/>
      <w:lang w:eastAsia="zh-CN"/>
    </w:rPr>
  </w:style>
  <w:style w:type="paragraph" w:customStyle="1" w:styleId="PartNumberOnly">
    <w:name w:val="PartNumberOnly"/>
    <w:basedOn w:val="Normal"/>
    <w:rsid w:val="00CF7515"/>
    <w:pPr>
      <w:spacing w:before="0" w:after="0" w:line="240" w:lineRule="auto"/>
      <w:jc w:val="center"/>
    </w:pPr>
    <w:rPr>
      <w:rFonts w:ascii="Georgia" w:hAnsi="Georgia"/>
      <w:color w:val="FFFFFF" w:themeColor="background1"/>
      <w:sz w:val="144"/>
    </w:rPr>
  </w:style>
  <w:style w:type="numbering" w:customStyle="1" w:styleId="ATbulletedlist">
    <w:name w:val="AT bulleted list"/>
    <w:uiPriority w:val="99"/>
    <w:rsid w:val="00C249C7"/>
    <w:pPr>
      <w:numPr>
        <w:numId w:val="19"/>
      </w:numPr>
    </w:pPr>
  </w:style>
  <w:style w:type="numbering" w:customStyle="1" w:styleId="ATBoxBulletedList">
    <w:name w:val="AT Box Bulleted List"/>
    <w:uiPriority w:val="99"/>
    <w:rsid w:val="00C249C7"/>
    <w:pPr>
      <w:numPr>
        <w:numId w:val="20"/>
      </w:numPr>
    </w:pPr>
  </w:style>
  <w:style w:type="numbering" w:customStyle="1" w:styleId="ACILAllenPartNumbers">
    <w:name w:val="ACIL Allen Part Numbers"/>
    <w:uiPriority w:val="99"/>
    <w:rsid w:val="00C249C7"/>
    <w:pPr>
      <w:numPr>
        <w:numId w:val="21"/>
      </w:numPr>
    </w:pPr>
  </w:style>
  <w:style w:type="paragraph" w:customStyle="1" w:styleId="LetterRef">
    <w:name w:val="LetterRef"/>
    <w:basedOn w:val="LetterDate"/>
    <w:rsid w:val="002F733E"/>
    <w:pPr>
      <w:spacing w:before="40" w:after="600"/>
    </w:pPr>
  </w:style>
  <w:style w:type="numbering" w:customStyle="1" w:styleId="PartNumber">
    <w:name w:val="Part Number"/>
    <w:uiPriority w:val="99"/>
    <w:rsid w:val="00E321F5"/>
    <w:pPr>
      <w:numPr>
        <w:numId w:val="45"/>
      </w:numPr>
    </w:pPr>
  </w:style>
  <w:style w:type="character" w:customStyle="1" w:styleId="ListBulletChar">
    <w:name w:val="List Bullet Char"/>
    <w:basedOn w:val="DefaultParagraphFont"/>
    <w:link w:val="ListBullet"/>
    <w:uiPriority w:val="2"/>
    <w:rsid w:val="004A6A46"/>
    <w:rPr>
      <w:rFonts w:asciiTheme="minorHAnsi" w:hAnsiTheme="minorHAnsi"/>
      <w:sz w:val="22"/>
      <w:szCs w:val="22"/>
      <w:lang w:eastAsia="en-AU"/>
    </w:rPr>
  </w:style>
  <w:style w:type="paragraph" w:customStyle="1" w:styleId="font5">
    <w:name w:val="font5"/>
    <w:basedOn w:val="Normal"/>
    <w:rsid w:val="003739E4"/>
    <w:pPr>
      <w:spacing w:before="100" w:beforeAutospacing="1" w:after="100" w:afterAutospacing="1" w:line="240" w:lineRule="auto"/>
    </w:pPr>
    <w:rPr>
      <w:rFonts w:ascii="Century Gothic" w:hAnsi="Century Gothic"/>
      <w:b/>
      <w:bCs/>
      <w:color w:val="000080"/>
      <w:sz w:val="12"/>
      <w:szCs w:val="12"/>
      <w:lang w:eastAsia="en-AU"/>
    </w:rPr>
  </w:style>
  <w:style w:type="paragraph" w:customStyle="1" w:styleId="xl72">
    <w:name w:val="xl72"/>
    <w:basedOn w:val="Normal"/>
    <w:rsid w:val="003739E4"/>
    <w:pPr>
      <w:shd w:val="clear" w:color="000000" w:fill="9757A6"/>
      <w:spacing w:before="100" w:beforeAutospacing="1" w:after="100" w:afterAutospacing="1" w:line="240" w:lineRule="auto"/>
      <w:jc w:val="center"/>
      <w:textAlignment w:val="center"/>
    </w:pPr>
    <w:rPr>
      <w:rFonts w:ascii="Arial Narrow" w:hAnsi="Arial Narrow"/>
      <w:color w:val="FFFFFF"/>
      <w:lang w:eastAsia="en-AU"/>
    </w:rPr>
  </w:style>
  <w:style w:type="paragraph" w:customStyle="1" w:styleId="xl73">
    <w:name w:val="xl73"/>
    <w:basedOn w:val="Normal"/>
    <w:rsid w:val="003739E4"/>
    <w:pPr>
      <w:spacing w:before="100" w:beforeAutospacing="1" w:after="100" w:afterAutospacing="1" w:line="240" w:lineRule="auto"/>
      <w:textAlignment w:val="center"/>
    </w:pPr>
    <w:rPr>
      <w:rFonts w:ascii="Times New Roman" w:hAnsi="Times New Roman"/>
      <w:sz w:val="12"/>
      <w:szCs w:val="12"/>
      <w:lang w:eastAsia="en-AU"/>
    </w:rPr>
  </w:style>
  <w:style w:type="paragraph" w:customStyle="1" w:styleId="xl74">
    <w:name w:val="xl74"/>
    <w:basedOn w:val="Normal"/>
    <w:rsid w:val="003739E4"/>
    <w:pPr>
      <w:spacing w:before="100" w:beforeAutospacing="1" w:after="100" w:afterAutospacing="1" w:line="240" w:lineRule="auto"/>
      <w:jc w:val="center"/>
      <w:textAlignment w:val="center"/>
    </w:pPr>
    <w:rPr>
      <w:rFonts w:ascii="Times New Roman" w:hAnsi="Times New Roman"/>
      <w:sz w:val="12"/>
      <w:szCs w:val="12"/>
      <w:lang w:eastAsia="en-AU"/>
    </w:rPr>
  </w:style>
  <w:style w:type="paragraph" w:customStyle="1" w:styleId="xl75">
    <w:name w:val="xl75"/>
    <w:basedOn w:val="Normal"/>
    <w:rsid w:val="003739E4"/>
    <w:pPr>
      <w:spacing w:before="100" w:beforeAutospacing="1" w:after="100" w:afterAutospacing="1" w:line="240" w:lineRule="auto"/>
      <w:jc w:val="center"/>
      <w:textAlignment w:val="center"/>
    </w:pPr>
    <w:rPr>
      <w:rFonts w:ascii="Times New Roman" w:hAnsi="Times New Roman"/>
      <w:color w:val="000000"/>
      <w:sz w:val="12"/>
      <w:szCs w:val="12"/>
      <w:lang w:eastAsia="en-AU"/>
    </w:rPr>
  </w:style>
  <w:style w:type="paragraph" w:customStyle="1" w:styleId="xl76">
    <w:name w:val="xl76"/>
    <w:basedOn w:val="Normal"/>
    <w:rsid w:val="003739E4"/>
    <w:pPr>
      <w:spacing w:before="100" w:beforeAutospacing="1" w:after="100" w:afterAutospacing="1" w:line="240" w:lineRule="auto"/>
      <w:jc w:val="center"/>
      <w:textAlignment w:val="center"/>
    </w:pPr>
    <w:rPr>
      <w:rFonts w:ascii="Times New Roman" w:hAnsi="Times New Roman"/>
      <w:color w:val="000000"/>
      <w:sz w:val="12"/>
      <w:szCs w:val="12"/>
      <w:lang w:eastAsia="en-AU"/>
    </w:rPr>
  </w:style>
  <w:style w:type="paragraph" w:customStyle="1" w:styleId="xl77">
    <w:name w:val="xl77"/>
    <w:basedOn w:val="Normal"/>
    <w:rsid w:val="00760A9C"/>
    <w:pPr>
      <w:spacing w:before="100" w:beforeAutospacing="1" w:after="100" w:afterAutospacing="1" w:line="240" w:lineRule="auto"/>
      <w:jc w:val="center"/>
      <w:textAlignment w:val="center"/>
    </w:pPr>
    <w:rPr>
      <w:rFonts w:ascii="Times New Roman" w:hAnsi="Times New Roman"/>
      <w:sz w:val="12"/>
      <w:szCs w:val="12"/>
      <w:lang w:eastAsia="en-AU"/>
    </w:rPr>
  </w:style>
  <w:style w:type="paragraph" w:customStyle="1" w:styleId="xl78">
    <w:name w:val="xl78"/>
    <w:basedOn w:val="Normal"/>
    <w:rsid w:val="00760A9C"/>
    <w:pPr>
      <w:shd w:val="clear" w:color="000000" w:fill="9757A6"/>
      <w:spacing w:before="100" w:beforeAutospacing="1" w:after="100" w:afterAutospacing="1" w:line="240" w:lineRule="auto"/>
      <w:textAlignment w:val="center"/>
    </w:pPr>
    <w:rPr>
      <w:rFonts w:ascii="Arial Narrow" w:hAnsi="Arial Narrow"/>
      <w:color w:val="FFFFFF"/>
      <w:lang w:eastAsia="en-AU"/>
    </w:rPr>
  </w:style>
  <w:style w:type="paragraph" w:customStyle="1" w:styleId="xl79">
    <w:name w:val="xl79"/>
    <w:basedOn w:val="Normal"/>
    <w:rsid w:val="00760A9C"/>
    <w:pPr>
      <w:pBdr>
        <w:bottom w:val="single" w:sz="8" w:space="0" w:color="C0C0C0"/>
      </w:pBdr>
      <w:shd w:val="clear" w:color="000000" w:fill="E6E6E6"/>
      <w:spacing w:before="100" w:beforeAutospacing="1" w:after="100" w:afterAutospacing="1" w:line="240" w:lineRule="auto"/>
      <w:jc w:val="center"/>
      <w:textAlignment w:val="center"/>
    </w:pPr>
    <w:rPr>
      <w:rFonts w:ascii="Times New Roman" w:hAnsi="Times New Roman"/>
      <w:lang w:eastAsia="en-AU"/>
    </w:rPr>
  </w:style>
  <w:style w:type="character" w:customStyle="1" w:styleId="FootnoteTextChar">
    <w:name w:val="Footnote Text Char"/>
    <w:basedOn w:val="DefaultParagraphFont"/>
    <w:link w:val="FootnoteText"/>
    <w:rsid w:val="00653055"/>
    <w:rPr>
      <w:rFonts w:asciiTheme="minorHAnsi" w:hAnsiTheme="minorHAnsi"/>
      <w:sz w:val="16"/>
      <w:szCs w:val="22"/>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imes New Roman" w:hAnsi="Garamond" w:cs="Times New Roman"/>
        <w:sz w:val="24"/>
        <w:szCs w:val="24"/>
        <w:lang w:val="en-AU" w:eastAsia="zh-CN" w:bidi="ar-SA"/>
      </w:rPr>
    </w:rPrDefault>
    <w:pPrDefault>
      <w:pPr>
        <w:spacing w:before="180" w:line="300" w:lineRule="exact"/>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11"/>
    <w:lsdException w:name="toc 5" w:uiPriority="39"/>
    <w:lsdException w:name="toc 6" w:uiPriority="39"/>
    <w:lsdException w:name="toc 7" w:uiPriority="39"/>
    <w:lsdException w:name="toc 8" w:uiPriority="11"/>
    <w:lsdException w:name="toc 9" w:uiPriority="39"/>
    <w:lsdException w:name="annotation text" w:uiPriority="99"/>
    <w:lsdException w:name="footer" w:uiPriority="99"/>
    <w:lsdException w:name="index heading" w:uiPriority="99"/>
    <w:lsdException w:name="caption" w:semiHidden="0" w:unhideWhenUsed="0" w:qFormat="1"/>
    <w:lsdException w:name="table of figures" w:uiPriority="99"/>
    <w:lsdException w:name="table of authorities" w:uiPriority="99"/>
    <w:lsdException w:name="List Bullet" w:uiPriority="2" w:qFormat="1"/>
    <w:lsdException w:name="List Number" w:uiPriority="2" w:qFormat="1"/>
    <w:lsdException w:name="List Bullet 2" w:uiPriority="2" w:qFormat="1"/>
    <w:lsdException w:name="List Bullet 3" w:uiPriority="2" w:qFormat="1"/>
    <w:lsdException w:name="List Number 2" w:uiPriority="2"/>
    <w:lsdException w:name="List Number 3" w:uiPriority="2"/>
    <w:lsdException w:name="Title" w:semiHidden="0" w:unhideWhenUsed="0" w:qFormat="1"/>
    <w:lsdException w:name="Default Paragraph Font" w:uiPriority="1"/>
    <w:lsdException w:name="Body Text" w:qFormat="1"/>
    <w:lsdException w:name="Subtitle" w:semiHidden="0" w:unhideWhenUsed="0"/>
    <w:lsdException w:name="Note Heading" w:uiPriority="99"/>
    <w:lsdException w:name="Hyperlink" w:uiPriority="99"/>
    <w:lsdException w:name="Followed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Table List 1" w:uiPriority="99"/>
    <w:lsdException w:name="Table List 2" w:uiPriority="99"/>
    <w:lsdException w:name="Table List 3" w:uiPriority="99"/>
    <w:lsdException w:name="Table 3D effects 3"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4" w:unhideWhenUsed="0" w:qFormat="1"/>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99" w:unhideWhenUsed="0"/>
    <w:lsdException w:name="Subtle Reference" w:semiHidden="0" w:uiPriority="31" w:unhideWhenUsed="0"/>
    <w:lsdException w:name="Intense Reference" w:semiHidden="0" w:uiPriority="99"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513E3"/>
    <w:pPr>
      <w:spacing w:before="120" w:after="120" w:line="240" w:lineRule="exact"/>
    </w:pPr>
    <w:rPr>
      <w:rFonts w:asciiTheme="minorHAnsi" w:hAnsiTheme="minorHAnsi"/>
      <w:lang w:eastAsia="en-US"/>
    </w:rPr>
  </w:style>
  <w:style w:type="paragraph" w:styleId="Heading1">
    <w:name w:val="heading 1"/>
    <w:next w:val="BodyText"/>
    <w:link w:val="Heading1Char"/>
    <w:qFormat/>
    <w:rsid w:val="002B6DA3"/>
    <w:pPr>
      <w:keepNext/>
      <w:pageBreakBefore/>
      <w:numPr>
        <w:numId w:val="23"/>
      </w:numPr>
      <w:pBdr>
        <w:top w:val="single" w:sz="48" w:space="30" w:color="9757A6"/>
        <w:left w:val="single" w:sz="48" w:space="4" w:color="9757A6"/>
        <w:bottom w:val="single" w:sz="48" w:space="5" w:color="9757A6"/>
      </w:pBdr>
      <w:shd w:val="clear" w:color="auto" w:fill="9757A6"/>
      <w:spacing w:before="300" w:after="60" w:line="420" w:lineRule="exact"/>
      <w:outlineLvl w:val="0"/>
    </w:pPr>
    <w:rPr>
      <w:rFonts w:asciiTheme="majorHAnsi" w:hAnsiTheme="majorHAnsi"/>
      <w:b/>
      <w:color w:val="FFFFFF" w:themeColor="background1"/>
      <w:kern w:val="28"/>
      <w:sz w:val="38"/>
      <w:szCs w:val="38"/>
      <w:lang w:eastAsia="en-AU"/>
    </w:rPr>
  </w:style>
  <w:style w:type="paragraph" w:styleId="Heading2">
    <w:name w:val="heading 2"/>
    <w:next w:val="BodyText"/>
    <w:qFormat/>
    <w:rsid w:val="00A71A4C"/>
    <w:pPr>
      <w:keepNext/>
      <w:numPr>
        <w:ilvl w:val="1"/>
        <w:numId w:val="23"/>
      </w:numPr>
      <w:pBdr>
        <w:bottom w:val="single" w:sz="8" w:space="1" w:color="BFBFBF" w:themeColor="background1" w:themeShade="BF"/>
      </w:pBdr>
      <w:spacing w:before="300" w:after="60" w:line="340" w:lineRule="exact"/>
      <w:outlineLvl w:val="1"/>
    </w:pPr>
    <w:rPr>
      <w:rFonts w:asciiTheme="majorHAnsi" w:hAnsiTheme="majorHAnsi"/>
      <w:b/>
      <w:color w:val="9757A6" w:themeColor="text2"/>
      <w:kern w:val="36"/>
      <w:sz w:val="28"/>
      <w:lang w:eastAsia="en-AU"/>
    </w:rPr>
  </w:style>
  <w:style w:type="paragraph" w:styleId="Heading3">
    <w:name w:val="heading 3"/>
    <w:next w:val="BodyText"/>
    <w:qFormat/>
    <w:rsid w:val="00A71A4C"/>
    <w:pPr>
      <w:keepNext/>
      <w:numPr>
        <w:ilvl w:val="2"/>
        <w:numId w:val="23"/>
      </w:numPr>
      <w:spacing w:before="300" w:line="270" w:lineRule="exact"/>
      <w:outlineLvl w:val="2"/>
    </w:pPr>
    <w:rPr>
      <w:rFonts w:asciiTheme="majorHAnsi" w:hAnsiTheme="majorHAnsi"/>
      <w:b/>
      <w:color w:val="9757A6" w:themeColor="text2"/>
      <w:sz w:val="22"/>
      <w:lang w:eastAsia="en-AU"/>
    </w:rPr>
  </w:style>
  <w:style w:type="paragraph" w:styleId="Heading4">
    <w:name w:val="heading 4"/>
    <w:next w:val="BodyText"/>
    <w:qFormat/>
    <w:rsid w:val="002B6DA3"/>
    <w:pPr>
      <w:keepNext/>
      <w:numPr>
        <w:ilvl w:val="3"/>
        <w:numId w:val="23"/>
      </w:numPr>
      <w:spacing w:before="300" w:after="20" w:line="280" w:lineRule="exact"/>
      <w:outlineLvl w:val="3"/>
    </w:pPr>
    <w:rPr>
      <w:rFonts w:asciiTheme="majorHAnsi" w:hAnsiTheme="majorHAnsi"/>
      <w:b/>
      <w:i/>
      <w:color w:val="9757A6"/>
      <w:sz w:val="20"/>
      <w:lang w:eastAsia="en-AU"/>
    </w:rPr>
  </w:style>
  <w:style w:type="paragraph" w:styleId="Heading5">
    <w:name w:val="heading 5"/>
    <w:basedOn w:val="Heading4"/>
    <w:next w:val="BodyText"/>
    <w:qFormat/>
    <w:rsid w:val="00C249C7"/>
    <w:pPr>
      <w:numPr>
        <w:ilvl w:val="4"/>
      </w:numPr>
      <w:outlineLvl w:val="4"/>
    </w:pPr>
    <w:rPr>
      <w:i w:val="0"/>
      <w:szCs w:val="22"/>
    </w:rPr>
  </w:style>
  <w:style w:type="paragraph" w:styleId="Heading6">
    <w:name w:val="heading 6"/>
    <w:basedOn w:val="Normal"/>
    <w:next w:val="Normal"/>
    <w:semiHidden/>
    <w:rsid w:val="00C249C7"/>
    <w:pPr>
      <w:keepNext/>
      <w:spacing w:before="240" w:after="60"/>
      <w:outlineLvl w:val="5"/>
    </w:pPr>
    <w:rPr>
      <w:i/>
      <w:sz w:val="22"/>
    </w:rPr>
  </w:style>
  <w:style w:type="paragraph" w:styleId="Heading7">
    <w:name w:val="heading 7"/>
    <w:next w:val="BodyText"/>
    <w:qFormat/>
    <w:rsid w:val="002B6DA3"/>
    <w:pPr>
      <w:keepNext/>
      <w:numPr>
        <w:ilvl w:val="6"/>
        <w:numId w:val="23"/>
      </w:numPr>
      <w:spacing w:before="300" w:after="60" w:line="420" w:lineRule="exact"/>
      <w:outlineLvl w:val="6"/>
    </w:pPr>
    <w:rPr>
      <w:rFonts w:asciiTheme="majorHAnsi" w:hAnsiTheme="majorHAnsi"/>
      <w:b/>
      <w:color w:val="9757A6"/>
      <w:sz w:val="36"/>
      <w:szCs w:val="36"/>
      <w:lang w:eastAsia="en-AU"/>
    </w:rPr>
  </w:style>
  <w:style w:type="paragraph" w:styleId="Heading8">
    <w:name w:val="heading 8"/>
    <w:next w:val="BodyText"/>
    <w:qFormat/>
    <w:rsid w:val="00185F69"/>
    <w:pPr>
      <w:keepNext/>
      <w:numPr>
        <w:ilvl w:val="7"/>
        <w:numId w:val="23"/>
      </w:numPr>
      <w:pBdr>
        <w:bottom w:val="single" w:sz="8" w:space="1" w:color="BFBFBF" w:themeColor="background1" w:themeShade="BF"/>
      </w:pBdr>
      <w:spacing w:before="300" w:after="60" w:line="340" w:lineRule="exact"/>
      <w:outlineLvl w:val="7"/>
    </w:pPr>
    <w:rPr>
      <w:rFonts w:asciiTheme="majorHAnsi" w:hAnsiTheme="majorHAnsi"/>
      <w:b/>
      <w:color w:val="9757A6" w:themeColor="text2"/>
      <w:sz w:val="28"/>
      <w:szCs w:val="28"/>
      <w:lang w:eastAsia="en-AU"/>
    </w:rPr>
  </w:style>
  <w:style w:type="paragraph" w:styleId="Heading9">
    <w:name w:val="heading 9"/>
    <w:basedOn w:val="BodyText"/>
    <w:next w:val="BodyText"/>
    <w:qFormat/>
    <w:rsid w:val="002B6DA3"/>
    <w:pPr>
      <w:keepNext/>
      <w:numPr>
        <w:ilvl w:val="8"/>
        <w:numId w:val="23"/>
      </w:numPr>
      <w:spacing w:before="300" w:line="270" w:lineRule="exact"/>
      <w:outlineLvl w:val="8"/>
    </w:pPr>
    <w:rPr>
      <w:rFonts w:asciiTheme="majorHAnsi" w:hAnsiTheme="majorHAnsi"/>
      <w:b/>
      <w:color w:val="9757A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
    <w:link w:val="BodyTextChar"/>
    <w:qFormat/>
    <w:rsid w:val="0041114B"/>
    <w:pPr>
      <w:spacing w:before="120" w:after="120" w:line="280" w:lineRule="exact"/>
    </w:pPr>
    <w:rPr>
      <w:rFonts w:asciiTheme="minorHAnsi" w:hAnsiTheme="minorHAnsi"/>
      <w:sz w:val="22"/>
      <w:szCs w:val="22"/>
      <w:lang w:eastAsia="en-AU"/>
    </w:rPr>
  </w:style>
  <w:style w:type="paragraph" w:styleId="Header">
    <w:name w:val="header"/>
    <w:link w:val="HeaderChar"/>
    <w:rsid w:val="00C249C7"/>
    <w:pPr>
      <w:spacing w:before="0" w:line="240" w:lineRule="auto"/>
    </w:pPr>
    <w:rPr>
      <w:rFonts w:asciiTheme="minorHAnsi" w:hAnsiTheme="minorHAnsi"/>
      <w:noProof/>
      <w:sz w:val="16"/>
      <w:lang w:eastAsia="en-AU"/>
    </w:rPr>
  </w:style>
  <w:style w:type="paragraph" w:styleId="Footer">
    <w:name w:val="footer"/>
    <w:link w:val="FooterChar"/>
    <w:uiPriority w:val="99"/>
    <w:rsid w:val="00C249C7"/>
    <w:pPr>
      <w:spacing w:before="0" w:line="240" w:lineRule="auto"/>
      <w:ind w:right="851"/>
    </w:pPr>
    <w:rPr>
      <w:rFonts w:asciiTheme="minorHAnsi" w:hAnsiTheme="minorHAnsi"/>
      <w:sz w:val="14"/>
      <w:lang w:eastAsia="en-US"/>
    </w:rPr>
  </w:style>
  <w:style w:type="paragraph" w:styleId="Title">
    <w:name w:val="Title"/>
    <w:link w:val="TitleChar"/>
    <w:rsid w:val="00180AC7"/>
    <w:pPr>
      <w:spacing w:before="0" w:after="300" w:line="380" w:lineRule="exact"/>
    </w:pPr>
    <w:rPr>
      <w:rFonts w:asciiTheme="majorHAnsi" w:eastAsiaTheme="majorEastAsia" w:hAnsiTheme="majorHAnsi" w:cstheme="majorBidi"/>
      <w:caps/>
      <w:spacing w:val="5"/>
      <w:kern w:val="28"/>
      <w:sz w:val="41"/>
      <w:szCs w:val="52"/>
      <w:lang w:eastAsia="en-US"/>
    </w:rPr>
  </w:style>
  <w:style w:type="paragraph" w:customStyle="1" w:styleId="Preparedfor">
    <w:name w:val="Prepared for"/>
    <w:semiHidden/>
    <w:rsid w:val="00C249C7"/>
    <w:pPr>
      <w:ind w:left="1674"/>
      <w:jc w:val="right"/>
    </w:pPr>
    <w:rPr>
      <w:rFonts w:ascii="Century Gothic" w:hAnsi="Century Gothic"/>
      <w:sz w:val="18"/>
      <w:szCs w:val="20"/>
      <w:lang w:eastAsia="en-AU"/>
    </w:rPr>
  </w:style>
  <w:style w:type="paragraph" w:customStyle="1" w:styleId="CoverLogos">
    <w:name w:val="Cover Logos"/>
    <w:uiPriority w:val="99"/>
    <w:semiHidden/>
    <w:rsid w:val="00C249C7"/>
    <w:pPr>
      <w:framePr w:wrap="notBeside" w:vAnchor="text" w:hAnchor="text" w:y="1"/>
      <w:spacing w:before="60" w:line="240" w:lineRule="auto"/>
      <w:jc w:val="right"/>
    </w:pPr>
    <w:rPr>
      <w:noProof/>
      <w:szCs w:val="20"/>
      <w:lang w:eastAsia="en-AU"/>
    </w:rPr>
  </w:style>
  <w:style w:type="paragraph" w:customStyle="1" w:styleId="SaveDate">
    <w:name w:val="Save Date"/>
    <w:semiHidden/>
    <w:rsid w:val="00C249C7"/>
    <w:pPr>
      <w:ind w:left="2716"/>
      <w:jc w:val="right"/>
    </w:pPr>
    <w:rPr>
      <w:rFonts w:ascii="Century Gothic" w:hAnsi="Century Gothic"/>
      <w:b/>
      <w:lang w:eastAsia="en-US"/>
    </w:rPr>
  </w:style>
  <w:style w:type="paragraph" w:customStyle="1" w:styleId="CoverInfo">
    <w:name w:val="Cover Info"/>
    <w:uiPriority w:val="99"/>
    <w:rsid w:val="00C249C7"/>
    <w:pPr>
      <w:spacing w:before="20" w:after="20" w:line="240" w:lineRule="auto"/>
    </w:pPr>
    <w:rPr>
      <w:rFonts w:asciiTheme="minorHAnsi" w:hAnsiTheme="minorHAnsi"/>
      <w:color w:val="5F5F5F"/>
      <w:sz w:val="18"/>
      <w:szCs w:val="20"/>
      <w:lang w:val="fr-FR" w:eastAsia="en-AU"/>
    </w:rPr>
  </w:style>
  <w:style w:type="paragraph" w:customStyle="1" w:styleId="CoverLogo">
    <w:name w:val="CoverLogo"/>
    <w:uiPriority w:val="99"/>
    <w:semiHidden/>
    <w:rsid w:val="00C249C7"/>
    <w:pPr>
      <w:spacing w:before="120" w:line="240" w:lineRule="auto"/>
    </w:pPr>
    <w:rPr>
      <w:szCs w:val="20"/>
      <w:lang w:eastAsia="en-AU"/>
    </w:rPr>
  </w:style>
  <w:style w:type="paragraph" w:customStyle="1" w:styleId="SubTitle">
    <w:name w:val="Sub Title"/>
    <w:uiPriority w:val="99"/>
    <w:semiHidden/>
    <w:rsid w:val="00C249C7"/>
    <w:pPr>
      <w:spacing w:before="40" w:line="360" w:lineRule="exact"/>
      <w:ind w:left="2778"/>
      <w:jc w:val="right"/>
    </w:pPr>
    <w:rPr>
      <w:rFonts w:ascii="Century Gothic" w:hAnsi="Century Gothic"/>
      <w:szCs w:val="20"/>
      <w:lang w:eastAsia="en-AU"/>
    </w:rPr>
  </w:style>
  <w:style w:type="paragraph" w:customStyle="1" w:styleId="Copyright">
    <w:name w:val="Copyright"/>
    <w:uiPriority w:val="99"/>
    <w:semiHidden/>
    <w:rsid w:val="00C249C7"/>
    <w:pPr>
      <w:spacing w:before="80" w:line="250" w:lineRule="exact"/>
    </w:pPr>
    <w:rPr>
      <w:color w:val="000000"/>
      <w:sz w:val="20"/>
      <w:szCs w:val="20"/>
      <w:lang w:eastAsia="en-AU"/>
    </w:rPr>
  </w:style>
  <w:style w:type="paragraph" w:styleId="BodyText2">
    <w:name w:val="Body Text 2"/>
    <w:basedOn w:val="Normal"/>
    <w:semiHidden/>
    <w:rsid w:val="00C249C7"/>
    <w:rPr>
      <w:color w:val="FF0000"/>
    </w:rPr>
  </w:style>
  <w:style w:type="paragraph" w:customStyle="1" w:styleId="CoverHeadings">
    <w:name w:val="Cover Headings"/>
    <w:uiPriority w:val="99"/>
    <w:semiHidden/>
    <w:rsid w:val="00C249C7"/>
    <w:pPr>
      <w:spacing w:before="240" w:line="270" w:lineRule="exact"/>
    </w:pPr>
    <w:rPr>
      <w:rFonts w:ascii="Century Gothic" w:hAnsi="Century Gothic"/>
      <w:b/>
      <w:color w:val="000080"/>
      <w:sz w:val="22"/>
      <w:lang w:eastAsia="en-US"/>
    </w:rPr>
  </w:style>
  <w:style w:type="paragraph" w:customStyle="1" w:styleId="Office">
    <w:name w:val="Office"/>
    <w:semiHidden/>
    <w:rsid w:val="00C249C7"/>
    <w:pPr>
      <w:spacing w:before="300" w:line="240" w:lineRule="auto"/>
      <w:ind w:right="-291"/>
    </w:pPr>
    <w:rPr>
      <w:rFonts w:ascii="Century Gothic" w:hAnsi="Century Gothic"/>
      <w:b/>
      <w:color w:val="808080"/>
      <w:sz w:val="20"/>
      <w:szCs w:val="20"/>
      <w:lang w:eastAsia="en-AU"/>
    </w:rPr>
  </w:style>
  <w:style w:type="character" w:styleId="Hyperlink">
    <w:name w:val="Hyperlink"/>
    <w:basedOn w:val="DefaultParagraphFont"/>
    <w:uiPriority w:val="99"/>
    <w:rsid w:val="00C249C7"/>
    <w:rPr>
      <w:color w:val="0000FF"/>
      <w:u w:val="single"/>
    </w:rPr>
  </w:style>
  <w:style w:type="character" w:customStyle="1" w:styleId="TitleChar">
    <w:name w:val="Title Char"/>
    <w:basedOn w:val="DefaultParagraphFont"/>
    <w:link w:val="Title"/>
    <w:rsid w:val="00180AC7"/>
    <w:rPr>
      <w:rFonts w:asciiTheme="majorHAnsi" w:eastAsiaTheme="majorEastAsia" w:hAnsiTheme="majorHAnsi" w:cstheme="majorBidi"/>
      <w:caps/>
      <w:spacing w:val="5"/>
      <w:kern w:val="28"/>
      <w:sz w:val="41"/>
      <w:szCs w:val="52"/>
      <w:lang w:eastAsia="en-US"/>
    </w:rPr>
  </w:style>
  <w:style w:type="paragraph" w:customStyle="1" w:styleId="Heading10">
    <w:name w:val="Heading 10"/>
    <w:basedOn w:val="Heading4"/>
    <w:next w:val="BodyText"/>
    <w:qFormat/>
    <w:rsid w:val="00C249C7"/>
    <w:pPr>
      <w:numPr>
        <w:ilvl w:val="0"/>
        <w:numId w:val="0"/>
      </w:numPr>
    </w:pPr>
    <w:rPr>
      <w:szCs w:val="22"/>
    </w:rPr>
  </w:style>
  <w:style w:type="paragraph" w:customStyle="1" w:styleId="Heading11">
    <w:name w:val="Heading 11"/>
    <w:basedOn w:val="Heading5"/>
    <w:next w:val="BodyText"/>
    <w:qFormat/>
    <w:rsid w:val="00C249C7"/>
    <w:pPr>
      <w:numPr>
        <w:ilvl w:val="0"/>
        <w:numId w:val="0"/>
      </w:numPr>
    </w:pPr>
  </w:style>
  <w:style w:type="paragraph" w:customStyle="1" w:styleId="BoxText">
    <w:name w:val="Box Text"/>
    <w:basedOn w:val="BodyText"/>
    <w:qFormat/>
    <w:rsid w:val="00556389"/>
    <w:pPr>
      <w:keepNext/>
      <w:keepLines/>
      <w:spacing w:before="80" w:after="40" w:line="220" w:lineRule="exact"/>
    </w:pPr>
    <w:rPr>
      <w:sz w:val="20"/>
    </w:rPr>
  </w:style>
  <w:style w:type="paragraph" w:customStyle="1" w:styleId="BoxContinued">
    <w:name w:val="Box Continued"/>
    <w:basedOn w:val="Normal"/>
    <w:next w:val="BodyText"/>
    <w:uiPriority w:val="99"/>
    <w:semiHidden/>
    <w:rsid w:val="00C249C7"/>
    <w:pPr>
      <w:spacing w:after="40" w:line="240" w:lineRule="auto"/>
      <w:jc w:val="right"/>
    </w:pPr>
    <w:rPr>
      <w:sz w:val="14"/>
      <w:lang w:eastAsia="en-AU"/>
    </w:rPr>
  </w:style>
  <w:style w:type="paragraph" w:customStyle="1" w:styleId="BoxSideHeading1">
    <w:name w:val="Box Side Heading 1"/>
    <w:basedOn w:val="BoxText"/>
    <w:next w:val="BoxText"/>
    <w:uiPriority w:val="4"/>
    <w:rsid w:val="00C249C7"/>
    <w:pPr>
      <w:spacing w:before="240"/>
    </w:pPr>
    <w:rPr>
      <w:b/>
    </w:rPr>
  </w:style>
  <w:style w:type="paragraph" w:customStyle="1" w:styleId="BoxSideHeading2">
    <w:name w:val="Box Side Heading 2"/>
    <w:basedOn w:val="BoxText"/>
    <w:next w:val="BoxText"/>
    <w:uiPriority w:val="4"/>
    <w:rsid w:val="00C249C7"/>
    <w:pPr>
      <w:spacing w:before="200"/>
    </w:pPr>
    <w:rPr>
      <w:i/>
    </w:rPr>
  </w:style>
  <w:style w:type="paragraph" w:customStyle="1" w:styleId="BoxListBullet">
    <w:name w:val="Box List Bullet"/>
    <w:uiPriority w:val="4"/>
    <w:rsid w:val="00826BEB"/>
    <w:pPr>
      <w:numPr>
        <w:numId w:val="35"/>
      </w:numPr>
      <w:spacing w:before="40" w:after="40" w:line="220" w:lineRule="exact"/>
    </w:pPr>
    <w:rPr>
      <w:rFonts w:asciiTheme="minorHAnsi" w:hAnsiTheme="minorHAnsi"/>
      <w:sz w:val="20"/>
      <w:lang w:eastAsia="en-AU"/>
    </w:rPr>
  </w:style>
  <w:style w:type="paragraph" w:customStyle="1" w:styleId="BoxListBullet2">
    <w:name w:val="Box List Bullet 2"/>
    <w:basedOn w:val="BoxListBullet"/>
    <w:rsid w:val="00C249C7"/>
    <w:pPr>
      <w:numPr>
        <w:ilvl w:val="1"/>
      </w:numPr>
    </w:pPr>
  </w:style>
  <w:style w:type="paragraph" w:customStyle="1" w:styleId="BoxListNumber">
    <w:name w:val="Box List Number"/>
    <w:uiPriority w:val="4"/>
    <w:rsid w:val="00826BEB"/>
    <w:pPr>
      <w:numPr>
        <w:numId w:val="36"/>
      </w:numPr>
      <w:spacing w:before="40" w:after="40" w:line="220" w:lineRule="exact"/>
    </w:pPr>
    <w:rPr>
      <w:rFonts w:asciiTheme="minorHAnsi" w:hAnsiTheme="minorHAnsi"/>
      <w:color w:val="000000"/>
      <w:sz w:val="20"/>
      <w:lang w:eastAsia="en-US"/>
    </w:rPr>
  </w:style>
  <w:style w:type="paragraph" w:customStyle="1" w:styleId="BoxQuote">
    <w:name w:val="Box Quote"/>
    <w:basedOn w:val="BoxText"/>
    <w:next w:val="BoxText"/>
    <w:uiPriority w:val="4"/>
    <w:rsid w:val="00826BEB"/>
    <w:pPr>
      <w:spacing w:line="240" w:lineRule="auto"/>
      <w:ind w:left="227"/>
    </w:pPr>
    <w:rPr>
      <w:sz w:val="18"/>
      <w:szCs w:val="14"/>
    </w:rPr>
  </w:style>
  <w:style w:type="paragraph" w:styleId="Caption">
    <w:name w:val="caption"/>
    <w:next w:val="BodyText"/>
    <w:qFormat/>
    <w:rsid w:val="009949E9"/>
    <w:pPr>
      <w:keepNext/>
      <w:spacing w:before="360" w:after="40" w:line="240" w:lineRule="exact"/>
      <w:ind w:left="993" w:hanging="993"/>
      <w:outlineLvl w:val="8"/>
    </w:pPr>
    <w:rPr>
      <w:rFonts w:asciiTheme="majorHAnsi" w:hAnsiTheme="majorHAnsi" w:cs="Arial"/>
      <w:sz w:val="20"/>
      <w:lang w:eastAsia="en-US"/>
    </w:rPr>
  </w:style>
  <w:style w:type="paragraph" w:customStyle="1" w:styleId="ChapterSummary">
    <w:name w:val="Chapter Summary"/>
    <w:basedOn w:val="BodyText"/>
    <w:next w:val="BodyText"/>
    <w:rsid w:val="00C249C7"/>
    <w:pPr>
      <w:spacing w:before="200" w:after="60" w:line="300" w:lineRule="exact"/>
      <w:ind w:left="-2552"/>
    </w:pPr>
    <w:rPr>
      <w:b/>
      <w:i/>
      <w:color w:val="808080" w:themeColor="background1" w:themeShade="80"/>
    </w:rPr>
  </w:style>
  <w:style w:type="paragraph" w:styleId="ListBullet">
    <w:name w:val="List Bullet"/>
    <w:basedOn w:val="BodyText"/>
    <w:link w:val="ListBulletChar"/>
    <w:uiPriority w:val="2"/>
    <w:qFormat/>
    <w:rsid w:val="00DC3BEE"/>
    <w:pPr>
      <w:numPr>
        <w:numId w:val="44"/>
      </w:numPr>
      <w:spacing w:before="60" w:after="60"/>
    </w:pPr>
  </w:style>
  <w:style w:type="paragraph" w:styleId="ListBullet2">
    <w:name w:val="List Bullet 2"/>
    <w:basedOn w:val="ListBullet"/>
    <w:uiPriority w:val="2"/>
    <w:qFormat/>
    <w:rsid w:val="00C249C7"/>
    <w:pPr>
      <w:numPr>
        <w:ilvl w:val="1"/>
      </w:numPr>
    </w:pPr>
  </w:style>
  <w:style w:type="character" w:styleId="CommentReference">
    <w:name w:val="annotation reference"/>
    <w:basedOn w:val="DefaultParagraphFont"/>
    <w:semiHidden/>
    <w:rsid w:val="00C249C7"/>
    <w:rPr>
      <w:rFonts w:ascii="Garamond" w:hAnsi="Garamond"/>
      <w:b/>
      <w:vanish/>
      <w:color w:val="FF00FF"/>
      <w:sz w:val="20"/>
    </w:rPr>
  </w:style>
  <w:style w:type="paragraph" w:styleId="CommentText">
    <w:name w:val="annotation text"/>
    <w:basedOn w:val="BodyText"/>
    <w:uiPriority w:val="99"/>
    <w:semiHidden/>
    <w:rsid w:val="00C249C7"/>
    <w:pPr>
      <w:ind w:left="567" w:hanging="567"/>
    </w:pPr>
    <w:rPr>
      <w:rFonts w:ascii="Century Gothic" w:hAnsi="Century Gothic"/>
      <w:sz w:val="21"/>
    </w:rPr>
  </w:style>
  <w:style w:type="paragraph" w:customStyle="1" w:styleId="Confidential">
    <w:name w:val="Confidential"/>
    <w:next w:val="BodyText"/>
    <w:uiPriority w:val="99"/>
    <w:semiHidden/>
    <w:rsid w:val="00C249C7"/>
    <w:pPr>
      <w:spacing w:before="120" w:line="520" w:lineRule="exact"/>
      <w:ind w:left="2268"/>
      <w:jc w:val="right"/>
    </w:pPr>
    <w:rPr>
      <w:rFonts w:ascii="Century Gothic" w:hAnsi="Century Gothic"/>
      <w:b/>
      <w:color w:val="808080" w:themeColor="background1" w:themeShade="80"/>
      <w:sz w:val="52"/>
      <w:lang w:eastAsia="en-US"/>
    </w:rPr>
  </w:style>
  <w:style w:type="paragraph" w:customStyle="1" w:styleId="Contents">
    <w:name w:val="Contents"/>
    <w:basedOn w:val="BodyText"/>
    <w:next w:val="BodyText"/>
    <w:rsid w:val="00C249C7"/>
    <w:pPr>
      <w:pBdr>
        <w:bottom w:val="single" w:sz="4" w:space="1" w:color="A6A6A6" w:themeColor="background1" w:themeShade="A6"/>
      </w:pBdr>
      <w:tabs>
        <w:tab w:val="left" w:pos="0"/>
      </w:tabs>
      <w:spacing w:before="200" w:after="200" w:line="240" w:lineRule="auto"/>
      <w:jc w:val="center"/>
      <w:outlineLvl w:val="3"/>
    </w:pPr>
    <w:rPr>
      <w:rFonts w:ascii="Novecento UltraLight" w:hAnsi="Novecento UltraLight"/>
      <w:spacing w:val="460"/>
      <w:sz w:val="66"/>
      <w:szCs w:val="52"/>
    </w:rPr>
  </w:style>
  <w:style w:type="paragraph" w:styleId="TOC1">
    <w:name w:val="toc 1"/>
    <w:basedOn w:val="BodyText"/>
    <w:next w:val="TOC2"/>
    <w:autoRedefine/>
    <w:uiPriority w:val="39"/>
    <w:rsid w:val="009949E9"/>
    <w:pPr>
      <w:pBdr>
        <w:top w:val="single" w:sz="6" w:space="1" w:color="BFBFBF" w:themeColor="background1" w:themeShade="BF"/>
      </w:pBdr>
      <w:tabs>
        <w:tab w:val="left" w:pos="340"/>
        <w:tab w:val="right" w:pos="7371"/>
      </w:tabs>
      <w:spacing w:before="300"/>
      <w:ind w:left="340" w:right="568" w:hanging="340"/>
    </w:pPr>
    <w:rPr>
      <w:rFonts w:asciiTheme="majorHAnsi" w:hAnsiTheme="majorHAnsi"/>
      <w:b/>
      <w:noProof/>
      <w:color w:val="9757A6"/>
    </w:rPr>
  </w:style>
  <w:style w:type="paragraph" w:styleId="TOC2">
    <w:name w:val="toc 2"/>
    <w:autoRedefine/>
    <w:uiPriority w:val="39"/>
    <w:rsid w:val="009949E9"/>
    <w:pPr>
      <w:tabs>
        <w:tab w:val="left" w:pos="794"/>
        <w:tab w:val="right" w:pos="7371"/>
      </w:tabs>
      <w:spacing w:before="60"/>
      <w:ind w:left="794" w:right="568" w:hanging="454"/>
    </w:pPr>
    <w:rPr>
      <w:rFonts w:asciiTheme="majorHAnsi" w:hAnsiTheme="majorHAnsi"/>
      <w:noProof/>
      <w:sz w:val="22"/>
      <w:lang w:eastAsia="en-AU"/>
    </w:rPr>
  </w:style>
  <w:style w:type="paragraph" w:customStyle="1" w:styleId="Continued">
    <w:name w:val="Continued"/>
    <w:basedOn w:val="BoxContinued"/>
    <w:next w:val="BodyText"/>
    <w:uiPriority w:val="5"/>
    <w:semiHidden/>
    <w:rsid w:val="00C249C7"/>
    <w:pPr>
      <w:spacing w:before="40"/>
      <w:jc w:val="left"/>
    </w:pPr>
    <w:rPr>
      <w:color w:val="000080"/>
      <w:sz w:val="18"/>
    </w:rPr>
  </w:style>
  <w:style w:type="character" w:customStyle="1" w:styleId="DraftingNote">
    <w:name w:val="Drafting Note"/>
    <w:basedOn w:val="DefaultParagraphFont"/>
    <w:uiPriority w:val="5"/>
    <w:rsid w:val="00C249C7"/>
    <w:rPr>
      <w:rFonts w:asciiTheme="minorHAnsi" w:hAnsiTheme="minorHAnsi"/>
      <w:b/>
      <w:color w:val="FF0000"/>
      <w:szCs w:val="20"/>
      <w:u w:val="dotted"/>
    </w:rPr>
  </w:style>
  <w:style w:type="paragraph" w:customStyle="1" w:styleId="Figure">
    <w:name w:val="Figure"/>
    <w:basedOn w:val="BodyText"/>
    <w:rsid w:val="00C249C7"/>
    <w:pPr>
      <w:keepNext/>
      <w:spacing w:before="60" w:line="240" w:lineRule="auto"/>
      <w:jc w:val="center"/>
    </w:pPr>
    <w:rPr>
      <w:sz w:val="18"/>
      <w:szCs w:val="20"/>
      <w:lang w:eastAsia="en-US"/>
    </w:rPr>
  </w:style>
  <w:style w:type="character" w:styleId="FootnoteReference">
    <w:name w:val="footnote reference"/>
    <w:basedOn w:val="DefaultParagraphFont"/>
    <w:rsid w:val="00C249C7"/>
    <w:rPr>
      <w:rFonts w:asciiTheme="minorHAnsi" w:hAnsiTheme="minorHAnsi"/>
      <w:position w:val="0"/>
      <w:vertAlign w:val="superscript"/>
    </w:rPr>
  </w:style>
  <w:style w:type="paragraph" w:styleId="FootnoteText">
    <w:name w:val="footnote text"/>
    <w:basedOn w:val="BodyText"/>
    <w:link w:val="FootnoteTextChar"/>
    <w:rsid w:val="00C249C7"/>
    <w:pPr>
      <w:spacing w:before="80" w:line="240" w:lineRule="auto"/>
      <w:ind w:left="227" w:hanging="227"/>
    </w:pPr>
    <w:rPr>
      <w:sz w:val="16"/>
    </w:rPr>
  </w:style>
  <w:style w:type="paragraph" w:customStyle="1" w:styleId="Heading1nonumber">
    <w:name w:val="Heading 1 (no number)"/>
    <w:basedOn w:val="BodyText"/>
    <w:next w:val="BodyText"/>
    <w:qFormat/>
    <w:rsid w:val="00A0209B"/>
    <w:pPr>
      <w:keepNext/>
      <w:spacing w:before="200" w:after="60" w:line="420" w:lineRule="exact"/>
      <w:outlineLvl w:val="0"/>
    </w:pPr>
    <w:rPr>
      <w:rFonts w:asciiTheme="majorHAnsi" w:hAnsiTheme="majorHAnsi"/>
      <w:b/>
      <w:color w:val="9757A6" w:themeColor="text2"/>
      <w:kern w:val="28"/>
      <w:sz w:val="36"/>
    </w:rPr>
  </w:style>
  <w:style w:type="paragraph" w:customStyle="1" w:styleId="Heading2nonumber">
    <w:name w:val="Heading 2 (no number)"/>
    <w:basedOn w:val="Heading2"/>
    <w:next w:val="BodyText"/>
    <w:qFormat/>
    <w:rsid w:val="00C249C7"/>
    <w:pPr>
      <w:numPr>
        <w:ilvl w:val="0"/>
        <w:numId w:val="0"/>
      </w:numPr>
    </w:pPr>
  </w:style>
  <w:style w:type="paragraph" w:customStyle="1" w:styleId="Heading3nonumber">
    <w:name w:val="Heading 3 (no number)"/>
    <w:basedOn w:val="Heading3"/>
    <w:next w:val="BodyText"/>
    <w:qFormat/>
    <w:rsid w:val="00C249C7"/>
    <w:pPr>
      <w:numPr>
        <w:ilvl w:val="0"/>
        <w:numId w:val="0"/>
      </w:numPr>
    </w:pPr>
  </w:style>
  <w:style w:type="paragraph" w:customStyle="1" w:styleId="Heading8nonumber">
    <w:name w:val="Heading 8 (no number)"/>
    <w:basedOn w:val="Heading8"/>
    <w:next w:val="BodyText"/>
    <w:qFormat/>
    <w:rsid w:val="00C249C7"/>
    <w:pPr>
      <w:numPr>
        <w:ilvl w:val="0"/>
        <w:numId w:val="0"/>
      </w:numPr>
      <w:outlineLvl w:val="1"/>
    </w:pPr>
  </w:style>
  <w:style w:type="paragraph" w:customStyle="1" w:styleId="Heading9nonumber">
    <w:name w:val="Heading 9 (no number)"/>
    <w:basedOn w:val="Heading9"/>
    <w:next w:val="BodyText"/>
    <w:qFormat/>
    <w:rsid w:val="00C249C7"/>
    <w:pPr>
      <w:numPr>
        <w:ilvl w:val="0"/>
        <w:numId w:val="0"/>
      </w:numPr>
      <w:outlineLvl w:val="2"/>
    </w:pPr>
  </w:style>
  <w:style w:type="paragraph" w:customStyle="1" w:styleId="Invisiblepara">
    <w:name w:val="Invisible para"/>
    <w:basedOn w:val="Normal"/>
    <w:semiHidden/>
    <w:rsid w:val="00C249C7"/>
    <w:pPr>
      <w:keepNext/>
      <w:spacing w:before="0" w:line="240" w:lineRule="auto"/>
    </w:pPr>
    <w:rPr>
      <w:sz w:val="16"/>
    </w:rPr>
  </w:style>
  <w:style w:type="paragraph" w:styleId="ListBullet3">
    <w:name w:val="List Bullet 3"/>
    <w:basedOn w:val="ListBullet2"/>
    <w:uiPriority w:val="2"/>
    <w:qFormat/>
    <w:rsid w:val="00C249C7"/>
    <w:pPr>
      <w:numPr>
        <w:ilvl w:val="2"/>
      </w:numPr>
    </w:pPr>
  </w:style>
  <w:style w:type="paragraph" w:styleId="ListNumber">
    <w:name w:val="List Number"/>
    <w:basedOn w:val="ListBullet"/>
    <w:uiPriority w:val="2"/>
    <w:qFormat/>
    <w:rsid w:val="00013650"/>
    <w:pPr>
      <w:numPr>
        <w:numId w:val="41"/>
      </w:numPr>
    </w:pPr>
  </w:style>
  <w:style w:type="paragraph" w:customStyle="1" w:styleId="Note">
    <w:name w:val="Note"/>
    <w:next w:val="BodyText"/>
    <w:rsid w:val="009949E9"/>
    <w:pPr>
      <w:keepNext/>
      <w:keepLines/>
      <w:spacing w:before="40" w:line="180" w:lineRule="exact"/>
    </w:pPr>
    <w:rPr>
      <w:rFonts w:ascii="Arial" w:hAnsi="Arial"/>
      <w:sz w:val="16"/>
      <w:lang w:eastAsia="en-US"/>
    </w:rPr>
  </w:style>
  <w:style w:type="character" w:customStyle="1" w:styleId="Notelabel">
    <w:name w:val="Note label"/>
    <w:basedOn w:val="DefaultParagraphFont"/>
    <w:rsid w:val="009949E9"/>
    <w:rPr>
      <w:rFonts w:ascii="Arial" w:hAnsi="Arial"/>
      <w:b/>
      <w:color w:val="auto"/>
      <w:vertAlign w:val="superscript"/>
    </w:rPr>
  </w:style>
  <w:style w:type="character" w:customStyle="1" w:styleId="NoteLabelTable">
    <w:name w:val="Note Label Table"/>
    <w:basedOn w:val="DefaultParagraphFont"/>
    <w:uiPriority w:val="5"/>
    <w:rsid w:val="00C249C7"/>
    <w:rPr>
      <w:rFonts w:asciiTheme="minorHAnsi" w:hAnsiTheme="minorHAnsi"/>
      <w:b/>
      <w:color w:val="auto"/>
      <w:position w:val="6"/>
      <w:sz w:val="14"/>
    </w:rPr>
  </w:style>
  <w:style w:type="character" w:styleId="PageNumber">
    <w:name w:val="page number"/>
    <w:rsid w:val="00C249C7"/>
    <w:rPr>
      <w:rFonts w:ascii="Arial Narrow" w:eastAsia="Calibri" w:hAnsi="Arial Narrow"/>
      <w:sz w:val="24"/>
      <w:szCs w:val="28"/>
    </w:rPr>
  </w:style>
  <w:style w:type="paragraph" w:styleId="Quote">
    <w:name w:val="Quote"/>
    <w:basedOn w:val="BodyText"/>
    <w:next w:val="BodyText"/>
    <w:uiPriority w:val="4"/>
    <w:qFormat/>
    <w:rsid w:val="00C249C7"/>
    <w:pPr>
      <w:spacing w:before="60" w:after="60" w:line="220" w:lineRule="exact"/>
      <w:ind w:left="567" w:right="567"/>
    </w:pPr>
    <w:rPr>
      <w:sz w:val="18"/>
    </w:rPr>
  </w:style>
  <w:style w:type="paragraph" w:customStyle="1" w:styleId="SideNote">
    <w:name w:val="Side Note"/>
    <w:basedOn w:val="BodyText"/>
    <w:next w:val="BodyText"/>
    <w:uiPriority w:val="2"/>
    <w:rsid w:val="009949E9"/>
    <w:pPr>
      <w:keepNext/>
      <w:framePr w:w="2268" w:hSpace="284" w:vSpace="181" w:wrap="around" w:vAnchor="text" w:hAnchor="margin" w:x="-2551" w:y="1"/>
      <w:spacing w:before="60" w:after="40" w:line="220" w:lineRule="exact"/>
    </w:pPr>
    <w:rPr>
      <w:rFonts w:asciiTheme="majorHAnsi" w:hAnsiTheme="majorHAnsi"/>
      <w:b/>
      <w:color w:val="9757A6"/>
      <w:sz w:val="16"/>
    </w:rPr>
  </w:style>
  <w:style w:type="paragraph" w:customStyle="1" w:styleId="SideDash">
    <w:name w:val="Side Dash"/>
    <w:basedOn w:val="SideNote"/>
    <w:next w:val="BodyText"/>
    <w:uiPriority w:val="2"/>
    <w:qFormat/>
    <w:rsid w:val="00C249C7"/>
    <w:pPr>
      <w:framePr w:wrap="around"/>
      <w:numPr>
        <w:numId w:val="9"/>
      </w:numPr>
    </w:pPr>
  </w:style>
  <w:style w:type="paragraph" w:customStyle="1" w:styleId="Source">
    <w:name w:val="Source"/>
    <w:basedOn w:val="BodyText"/>
    <w:next w:val="BodyText"/>
    <w:rsid w:val="009949E9"/>
    <w:pPr>
      <w:pBdr>
        <w:bottom w:val="single" w:sz="2" w:space="1" w:color="C0C0C0"/>
      </w:pBdr>
      <w:spacing w:before="40" w:after="60" w:line="180" w:lineRule="exact"/>
    </w:pPr>
    <w:rPr>
      <w:rFonts w:ascii="Arial" w:hAnsi="Arial"/>
      <w:sz w:val="16"/>
      <w:szCs w:val="14"/>
    </w:rPr>
  </w:style>
  <w:style w:type="paragraph" w:customStyle="1" w:styleId="PageNumberLandscape">
    <w:name w:val="Page Number Landscape"/>
    <w:basedOn w:val="Normal"/>
    <w:link w:val="PageNumberLandscapeChar"/>
    <w:semiHidden/>
    <w:rsid w:val="00C249C7"/>
    <w:pPr>
      <w:jc w:val="right"/>
    </w:pPr>
  </w:style>
  <w:style w:type="paragraph" w:customStyle="1" w:styleId="Tablebody">
    <w:name w:val="Table body"/>
    <w:uiPriority w:val="3"/>
    <w:qFormat/>
    <w:rsid w:val="00C249C7"/>
    <w:pPr>
      <w:keepNext/>
      <w:keepLines/>
      <w:spacing w:before="40" w:after="40" w:line="240" w:lineRule="auto"/>
    </w:pPr>
    <w:rPr>
      <w:rFonts w:asciiTheme="minorHAnsi" w:hAnsiTheme="minorHAnsi"/>
      <w:color w:val="000000"/>
      <w:sz w:val="18"/>
      <w:lang w:eastAsia="en-US"/>
    </w:rPr>
  </w:style>
  <w:style w:type="paragraph" w:customStyle="1" w:styleId="Tablecolumnheadings">
    <w:name w:val="Table column headings"/>
    <w:uiPriority w:val="3"/>
    <w:qFormat/>
    <w:rsid w:val="00C249C7"/>
    <w:pPr>
      <w:keepNext/>
      <w:spacing w:before="60" w:after="60" w:line="220" w:lineRule="exact"/>
    </w:pPr>
    <w:rPr>
      <w:rFonts w:asciiTheme="majorHAnsi" w:hAnsiTheme="majorHAnsi"/>
      <w:color w:val="FFFFFF" w:themeColor="background1"/>
      <w:sz w:val="16"/>
      <w:szCs w:val="16"/>
      <w:lang w:eastAsia="en-US"/>
    </w:rPr>
  </w:style>
  <w:style w:type="paragraph" w:customStyle="1" w:styleId="Tablecontinued">
    <w:name w:val="Table continued"/>
    <w:basedOn w:val="Note"/>
    <w:next w:val="BodyText"/>
    <w:uiPriority w:val="4"/>
    <w:semiHidden/>
    <w:rsid w:val="00C249C7"/>
    <w:pPr>
      <w:spacing w:after="120" w:line="220" w:lineRule="exact"/>
      <w:jc w:val="right"/>
    </w:pPr>
  </w:style>
  <w:style w:type="paragraph" w:customStyle="1" w:styleId="Tablesideheading1">
    <w:name w:val="Table side heading 1"/>
    <w:basedOn w:val="Tablebody"/>
    <w:next w:val="Tabletext"/>
    <w:uiPriority w:val="3"/>
    <w:rsid w:val="009949E9"/>
    <w:rPr>
      <w:rFonts w:ascii="Arial" w:hAnsi="Arial"/>
      <w:b/>
      <w:color w:val="auto"/>
      <w:sz w:val="16"/>
      <w:szCs w:val="16"/>
    </w:rPr>
  </w:style>
  <w:style w:type="paragraph" w:customStyle="1" w:styleId="Tablesideheading2">
    <w:name w:val="Table side heading 2"/>
    <w:basedOn w:val="Tablesideheading1"/>
    <w:next w:val="Tabletext"/>
    <w:uiPriority w:val="3"/>
    <w:rsid w:val="009949E9"/>
    <w:rPr>
      <w:b w:val="0"/>
      <w:i/>
    </w:rPr>
  </w:style>
  <w:style w:type="paragraph" w:customStyle="1" w:styleId="Tablelistbullet">
    <w:name w:val="Table list bullet"/>
    <w:uiPriority w:val="3"/>
    <w:rsid w:val="00F35F6B"/>
    <w:pPr>
      <w:numPr>
        <w:numId w:val="38"/>
      </w:numPr>
      <w:spacing w:before="40" w:after="40" w:line="240" w:lineRule="auto"/>
    </w:pPr>
    <w:rPr>
      <w:rFonts w:ascii="Arial" w:hAnsi="Arial"/>
      <w:color w:val="000000"/>
      <w:sz w:val="16"/>
      <w:lang w:eastAsia="en-US"/>
    </w:rPr>
  </w:style>
  <w:style w:type="paragraph" w:customStyle="1" w:styleId="Tablelistbullet2">
    <w:name w:val="Table list bullet 2"/>
    <w:basedOn w:val="Tablebody"/>
    <w:uiPriority w:val="3"/>
    <w:rsid w:val="00F35F6B"/>
    <w:pPr>
      <w:numPr>
        <w:ilvl w:val="1"/>
        <w:numId w:val="38"/>
      </w:numPr>
    </w:pPr>
    <w:rPr>
      <w:rFonts w:ascii="Arial" w:hAnsi="Arial"/>
      <w:sz w:val="16"/>
    </w:rPr>
  </w:style>
  <w:style w:type="paragraph" w:customStyle="1" w:styleId="Tablelistnumber">
    <w:name w:val="Table list number"/>
    <w:uiPriority w:val="3"/>
    <w:rsid w:val="00520ED6"/>
    <w:pPr>
      <w:numPr>
        <w:numId w:val="25"/>
      </w:numPr>
      <w:spacing w:before="40" w:after="40" w:line="240" w:lineRule="auto"/>
    </w:pPr>
    <w:rPr>
      <w:rFonts w:ascii="Arial" w:hAnsi="Arial"/>
      <w:color w:val="000000"/>
      <w:sz w:val="16"/>
      <w:lang w:eastAsia="en-US"/>
    </w:rPr>
  </w:style>
  <w:style w:type="paragraph" w:styleId="TableofFigures">
    <w:name w:val="table of figures"/>
    <w:basedOn w:val="BodyText"/>
    <w:next w:val="BodyText"/>
    <w:autoRedefine/>
    <w:uiPriority w:val="99"/>
    <w:rsid w:val="009949E9"/>
    <w:pPr>
      <w:tabs>
        <w:tab w:val="left" w:pos="1021"/>
        <w:tab w:val="right" w:pos="7371"/>
      </w:tabs>
      <w:spacing w:before="40" w:line="240" w:lineRule="auto"/>
      <w:ind w:left="1021" w:right="680" w:hanging="1021"/>
    </w:pPr>
    <w:rPr>
      <w:rFonts w:asciiTheme="majorHAnsi" w:hAnsiTheme="majorHAnsi"/>
      <w:sz w:val="18"/>
    </w:rPr>
  </w:style>
  <w:style w:type="paragraph" w:customStyle="1" w:styleId="Tableunitsrow">
    <w:name w:val="Table units row"/>
    <w:basedOn w:val="Tablecolumnheadings"/>
    <w:uiPriority w:val="3"/>
    <w:rsid w:val="009949E9"/>
    <w:pPr>
      <w:spacing w:before="40"/>
    </w:pPr>
    <w:rPr>
      <w:color w:val="auto"/>
    </w:rPr>
  </w:style>
  <w:style w:type="paragraph" w:styleId="TOC3">
    <w:name w:val="toc 3"/>
    <w:basedOn w:val="TOC2"/>
    <w:next w:val="BodyText"/>
    <w:autoRedefine/>
    <w:uiPriority w:val="39"/>
    <w:rsid w:val="009949E9"/>
    <w:pPr>
      <w:tabs>
        <w:tab w:val="clear" w:pos="794"/>
        <w:tab w:val="left" w:pos="1361"/>
      </w:tabs>
      <w:ind w:left="1361" w:hanging="567"/>
    </w:pPr>
  </w:style>
  <w:style w:type="paragraph" w:customStyle="1" w:styleId="Footerlandscape">
    <w:name w:val="Footer landscape"/>
    <w:basedOn w:val="PageNumberLandscape"/>
    <w:semiHidden/>
    <w:rsid w:val="00C249C7"/>
    <w:pPr>
      <w:framePr w:wrap="around" w:hAnchor="text"/>
      <w:jc w:val="left"/>
    </w:pPr>
  </w:style>
  <w:style w:type="character" w:customStyle="1" w:styleId="PlaceholderTitle">
    <w:name w:val="Placeholder Title"/>
    <w:rsid w:val="00C249C7"/>
    <w:rPr>
      <w:b/>
      <w:color w:val="000000"/>
    </w:rPr>
  </w:style>
  <w:style w:type="paragraph" w:customStyle="1" w:styleId="Reference">
    <w:name w:val="Reference"/>
    <w:basedOn w:val="BodyText"/>
    <w:uiPriority w:val="99"/>
    <w:rsid w:val="00C249C7"/>
    <w:pPr>
      <w:spacing w:before="100" w:line="240" w:lineRule="auto"/>
      <w:ind w:left="340" w:hanging="340"/>
    </w:pPr>
    <w:rPr>
      <w:sz w:val="21"/>
    </w:rPr>
  </w:style>
  <w:style w:type="paragraph" w:styleId="ListNumber2">
    <w:name w:val="List Number 2"/>
    <w:basedOn w:val="ListNumber"/>
    <w:uiPriority w:val="2"/>
    <w:rsid w:val="00013650"/>
    <w:pPr>
      <w:numPr>
        <w:ilvl w:val="1"/>
      </w:numPr>
      <w:spacing w:before="40" w:after="40" w:line="260" w:lineRule="exact"/>
    </w:pPr>
  </w:style>
  <w:style w:type="paragraph" w:customStyle="1" w:styleId="LastBoxRow">
    <w:name w:val="LastBoxRow"/>
    <w:basedOn w:val="BoxText"/>
    <w:uiPriority w:val="99"/>
    <w:semiHidden/>
    <w:rsid w:val="00C249C7"/>
    <w:rPr>
      <w:sz w:val="8"/>
      <w:szCs w:val="8"/>
    </w:rPr>
  </w:style>
  <w:style w:type="paragraph" w:styleId="BodyText3">
    <w:name w:val="Body Text 3"/>
    <w:basedOn w:val="Normal"/>
    <w:semiHidden/>
    <w:rsid w:val="00C249C7"/>
    <w:rPr>
      <w:sz w:val="16"/>
    </w:rPr>
  </w:style>
  <w:style w:type="paragraph" w:styleId="ListBullet4">
    <w:name w:val="List Bullet 4"/>
    <w:basedOn w:val="Normal"/>
    <w:semiHidden/>
    <w:rsid w:val="00C249C7"/>
    <w:pPr>
      <w:numPr>
        <w:numId w:val="2"/>
      </w:numPr>
    </w:pPr>
  </w:style>
  <w:style w:type="paragraph" w:styleId="ListBullet5">
    <w:name w:val="List Bullet 5"/>
    <w:basedOn w:val="Normal"/>
    <w:semiHidden/>
    <w:rsid w:val="00C249C7"/>
    <w:pPr>
      <w:numPr>
        <w:numId w:val="3"/>
      </w:numPr>
    </w:pPr>
  </w:style>
  <w:style w:type="paragraph" w:customStyle="1" w:styleId="BoxListNumber2">
    <w:name w:val="Box List Number 2"/>
    <w:basedOn w:val="BoxListNumber"/>
    <w:uiPriority w:val="4"/>
    <w:rsid w:val="00C249C7"/>
    <w:pPr>
      <w:numPr>
        <w:ilvl w:val="1"/>
      </w:numPr>
    </w:pPr>
  </w:style>
  <w:style w:type="paragraph" w:customStyle="1" w:styleId="SideNoteopListBullet">
    <w:name w:val="Side Note op List Bullet"/>
    <w:basedOn w:val="SideNote"/>
    <w:uiPriority w:val="2"/>
    <w:rsid w:val="00C249C7"/>
    <w:pPr>
      <w:framePr w:wrap="around"/>
    </w:pPr>
  </w:style>
  <w:style w:type="paragraph" w:customStyle="1" w:styleId="OfficeAddress">
    <w:name w:val="OfficeAddress"/>
    <w:autoRedefine/>
    <w:semiHidden/>
    <w:rsid w:val="00C249C7"/>
    <w:pPr>
      <w:spacing w:before="0" w:line="240" w:lineRule="auto"/>
      <w:ind w:right="-291"/>
    </w:pPr>
    <w:rPr>
      <w:sz w:val="16"/>
      <w:szCs w:val="20"/>
      <w:lang w:eastAsia="en-AU"/>
    </w:rPr>
  </w:style>
  <w:style w:type="paragraph" w:customStyle="1" w:styleId="OfficeContact">
    <w:name w:val="OfficeContact"/>
    <w:autoRedefine/>
    <w:semiHidden/>
    <w:rsid w:val="00C249C7"/>
    <w:pPr>
      <w:spacing w:before="60" w:line="240" w:lineRule="auto"/>
    </w:pPr>
    <w:rPr>
      <w:sz w:val="16"/>
      <w:szCs w:val="20"/>
      <w:lang w:eastAsia="en-AU"/>
    </w:rPr>
  </w:style>
  <w:style w:type="paragraph" w:customStyle="1" w:styleId="OfficeEmail">
    <w:name w:val="OfficeEmail"/>
    <w:basedOn w:val="OfficeAddress"/>
    <w:autoRedefine/>
    <w:semiHidden/>
    <w:rsid w:val="00C249C7"/>
  </w:style>
  <w:style w:type="paragraph" w:styleId="BalloonText">
    <w:name w:val="Balloon Text"/>
    <w:basedOn w:val="Normal"/>
    <w:semiHidden/>
    <w:rsid w:val="00C249C7"/>
    <w:rPr>
      <w:rFonts w:ascii="Tahoma" w:hAnsi="Tahoma" w:cs="Tahoma"/>
      <w:sz w:val="16"/>
      <w:szCs w:val="16"/>
    </w:rPr>
  </w:style>
  <w:style w:type="paragraph" w:styleId="CommentSubject">
    <w:name w:val="annotation subject"/>
    <w:basedOn w:val="CommentText"/>
    <w:next w:val="CommentText"/>
    <w:semiHidden/>
    <w:rsid w:val="00C249C7"/>
    <w:pPr>
      <w:spacing w:before="0" w:line="240" w:lineRule="auto"/>
      <w:ind w:left="0" w:firstLine="0"/>
    </w:pPr>
    <w:rPr>
      <w:rFonts w:ascii="Garamond" w:hAnsi="Garamond"/>
      <w:b/>
      <w:bCs/>
      <w:sz w:val="20"/>
    </w:rPr>
  </w:style>
  <w:style w:type="paragraph" w:styleId="DocumentMap">
    <w:name w:val="Document Map"/>
    <w:basedOn w:val="Normal"/>
    <w:semiHidden/>
    <w:rsid w:val="00C249C7"/>
    <w:pPr>
      <w:shd w:val="clear" w:color="auto" w:fill="000080"/>
    </w:pPr>
    <w:rPr>
      <w:rFonts w:ascii="Tahoma" w:hAnsi="Tahoma" w:cs="Tahoma"/>
    </w:rPr>
  </w:style>
  <w:style w:type="character" w:styleId="EndnoteReference">
    <w:name w:val="endnote reference"/>
    <w:basedOn w:val="DefaultParagraphFont"/>
    <w:semiHidden/>
    <w:rsid w:val="00C249C7"/>
    <w:rPr>
      <w:vertAlign w:val="superscript"/>
    </w:rPr>
  </w:style>
  <w:style w:type="paragraph" w:styleId="EndnoteText">
    <w:name w:val="endnote text"/>
    <w:semiHidden/>
    <w:rsid w:val="00C249C7"/>
    <w:rPr>
      <w:lang w:eastAsia="en-US"/>
    </w:rPr>
  </w:style>
  <w:style w:type="paragraph" w:styleId="Index1">
    <w:name w:val="index 1"/>
    <w:basedOn w:val="Normal"/>
    <w:next w:val="Normal"/>
    <w:autoRedefine/>
    <w:uiPriority w:val="99"/>
    <w:semiHidden/>
    <w:rsid w:val="00C249C7"/>
    <w:pPr>
      <w:ind w:left="240" w:hanging="240"/>
    </w:pPr>
  </w:style>
  <w:style w:type="paragraph" w:styleId="Index2">
    <w:name w:val="index 2"/>
    <w:basedOn w:val="Normal"/>
    <w:next w:val="Normal"/>
    <w:autoRedefine/>
    <w:uiPriority w:val="99"/>
    <w:semiHidden/>
    <w:rsid w:val="00C249C7"/>
    <w:pPr>
      <w:ind w:left="480" w:hanging="240"/>
    </w:pPr>
  </w:style>
  <w:style w:type="paragraph" w:styleId="Index3">
    <w:name w:val="index 3"/>
    <w:basedOn w:val="Normal"/>
    <w:next w:val="Normal"/>
    <w:autoRedefine/>
    <w:uiPriority w:val="99"/>
    <w:semiHidden/>
    <w:rsid w:val="00C249C7"/>
    <w:pPr>
      <w:ind w:left="720" w:hanging="240"/>
    </w:pPr>
  </w:style>
  <w:style w:type="paragraph" w:styleId="Index4">
    <w:name w:val="index 4"/>
    <w:basedOn w:val="Normal"/>
    <w:next w:val="Normal"/>
    <w:autoRedefine/>
    <w:uiPriority w:val="99"/>
    <w:semiHidden/>
    <w:rsid w:val="00C249C7"/>
    <w:pPr>
      <w:ind w:left="960" w:hanging="240"/>
    </w:pPr>
  </w:style>
  <w:style w:type="paragraph" w:styleId="Index5">
    <w:name w:val="index 5"/>
    <w:basedOn w:val="Normal"/>
    <w:next w:val="Normal"/>
    <w:autoRedefine/>
    <w:semiHidden/>
    <w:rsid w:val="00C249C7"/>
    <w:pPr>
      <w:ind w:left="1200" w:hanging="240"/>
    </w:pPr>
  </w:style>
  <w:style w:type="paragraph" w:styleId="Index6">
    <w:name w:val="index 6"/>
    <w:basedOn w:val="Normal"/>
    <w:next w:val="Normal"/>
    <w:autoRedefine/>
    <w:semiHidden/>
    <w:rsid w:val="00C249C7"/>
    <w:pPr>
      <w:ind w:left="1440" w:hanging="240"/>
    </w:pPr>
  </w:style>
  <w:style w:type="paragraph" w:styleId="Index7">
    <w:name w:val="index 7"/>
    <w:basedOn w:val="Normal"/>
    <w:next w:val="Normal"/>
    <w:autoRedefine/>
    <w:semiHidden/>
    <w:rsid w:val="00C249C7"/>
    <w:pPr>
      <w:ind w:left="1680" w:hanging="240"/>
    </w:pPr>
  </w:style>
  <w:style w:type="paragraph" w:styleId="Index8">
    <w:name w:val="index 8"/>
    <w:basedOn w:val="Normal"/>
    <w:next w:val="Normal"/>
    <w:autoRedefine/>
    <w:semiHidden/>
    <w:rsid w:val="00C249C7"/>
    <w:pPr>
      <w:ind w:left="1920" w:hanging="240"/>
    </w:pPr>
  </w:style>
  <w:style w:type="paragraph" w:styleId="Index9">
    <w:name w:val="index 9"/>
    <w:basedOn w:val="Normal"/>
    <w:next w:val="Normal"/>
    <w:autoRedefine/>
    <w:semiHidden/>
    <w:rsid w:val="00C249C7"/>
    <w:pPr>
      <w:ind w:left="2160" w:hanging="240"/>
    </w:pPr>
  </w:style>
  <w:style w:type="paragraph" w:styleId="IndexHeading">
    <w:name w:val="index heading"/>
    <w:basedOn w:val="Normal"/>
    <w:next w:val="Index1"/>
    <w:uiPriority w:val="99"/>
    <w:semiHidden/>
    <w:rsid w:val="00C249C7"/>
    <w:rPr>
      <w:rFonts w:ascii="Arial" w:hAnsi="Arial" w:cs="Arial"/>
      <w:b/>
      <w:bCs/>
    </w:rPr>
  </w:style>
  <w:style w:type="paragraph" w:styleId="MacroText">
    <w:name w:val="macro"/>
    <w:semiHidden/>
    <w:rsid w:val="00C249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AU"/>
    </w:rPr>
  </w:style>
  <w:style w:type="paragraph" w:styleId="TableofAuthorities">
    <w:name w:val="table of authorities"/>
    <w:next w:val="Normal"/>
    <w:uiPriority w:val="99"/>
    <w:rsid w:val="00C249C7"/>
    <w:pPr>
      <w:ind w:left="240" w:hanging="240"/>
    </w:pPr>
    <w:rPr>
      <w:rFonts w:asciiTheme="minorHAnsi" w:hAnsiTheme="minorHAnsi"/>
      <w:lang w:eastAsia="en-US"/>
    </w:rPr>
  </w:style>
  <w:style w:type="paragraph" w:styleId="TOAHeading">
    <w:name w:val="toa heading"/>
    <w:basedOn w:val="Normal"/>
    <w:next w:val="Normal"/>
    <w:autoRedefine/>
    <w:rsid w:val="00C249C7"/>
    <w:rPr>
      <w:rFonts w:asciiTheme="majorHAnsi" w:hAnsiTheme="majorHAnsi" w:cs="Arial"/>
      <w:b/>
      <w:bCs/>
      <w:sz w:val="20"/>
    </w:rPr>
  </w:style>
  <w:style w:type="paragraph" w:styleId="TOC4">
    <w:name w:val="toc 4"/>
    <w:basedOn w:val="Normal"/>
    <w:next w:val="Normal"/>
    <w:autoRedefine/>
    <w:uiPriority w:val="11"/>
    <w:rsid w:val="009949E9"/>
    <w:pPr>
      <w:ind w:left="720"/>
    </w:pPr>
    <w:rPr>
      <w:rFonts w:asciiTheme="majorHAnsi" w:hAnsiTheme="majorHAnsi"/>
    </w:rPr>
  </w:style>
  <w:style w:type="paragraph" w:styleId="TOC5">
    <w:name w:val="toc 5"/>
    <w:basedOn w:val="Normal"/>
    <w:next w:val="Normal"/>
    <w:autoRedefine/>
    <w:uiPriority w:val="39"/>
    <w:rsid w:val="00F77AB7"/>
    <w:pPr>
      <w:tabs>
        <w:tab w:val="right" w:pos="7362"/>
      </w:tabs>
      <w:spacing w:before="600" w:after="0" w:line="260" w:lineRule="exact"/>
    </w:pPr>
    <w:rPr>
      <w:rFonts w:asciiTheme="majorHAnsi" w:hAnsiTheme="majorHAnsi"/>
      <w:b/>
      <w:smallCaps/>
      <w:noProof/>
      <w:color w:val="9757A6" w:themeColor="text2"/>
    </w:rPr>
  </w:style>
  <w:style w:type="paragraph" w:styleId="TOC6">
    <w:name w:val="toc 6"/>
    <w:basedOn w:val="Normal"/>
    <w:next w:val="Normal"/>
    <w:autoRedefine/>
    <w:uiPriority w:val="39"/>
    <w:rsid w:val="009949E9"/>
    <w:pPr>
      <w:tabs>
        <w:tab w:val="right" w:pos="7371"/>
      </w:tabs>
      <w:ind w:right="568"/>
    </w:pPr>
    <w:rPr>
      <w:rFonts w:asciiTheme="majorHAnsi" w:hAnsiTheme="majorHAnsi"/>
      <w:sz w:val="22"/>
    </w:rPr>
  </w:style>
  <w:style w:type="paragraph" w:styleId="TOC7">
    <w:name w:val="toc 7"/>
    <w:basedOn w:val="Normal"/>
    <w:next w:val="Normal"/>
    <w:autoRedefine/>
    <w:uiPriority w:val="39"/>
    <w:rsid w:val="009949E9"/>
    <w:pPr>
      <w:tabs>
        <w:tab w:val="right" w:pos="7371"/>
      </w:tabs>
      <w:ind w:left="1701" w:right="567" w:hanging="1701"/>
    </w:pPr>
    <w:rPr>
      <w:rFonts w:asciiTheme="majorHAnsi" w:hAnsiTheme="majorHAnsi"/>
      <w:noProof/>
      <w:sz w:val="22"/>
    </w:rPr>
  </w:style>
  <w:style w:type="paragraph" w:styleId="TOC8">
    <w:name w:val="toc 8"/>
    <w:basedOn w:val="Normal"/>
    <w:next w:val="Normal"/>
    <w:autoRedefine/>
    <w:uiPriority w:val="11"/>
    <w:rsid w:val="009949E9"/>
    <w:pPr>
      <w:tabs>
        <w:tab w:val="right" w:pos="7371"/>
      </w:tabs>
      <w:spacing w:before="500" w:after="0" w:line="260" w:lineRule="exact"/>
    </w:pPr>
    <w:rPr>
      <w:rFonts w:asciiTheme="majorHAnsi" w:hAnsiTheme="majorHAnsi"/>
      <w:b/>
      <w:noProof/>
      <w:color w:val="9757A6" w:themeColor="text2"/>
      <w:sz w:val="32"/>
    </w:rPr>
  </w:style>
  <w:style w:type="paragraph" w:styleId="TOC9">
    <w:name w:val="toc 9"/>
    <w:basedOn w:val="Normal"/>
    <w:next w:val="Normal"/>
    <w:autoRedefine/>
    <w:uiPriority w:val="39"/>
    <w:rsid w:val="009949E9"/>
    <w:pPr>
      <w:ind w:left="1920"/>
    </w:pPr>
    <w:rPr>
      <w:rFonts w:asciiTheme="majorHAnsi" w:hAnsiTheme="majorHAnsi"/>
      <w:sz w:val="52"/>
    </w:rPr>
  </w:style>
  <w:style w:type="numbering" w:styleId="ArticleSection">
    <w:name w:val="Outline List 3"/>
    <w:basedOn w:val="NoList"/>
    <w:semiHidden/>
    <w:rsid w:val="00C249C7"/>
    <w:pPr>
      <w:numPr>
        <w:numId w:val="8"/>
      </w:numPr>
    </w:pPr>
  </w:style>
  <w:style w:type="paragraph" w:styleId="BlockText">
    <w:name w:val="Block Text"/>
    <w:basedOn w:val="Normal"/>
    <w:semiHidden/>
    <w:rsid w:val="00C249C7"/>
    <w:pPr>
      <w:ind w:left="1440" w:right="1440"/>
    </w:pPr>
  </w:style>
  <w:style w:type="paragraph" w:styleId="BodyTextFirstIndent">
    <w:name w:val="Body Text First Indent"/>
    <w:basedOn w:val="BodyText"/>
    <w:semiHidden/>
    <w:rsid w:val="00C249C7"/>
    <w:pPr>
      <w:spacing w:before="0" w:line="240" w:lineRule="auto"/>
      <w:ind w:firstLine="210"/>
    </w:pPr>
  </w:style>
  <w:style w:type="paragraph" w:styleId="BodyTextIndent">
    <w:name w:val="Body Text Indent"/>
    <w:basedOn w:val="Normal"/>
    <w:semiHidden/>
    <w:rsid w:val="00C249C7"/>
    <w:pPr>
      <w:ind w:left="283"/>
    </w:pPr>
  </w:style>
  <w:style w:type="paragraph" w:styleId="BodyTextFirstIndent2">
    <w:name w:val="Body Text First Indent 2"/>
    <w:basedOn w:val="BodyTextIndent"/>
    <w:semiHidden/>
    <w:rsid w:val="00C249C7"/>
    <w:pPr>
      <w:ind w:firstLine="210"/>
    </w:pPr>
  </w:style>
  <w:style w:type="paragraph" w:styleId="BodyTextIndent2">
    <w:name w:val="Body Text Indent 2"/>
    <w:basedOn w:val="Normal"/>
    <w:semiHidden/>
    <w:rsid w:val="00C249C7"/>
    <w:pPr>
      <w:spacing w:line="480" w:lineRule="auto"/>
      <w:ind w:left="283"/>
    </w:pPr>
  </w:style>
  <w:style w:type="paragraph" w:styleId="BodyTextIndent3">
    <w:name w:val="Body Text Indent 3"/>
    <w:basedOn w:val="Normal"/>
    <w:semiHidden/>
    <w:rsid w:val="00C249C7"/>
    <w:pPr>
      <w:ind w:left="283"/>
    </w:pPr>
    <w:rPr>
      <w:sz w:val="16"/>
      <w:szCs w:val="16"/>
    </w:rPr>
  </w:style>
  <w:style w:type="paragraph" w:styleId="Closing">
    <w:name w:val="Closing"/>
    <w:basedOn w:val="Normal"/>
    <w:semiHidden/>
    <w:rsid w:val="00C249C7"/>
    <w:pPr>
      <w:ind w:left="4252"/>
    </w:pPr>
  </w:style>
  <w:style w:type="paragraph" w:styleId="E-mailSignature">
    <w:name w:val="E-mail Signature"/>
    <w:basedOn w:val="Normal"/>
    <w:semiHidden/>
    <w:rsid w:val="00C249C7"/>
  </w:style>
  <w:style w:type="character" w:styleId="Emphasis">
    <w:name w:val="Emphasis"/>
    <w:basedOn w:val="DefaultParagraphFont"/>
    <w:semiHidden/>
    <w:rsid w:val="00C249C7"/>
    <w:rPr>
      <w:i/>
      <w:iCs/>
    </w:rPr>
  </w:style>
  <w:style w:type="paragraph" w:styleId="EnvelopeAddress">
    <w:name w:val="envelope address"/>
    <w:basedOn w:val="Normal"/>
    <w:semiHidden/>
    <w:rsid w:val="00C249C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C249C7"/>
    <w:rPr>
      <w:rFonts w:ascii="Arial" w:hAnsi="Arial" w:cs="Arial"/>
    </w:rPr>
  </w:style>
  <w:style w:type="character" w:styleId="FollowedHyperlink">
    <w:name w:val="FollowedHyperlink"/>
    <w:basedOn w:val="DefaultParagraphFont"/>
    <w:uiPriority w:val="99"/>
    <w:semiHidden/>
    <w:rsid w:val="00C249C7"/>
    <w:rPr>
      <w:color w:val="800080"/>
      <w:u w:val="single"/>
    </w:rPr>
  </w:style>
  <w:style w:type="character" w:styleId="HTMLAcronym">
    <w:name w:val="HTML Acronym"/>
    <w:basedOn w:val="DefaultParagraphFont"/>
    <w:semiHidden/>
    <w:rsid w:val="00C249C7"/>
  </w:style>
  <w:style w:type="paragraph" w:styleId="HTMLAddress">
    <w:name w:val="HTML Address"/>
    <w:basedOn w:val="Normal"/>
    <w:semiHidden/>
    <w:rsid w:val="00C249C7"/>
    <w:rPr>
      <w:i/>
      <w:iCs/>
    </w:rPr>
  </w:style>
  <w:style w:type="character" w:styleId="HTMLCite">
    <w:name w:val="HTML Cite"/>
    <w:basedOn w:val="DefaultParagraphFont"/>
    <w:semiHidden/>
    <w:rsid w:val="00C249C7"/>
    <w:rPr>
      <w:i/>
      <w:iCs/>
    </w:rPr>
  </w:style>
  <w:style w:type="character" w:styleId="HTMLCode">
    <w:name w:val="HTML Code"/>
    <w:basedOn w:val="DefaultParagraphFont"/>
    <w:semiHidden/>
    <w:rsid w:val="00C249C7"/>
    <w:rPr>
      <w:rFonts w:ascii="Courier New" w:hAnsi="Courier New" w:cs="Courier New"/>
      <w:sz w:val="20"/>
      <w:szCs w:val="20"/>
    </w:rPr>
  </w:style>
  <w:style w:type="character" w:styleId="HTMLDefinition">
    <w:name w:val="HTML Definition"/>
    <w:basedOn w:val="DefaultParagraphFont"/>
    <w:semiHidden/>
    <w:rsid w:val="00C249C7"/>
    <w:rPr>
      <w:i/>
      <w:iCs/>
    </w:rPr>
  </w:style>
  <w:style w:type="character" w:styleId="HTMLKeyboard">
    <w:name w:val="HTML Keyboard"/>
    <w:basedOn w:val="DefaultParagraphFont"/>
    <w:semiHidden/>
    <w:rsid w:val="00C249C7"/>
    <w:rPr>
      <w:rFonts w:ascii="Courier New" w:hAnsi="Courier New" w:cs="Courier New"/>
      <w:sz w:val="20"/>
      <w:szCs w:val="20"/>
    </w:rPr>
  </w:style>
  <w:style w:type="paragraph" w:styleId="HTMLPreformatted">
    <w:name w:val="HTML Preformatted"/>
    <w:basedOn w:val="Normal"/>
    <w:semiHidden/>
    <w:rsid w:val="00C249C7"/>
    <w:rPr>
      <w:rFonts w:ascii="Courier New" w:hAnsi="Courier New" w:cs="Courier New"/>
    </w:rPr>
  </w:style>
  <w:style w:type="character" w:styleId="HTMLSample">
    <w:name w:val="HTML Sample"/>
    <w:basedOn w:val="DefaultParagraphFont"/>
    <w:semiHidden/>
    <w:rsid w:val="00C249C7"/>
    <w:rPr>
      <w:rFonts w:ascii="Courier New" w:hAnsi="Courier New" w:cs="Courier New"/>
    </w:rPr>
  </w:style>
  <w:style w:type="character" w:styleId="HTMLTypewriter">
    <w:name w:val="HTML Typewriter"/>
    <w:basedOn w:val="DefaultParagraphFont"/>
    <w:semiHidden/>
    <w:rsid w:val="00C249C7"/>
    <w:rPr>
      <w:rFonts w:ascii="Courier New" w:hAnsi="Courier New" w:cs="Courier New"/>
      <w:sz w:val="20"/>
      <w:szCs w:val="20"/>
    </w:rPr>
  </w:style>
  <w:style w:type="character" w:styleId="HTMLVariable">
    <w:name w:val="HTML Variable"/>
    <w:basedOn w:val="DefaultParagraphFont"/>
    <w:semiHidden/>
    <w:rsid w:val="00C249C7"/>
    <w:rPr>
      <w:i/>
      <w:iCs/>
    </w:rPr>
  </w:style>
  <w:style w:type="character" w:styleId="LineNumber">
    <w:name w:val="line number"/>
    <w:basedOn w:val="DefaultParagraphFont"/>
    <w:semiHidden/>
    <w:rsid w:val="00C249C7"/>
  </w:style>
  <w:style w:type="paragraph" w:styleId="List">
    <w:name w:val="List"/>
    <w:basedOn w:val="Normal"/>
    <w:semiHidden/>
    <w:rsid w:val="00C249C7"/>
    <w:pPr>
      <w:ind w:left="283" w:hanging="283"/>
    </w:pPr>
  </w:style>
  <w:style w:type="paragraph" w:styleId="List2">
    <w:name w:val="List 2"/>
    <w:basedOn w:val="Normal"/>
    <w:semiHidden/>
    <w:rsid w:val="00C249C7"/>
    <w:pPr>
      <w:ind w:left="566" w:hanging="283"/>
    </w:pPr>
  </w:style>
  <w:style w:type="paragraph" w:styleId="List3">
    <w:name w:val="List 3"/>
    <w:basedOn w:val="Normal"/>
    <w:semiHidden/>
    <w:rsid w:val="00C249C7"/>
    <w:pPr>
      <w:ind w:left="849" w:hanging="283"/>
    </w:pPr>
  </w:style>
  <w:style w:type="paragraph" w:styleId="List4">
    <w:name w:val="List 4"/>
    <w:basedOn w:val="Normal"/>
    <w:semiHidden/>
    <w:rsid w:val="00C249C7"/>
    <w:pPr>
      <w:ind w:left="1132" w:hanging="283"/>
    </w:pPr>
  </w:style>
  <w:style w:type="paragraph" w:styleId="List5">
    <w:name w:val="List 5"/>
    <w:basedOn w:val="Normal"/>
    <w:semiHidden/>
    <w:rsid w:val="00C249C7"/>
    <w:pPr>
      <w:ind w:left="1415" w:hanging="283"/>
    </w:pPr>
  </w:style>
  <w:style w:type="paragraph" w:styleId="ListContinue">
    <w:name w:val="List Continue"/>
    <w:basedOn w:val="Normal"/>
    <w:semiHidden/>
    <w:rsid w:val="00C249C7"/>
    <w:pPr>
      <w:ind w:left="283"/>
    </w:pPr>
  </w:style>
  <w:style w:type="paragraph" w:styleId="ListContinue2">
    <w:name w:val="List Continue 2"/>
    <w:basedOn w:val="Normal"/>
    <w:semiHidden/>
    <w:rsid w:val="00C249C7"/>
    <w:pPr>
      <w:ind w:left="566"/>
    </w:pPr>
  </w:style>
  <w:style w:type="paragraph" w:styleId="ListContinue3">
    <w:name w:val="List Continue 3"/>
    <w:basedOn w:val="Normal"/>
    <w:semiHidden/>
    <w:rsid w:val="00C249C7"/>
    <w:pPr>
      <w:ind w:left="849"/>
    </w:pPr>
  </w:style>
  <w:style w:type="paragraph" w:styleId="ListContinue4">
    <w:name w:val="List Continue 4"/>
    <w:basedOn w:val="Normal"/>
    <w:semiHidden/>
    <w:rsid w:val="00C249C7"/>
    <w:pPr>
      <w:ind w:left="1132"/>
    </w:pPr>
  </w:style>
  <w:style w:type="paragraph" w:styleId="ListContinue5">
    <w:name w:val="List Continue 5"/>
    <w:basedOn w:val="Normal"/>
    <w:semiHidden/>
    <w:rsid w:val="00C249C7"/>
    <w:pPr>
      <w:ind w:left="1415"/>
    </w:pPr>
  </w:style>
  <w:style w:type="paragraph" w:styleId="ListNumber3">
    <w:name w:val="List Number 3"/>
    <w:basedOn w:val="ListNumber2"/>
    <w:uiPriority w:val="2"/>
    <w:rsid w:val="00013650"/>
    <w:pPr>
      <w:numPr>
        <w:ilvl w:val="2"/>
      </w:numPr>
    </w:pPr>
  </w:style>
  <w:style w:type="paragraph" w:styleId="ListNumber4">
    <w:name w:val="List Number 4"/>
    <w:basedOn w:val="Normal"/>
    <w:semiHidden/>
    <w:rsid w:val="00C249C7"/>
    <w:pPr>
      <w:numPr>
        <w:numId w:val="4"/>
      </w:numPr>
    </w:pPr>
  </w:style>
  <w:style w:type="paragraph" w:styleId="ListNumber5">
    <w:name w:val="List Number 5"/>
    <w:basedOn w:val="Normal"/>
    <w:semiHidden/>
    <w:rsid w:val="00C249C7"/>
    <w:pPr>
      <w:numPr>
        <w:numId w:val="5"/>
      </w:numPr>
    </w:pPr>
  </w:style>
  <w:style w:type="paragraph" w:styleId="MessageHeader">
    <w:name w:val="Message Header"/>
    <w:basedOn w:val="Normal"/>
    <w:semiHidden/>
    <w:rsid w:val="00C249C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C249C7"/>
    <w:rPr>
      <w:rFonts w:ascii="Times New Roman" w:hAnsi="Times New Roman"/>
    </w:rPr>
  </w:style>
  <w:style w:type="paragraph" w:styleId="NormalIndent">
    <w:name w:val="Normal Indent"/>
    <w:basedOn w:val="Normal"/>
    <w:semiHidden/>
    <w:rsid w:val="00C249C7"/>
    <w:pPr>
      <w:ind w:left="720"/>
    </w:pPr>
  </w:style>
  <w:style w:type="paragraph" w:styleId="PlainText">
    <w:name w:val="Plain Text"/>
    <w:basedOn w:val="Normal"/>
    <w:semiHidden/>
    <w:rsid w:val="00C249C7"/>
    <w:rPr>
      <w:rFonts w:ascii="Courier New" w:hAnsi="Courier New" w:cs="Courier New"/>
    </w:rPr>
  </w:style>
  <w:style w:type="paragraph" w:styleId="Salutation">
    <w:name w:val="Salutation"/>
    <w:basedOn w:val="Normal"/>
    <w:next w:val="Normal"/>
    <w:semiHidden/>
    <w:rsid w:val="00C249C7"/>
  </w:style>
  <w:style w:type="paragraph" w:styleId="Signature">
    <w:name w:val="Signature"/>
    <w:basedOn w:val="Normal"/>
    <w:semiHidden/>
    <w:rsid w:val="00C249C7"/>
    <w:pPr>
      <w:ind w:left="4252"/>
    </w:pPr>
  </w:style>
  <w:style w:type="character" w:styleId="Strong">
    <w:name w:val="Strong"/>
    <w:basedOn w:val="DefaultParagraphFont"/>
    <w:semiHidden/>
    <w:rsid w:val="00C249C7"/>
    <w:rPr>
      <w:b/>
      <w:bCs/>
    </w:rPr>
  </w:style>
  <w:style w:type="table" w:styleId="Table3Deffects1">
    <w:name w:val="Table 3D effects 1"/>
    <w:basedOn w:val="TableNormal"/>
    <w:semiHidden/>
    <w:rsid w:val="00C249C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49C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249C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49C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49C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49C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49C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49C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49C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49C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49C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49C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49C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249C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249C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49C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249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C249C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249C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49C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249C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49C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49C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49C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49C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semiHidden/>
    <w:rsid w:val="00C249C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49C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49C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49C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49C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49C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49C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49C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49C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49C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49C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49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249C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49C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49C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
    <w:name w:val="Table"/>
    <w:uiPriority w:val="4"/>
    <w:rsid w:val="00C249C7"/>
    <w:pPr>
      <w:spacing w:before="40" w:after="40" w:line="240" w:lineRule="auto"/>
    </w:pPr>
    <w:rPr>
      <w:rFonts w:ascii="Arial" w:hAnsi="Arial"/>
      <w:color w:val="000000"/>
      <w:sz w:val="16"/>
      <w:lang w:eastAsia="en-AU"/>
    </w:rPr>
  </w:style>
  <w:style w:type="paragraph" w:customStyle="1" w:styleId="QuoteListBullet">
    <w:name w:val="Quote List Bullet"/>
    <w:basedOn w:val="Quote"/>
    <w:uiPriority w:val="4"/>
    <w:qFormat/>
    <w:rsid w:val="00C249C7"/>
    <w:pPr>
      <w:numPr>
        <w:numId w:val="10"/>
      </w:numPr>
    </w:pPr>
    <w:rPr>
      <w:szCs w:val="18"/>
    </w:rPr>
  </w:style>
  <w:style w:type="paragraph" w:customStyle="1" w:styleId="AppendixFooterlandscape">
    <w:name w:val="AppendixFooter landscape"/>
    <w:uiPriority w:val="99"/>
    <w:semiHidden/>
    <w:rsid w:val="00C249C7"/>
    <w:pPr>
      <w:framePr w:wrap="around" w:vAnchor="text" w:hAnchor="margin" w:xAlign="right" w:y="1"/>
      <w:spacing w:line="200" w:lineRule="exact"/>
      <w:ind w:right="40"/>
      <w:jc w:val="both"/>
    </w:pPr>
    <w:rPr>
      <w:rFonts w:ascii="Century Gothic" w:hAnsi="Century Gothic"/>
      <w:b/>
      <w:sz w:val="16"/>
      <w:lang w:eastAsia="en-AU"/>
    </w:rPr>
  </w:style>
  <w:style w:type="paragraph" w:customStyle="1" w:styleId="AppendixLandscapePageNumber">
    <w:name w:val="AppendixLandscapePage Number"/>
    <w:basedOn w:val="Normal"/>
    <w:semiHidden/>
    <w:rsid w:val="00C249C7"/>
    <w:pPr>
      <w:framePr w:wrap="around" w:vAnchor="text" w:hAnchor="margin" w:xAlign="right" w:y="1"/>
      <w:spacing w:before="40"/>
      <w:ind w:left="-142" w:right="40"/>
      <w:jc w:val="right"/>
    </w:pPr>
    <w:rPr>
      <w:rFonts w:ascii="Century Gothic" w:hAnsi="Century Gothic"/>
      <w:sz w:val="16"/>
    </w:rPr>
  </w:style>
  <w:style w:type="character" w:customStyle="1" w:styleId="Heading1Char">
    <w:name w:val="Heading 1 Char"/>
    <w:basedOn w:val="DefaultParagraphFont"/>
    <w:link w:val="Heading1"/>
    <w:rsid w:val="00C249C7"/>
    <w:rPr>
      <w:rFonts w:asciiTheme="majorHAnsi" w:hAnsiTheme="majorHAnsi"/>
      <w:b/>
      <w:color w:val="FFFFFF" w:themeColor="background1"/>
      <w:kern w:val="28"/>
      <w:sz w:val="38"/>
      <w:szCs w:val="38"/>
      <w:shd w:val="clear" w:color="auto" w:fill="9757A6"/>
      <w:lang w:eastAsia="en-AU"/>
    </w:rPr>
  </w:style>
  <w:style w:type="paragraph" w:customStyle="1" w:styleId="LastTableRow">
    <w:name w:val="LastTableRow"/>
    <w:basedOn w:val="Tablebody"/>
    <w:uiPriority w:val="99"/>
    <w:semiHidden/>
    <w:rsid w:val="00C249C7"/>
  </w:style>
  <w:style w:type="paragraph" w:customStyle="1" w:styleId="HeaderLandscape">
    <w:name w:val="HeaderLandscape"/>
    <w:semiHidden/>
    <w:rsid w:val="00C249C7"/>
    <w:pPr>
      <w:spacing w:before="0" w:line="240" w:lineRule="auto"/>
    </w:pPr>
    <w:rPr>
      <w:rFonts w:asciiTheme="minorHAnsi" w:hAnsiTheme="minorHAnsi"/>
      <w:sz w:val="14"/>
      <w:szCs w:val="16"/>
      <w:lang w:eastAsia="en-US"/>
    </w:rPr>
  </w:style>
  <w:style w:type="character" w:customStyle="1" w:styleId="HeaderChar">
    <w:name w:val="Header Char"/>
    <w:basedOn w:val="DefaultParagraphFont"/>
    <w:link w:val="Header"/>
    <w:rsid w:val="00C249C7"/>
    <w:rPr>
      <w:rFonts w:asciiTheme="minorHAnsi" w:hAnsiTheme="minorHAnsi"/>
      <w:noProof/>
      <w:sz w:val="16"/>
      <w:lang w:eastAsia="en-AU"/>
    </w:rPr>
  </w:style>
  <w:style w:type="character" w:customStyle="1" w:styleId="FooterChar">
    <w:name w:val="Footer Char"/>
    <w:basedOn w:val="DefaultParagraphFont"/>
    <w:link w:val="Footer"/>
    <w:uiPriority w:val="99"/>
    <w:rsid w:val="00C249C7"/>
    <w:rPr>
      <w:rFonts w:asciiTheme="minorHAnsi" w:hAnsiTheme="minorHAnsi"/>
      <w:sz w:val="14"/>
      <w:lang w:eastAsia="en-US"/>
    </w:rPr>
  </w:style>
  <w:style w:type="paragraph" w:customStyle="1" w:styleId="Contact">
    <w:name w:val="Contact"/>
    <w:basedOn w:val="OfficeAddress"/>
    <w:rsid w:val="00180AC7"/>
    <w:pPr>
      <w:spacing w:after="120" w:line="200" w:lineRule="exact"/>
      <w:ind w:left="113" w:right="-289"/>
    </w:pPr>
    <w:rPr>
      <w:rFonts w:asciiTheme="majorHAnsi" w:hAnsiTheme="majorHAnsi"/>
      <w:caps/>
      <w:sz w:val="14"/>
    </w:rPr>
  </w:style>
  <w:style w:type="paragraph" w:customStyle="1" w:styleId="BoxQuoteListBullet">
    <w:name w:val="Box Quote List Bullet"/>
    <w:basedOn w:val="BoxQuote"/>
    <w:uiPriority w:val="4"/>
    <w:rsid w:val="00EE1A65"/>
    <w:pPr>
      <w:numPr>
        <w:numId w:val="32"/>
      </w:numPr>
      <w:spacing w:before="40"/>
    </w:pPr>
  </w:style>
  <w:style w:type="paragraph" w:styleId="Bibliography">
    <w:name w:val="Bibliography"/>
    <w:basedOn w:val="Reference"/>
    <w:next w:val="BodyText"/>
    <w:uiPriority w:val="37"/>
    <w:semiHidden/>
    <w:rsid w:val="00C249C7"/>
  </w:style>
  <w:style w:type="table" w:customStyle="1" w:styleId="LightShading1">
    <w:name w:val="Light Shading1"/>
    <w:basedOn w:val="TableNormal"/>
    <w:uiPriority w:val="60"/>
    <w:rsid w:val="00C249C7"/>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quation">
    <w:name w:val="Equation"/>
    <w:basedOn w:val="BodyText"/>
    <w:next w:val="BodyText"/>
    <w:uiPriority w:val="8"/>
    <w:rsid w:val="00C249C7"/>
    <w:pPr>
      <w:spacing w:before="0" w:after="60" w:line="240" w:lineRule="auto"/>
      <w:jc w:val="center"/>
    </w:pPr>
  </w:style>
  <w:style w:type="character" w:styleId="PlaceholderText">
    <w:name w:val="Placeholder Text"/>
    <w:basedOn w:val="DefaultParagraphFont"/>
    <w:uiPriority w:val="99"/>
    <w:semiHidden/>
    <w:rsid w:val="00C249C7"/>
    <w:rPr>
      <w:color w:val="808080"/>
    </w:rPr>
  </w:style>
  <w:style w:type="paragraph" w:customStyle="1" w:styleId="Subject">
    <w:name w:val="Subject"/>
    <w:semiHidden/>
    <w:rsid w:val="00C249C7"/>
    <w:pPr>
      <w:spacing w:before="0"/>
    </w:pPr>
    <w:rPr>
      <w:rFonts w:ascii="Century Gothic" w:hAnsi="Century Gothic"/>
      <w:b/>
      <w:color w:val="000080"/>
      <w:szCs w:val="20"/>
      <w:lang w:eastAsia="en-US"/>
    </w:rPr>
  </w:style>
  <w:style w:type="paragraph" w:customStyle="1" w:styleId="Email">
    <w:name w:val="Email"/>
    <w:basedOn w:val="Normal"/>
    <w:semiHidden/>
    <w:rsid w:val="00C249C7"/>
    <w:pPr>
      <w:spacing w:before="0" w:line="240" w:lineRule="auto"/>
      <w:outlineLvl w:val="0"/>
    </w:pPr>
    <w:rPr>
      <w:sz w:val="23"/>
      <w:szCs w:val="20"/>
    </w:rPr>
  </w:style>
  <w:style w:type="paragraph" w:customStyle="1" w:styleId="SignatureBlock">
    <w:name w:val="Signature Block"/>
    <w:basedOn w:val="LetterName"/>
    <w:uiPriority w:val="6"/>
    <w:rsid w:val="00610859"/>
    <w:pPr>
      <w:spacing w:line="240" w:lineRule="auto"/>
    </w:pPr>
  </w:style>
  <w:style w:type="paragraph" w:customStyle="1" w:styleId="Address">
    <w:name w:val="Address"/>
    <w:basedOn w:val="BodyText"/>
    <w:uiPriority w:val="99"/>
    <w:semiHidden/>
    <w:rsid w:val="00C249C7"/>
  </w:style>
  <w:style w:type="paragraph" w:customStyle="1" w:styleId="OfficeDarwin">
    <w:name w:val="OfficeDarwin"/>
    <w:basedOn w:val="Office"/>
    <w:uiPriority w:val="99"/>
    <w:semiHidden/>
    <w:rsid w:val="00C249C7"/>
    <w:pPr>
      <w:spacing w:before="540"/>
      <w:ind w:right="-289"/>
    </w:pPr>
  </w:style>
  <w:style w:type="paragraph" w:customStyle="1" w:styleId="OfficeSydney">
    <w:name w:val="OfficeSydney"/>
    <w:basedOn w:val="Office"/>
    <w:uiPriority w:val="99"/>
    <w:semiHidden/>
    <w:rsid w:val="00C249C7"/>
    <w:pPr>
      <w:spacing w:before="640"/>
      <w:ind w:right="-289"/>
    </w:pPr>
  </w:style>
  <w:style w:type="paragraph" w:customStyle="1" w:styleId="Tablelistnumber2">
    <w:name w:val="Table list number 2"/>
    <w:basedOn w:val="Tablelistnumber"/>
    <w:uiPriority w:val="3"/>
    <w:rsid w:val="00520ED6"/>
    <w:pPr>
      <w:numPr>
        <w:ilvl w:val="1"/>
      </w:numPr>
    </w:pPr>
  </w:style>
  <w:style w:type="paragraph" w:customStyle="1" w:styleId="BoxListNumber3">
    <w:name w:val="Box List Number 3"/>
    <w:basedOn w:val="BoxListNumber2"/>
    <w:uiPriority w:val="4"/>
    <w:rsid w:val="00C249C7"/>
    <w:pPr>
      <w:numPr>
        <w:ilvl w:val="2"/>
      </w:numPr>
    </w:pPr>
  </w:style>
  <w:style w:type="paragraph" w:customStyle="1" w:styleId="Tablelistnumber3">
    <w:name w:val="Table list number 3"/>
    <w:basedOn w:val="Tablelistnumber2"/>
    <w:uiPriority w:val="3"/>
    <w:rsid w:val="00520ED6"/>
    <w:pPr>
      <w:numPr>
        <w:ilvl w:val="2"/>
      </w:numPr>
    </w:pPr>
    <w:rPr>
      <w:rFonts w:cs="Arial"/>
      <w:szCs w:val="16"/>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
    <w:basedOn w:val="DefaultParagraphFont"/>
    <w:link w:val="BodyText"/>
    <w:rsid w:val="0041114B"/>
    <w:rPr>
      <w:rFonts w:asciiTheme="minorHAnsi" w:hAnsiTheme="minorHAnsi"/>
      <w:sz w:val="22"/>
      <w:szCs w:val="22"/>
      <w:lang w:eastAsia="en-AU"/>
    </w:rPr>
  </w:style>
  <w:style w:type="numbering" w:styleId="111111">
    <w:name w:val="Outline List 2"/>
    <w:basedOn w:val="NoList"/>
    <w:uiPriority w:val="99"/>
    <w:semiHidden/>
    <w:unhideWhenUsed/>
    <w:rsid w:val="00C249C7"/>
    <w:pPr>
      <w:numPr>
        <w:numId w:val="7"/>
      </w:numPr>
    </w:pPr>
  </w:style>
  <w:style w:type="numbering" w:styleId="1ai">
    <w:name w:val="Outline List 1"/>
    <w:basedOn w:val="NoList"/>
    <w:uiPriority w:val="99"/>
    <w:semiHidden/>
    <w:unhideWhenUsed/>
    <w:rsid w:val="00C249C7"/>
    <w:pPr>
      <w:numPr>
        <w:numId w:val="6"/>
      </w:numPr>
    </w:pPr>
  </w:style>
  <w:style w:type="character" w:styleId="BookTitle">
    <w:name w:val="Book Title"/>
    <w:basedOn w:val="DefaultParagraphFont"/>
    <w:uiPriority w:val="33"/>
    <w:semiHidden/>
    <w:rsid w:val="00C249C7"/>
    <w:rPr>
      <w:b/>
      <w:bCs/>
      <w:smallCaps/>
      <w:spacing w:val="5"/>
    </w:rPr>
  </w:style>
  <w:style w:type="table" w:styleId="ColorfulGrid">
    <w:name w:val="Colorful Grid"/>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rsid w:val="00C249C7"/>
    <w:pPr>
      <w:spacing w:before="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rsid w:val="00C249C7"/>
    <w:pPr>
      <w:spacing w:before="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249C7"/>
    <w:pPr>
      <w:spacing w:before="0" w:line="240" w:lineRule="auto"/>
    </w:pPr>
    <w:rPr>
      <w:color w:val="000000" w:themeColor="text1"/>
    </w:rPr>
    <w:tblPr>
      <w:tblStyleRowBandSize w:val="1"/>
      <w:tblStyleColBandSize w:val="1"/>
      <w:tblInd w:w="0" w:type="dxa"/>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rsid w:val="00C249C7"/>
    <w:pPr>
      <w:spacing w:before="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next w:val="Normal"/>
    <w:link w:val="DateChar"/>
    <w:rsid w:val="00C249C7"/>
    <w:pPr>
      <w:spacing w:before="0" w:line="240" w:lineRule="auto"/>
    </w:pPr>
    <w:rPr>
      <w:rFonts w:asciiTheme="majorHAnsi" w:hAnsiTheme="majorHAnsi"/>
      <w:caps/>
      <w:sz w:val="20"/>
      <w:lang w:eastAsia="en-US"/>
    </w:rPr>
  </w:style>
  <w:style w:type="character" w:customStyle="1" w:styleId="DateChar">
    <w:name w:val="Date Char"/>
    <w:basedOn w:val="DefaultParagraphFont"/>
    <w:link w:val="Date"/>
    <w:rsid w:val="00C249C7"/>
    <w:rPr>
      <w:rFonts w:asciiTheme="majorHAnsi" w:hAnsiTheme="majorHAnsi"/>
      <w:caps/>
      <w:sz w:val="20"/>
      <w:lang w:eastAsia="en-US"/>
    </w:rPr>
  </w:style>
  <w:style w:type="character" w:styleId="IntenseEmphasis">
    <w:name w:val="Intense Emphasis"/>
    <w:basedOn w:val="DefaultParagraphFont"/>
    <w:uiPriority w:val="99"/>
    <w:semiHidden/>
    <w:rsid w:val="00C249C7"/>
    <w:rPr>
      <w:b/>
      <w:bCs/>
      <w:i/>
      <w:iCs/>
      <w:color w:val="9757A6" w:themeColor="accent1"/>
    </w:rPr>
  </w:style>
  <w:style w:type="paragraph" w:styleId="IntenseQuote">
    <w:name w:val="Intense Quote"/>
    <w:basedOn w:val="Normal"/>
    <w:next w:val="Normal"/>
    <w:link w:val="IntenseQuoteChar"/>
    <w:uiPriority w:val="99"/>
    <w:semiHidden/>
    <w:rsid w:val="00C249C7"/>
    <w:pPr>
      <w:pBdr>
        <w:bottom w:val="single" w:sz="4" w:space="4" w:color="9757A6" w:themeColor="accent1"/>
      </w:pBdr>
      <w:spacing w:before="200" w:after="280"/>
      <w:ind w:left="936" w:right="936"/>
    </w:pPr>
    <w:rPr>
      <w:rFonts w:ascii="Garamond" w:hAnsi="Garamond"/>
      <w:b/>
      <w:bCs/>
      <w:i/>
      <w:iCs/>
      <w:color w:val="9757A6" w:themeColor="accent1"/>
    </w:rPr>
  </w:style>
  <w:style w:type="character" w:customStyle="1" w:styleId="IntenseQuoteChar">
    <w:name w:val="Intense Quote Char"/>
    <w:basedOn w:val="DefaultParagraphFont"/>
    <w:link w:val="IntenseQuote"/>
    <w:uiPriority w:val="99"/>
    <w:semiHidden/>
    <w:rsid w:val="00C249C7"/>
    <w:rPr>
      <w:b/>
      <w:bCs/>
      <w:i/>
      <w:iCs/>
      <w:color w:val="9757A6" w:themeColor="accent1"/>
      <w:lang w:eastAsia="en-US"/>
    </w:rPr>
  </w:style>
  <w:style w:type="character" w:styleId="IntenseReference">
    <w:name w:val="Intense Reference"/>
    <w:basedOn w:val="DefaultParagraphFont"/>
    <w:uiPriority w:val="99"/>
    <w:semiHidden/>
    <w:rsid w:val="00C249C7"/>
    <w:rPr>
      <w:b/>
      <w:bCs/>
      <w:smallCaps/>
      <w:color w:val="FFAE3B" w:themeColor="accent2"/>
      <w:spacing w:val="5"/>
      <w:u w:val="single"/>
    </w:rPr>
  </w:style>
  <w:style w:type="table" w:styleId="LightGrid">
    <w:name w:val="Light Grid"/>
    <w:basedOn w:val="TableNormal"/>
    <w:uiPriority w:val="62"/>
    <w:rsid w:val="00C249C7"/>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249C7"/>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rsid w:val="00C249C7"/>
    <w:pPr>
      <w:spacing w:before="0" w:line="240" w:lineRule="auto"/>
    </w:p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rsid w:val="00C249C7"/>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C249C7"/>
    <w:pPr>
      <w:spacing w:before="0" w:line="240" w:lineRule="auto"/>
    </w:p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rsid w:val="00C249C7"/>
    <w:pPr>
      <w:spacing w:before="0" w:line="240" w:lineRule="auto"/>
    </w:p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rsid w:val="00C249C7"/>
    <w:pPr>
      <w:spacing w:before="0" w:line="240" w:lineRule="auto"/>
    </w:p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rsid w:val="00C249C7"/>
    <w:pPr>
      <w:spacing w:before="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249C7"/>
    <w:pPr>
      <w:spacing w:before="0" w:line="240" w:lineRule="auto"/>
    </w:p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rsid w:val="00C249C7"/>
    <w:pPr>
      <w:spacing w:before="0" w:line="240" w:lineRule="auto"/>
    </w:p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rsid w:val="00C249C7"/>
    <w:pPr>
      <w:spacing w:before="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C249C7"/>
    <w:pPr>
      <w:spacing w:before="0" w:line="240" w:lineRule="auto"/>
    </w:p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rsid w:val="00C249C7"/>
    <w:pPr>
      <w:spacing w:before="0" w:line="240" w:lineRule="auto"/>
    </w:p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rsid w:val="00C249C7"/>
    <w:pPr>
      <w:spacing w:before="0" w:line="240" w:lineRule="auto"/>
    </w:p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rsid w:val="00C249C7"/>
    <w:pPr>
      <w:spacing w:before="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249C7"/>
    <w:pPr>
      <w:spacing w:before="0" w:line="240" w:lineRule="auto"/>
    </w:pPr>
    <w:rPr>
      <w:color w:val="70417C" w:themeColor="accent1" w:themeShade="BF"/>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rsid w:val="00C249C7"/>
    <w:pPr>
      <w:spacing w:before="0" w:line="240" w:lineRule="auto"/>
    </w:pPr>
    <w:rPr>
      <w:color w:val="EB8900" w:themeColor="accent2" w:themeShade="BF"/>
    </w:rPr>
    <w:tblPr>
      <w:tblStyleRowBandSize w:val="1"/>
      <w:tblStyleColBandSize w:val="1"/>
      <w:tblInd w:w="0" w:type="dxa"/>
      <w:tblBorders>
        <w:top w:val="single" w:sz="8" w:space="0" w:color="FFAE3B" w:themeColor="accent2"/>
        <w:bottom w:val="single" w:sz="8" w:space="0" w:color="FFAE3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rsid w:val="00C249C7"/>
    <w:pPr>
      <w:spacing w:before="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C249C7"/>
    <w:pPr>
      <w:spacing w:before="0" w:line="240" w:lineRule="auto"/>
    </w:pPr>
    <w:rPr>
      <w:color w:val="9255A1" w:themeColor="accent4" w:themeShade="BF"/>
    </w:rPr>
    <w:tblPr>
      <w:tblStyleRowBandSize w:val="1"/>
      <w:tblStyleColBandSize w:val="1"/>
      <w:tblInd w:w="0" w:type="dxa"/>
      <w:tblBorders>
        <w:top w:val="single" w:sz="8" w:space="0" w:color="B689C1" w:themeColor="accent4"/>
        <w:bottom w:val="single" w:sz="8" w:space="0" w:color="B689C1"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rsid w:val="00C249C7"/>
    <w:pPr>
      <w:spacing w:before="0" w:line="240" w:lineRule="auto"/>
    </w:pPr>
    <w:rPr>
      <w:color w:val="AF6700" w:themeColor="accent5" w:themeShade="BF"/>
    </w:rPr>
    <w:tblPr>
      <w:tblStyleRowBandSize w:val="1"/>
      <w:tblStyleColBandSize w:val="1"/>
      <w:tblInd w:w="0" w:type="dxa"/>
      <w:tblBorders>
        <w:top w:val="single" w:sz="8" w:space="0" w:color="EA8B00" w:themeColor="accent5"/>
        <w:bottom w:val="single" w:sz="8" w:space="0" w:color="EA8B0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rsid w:val="00C249C7"/>
    <w:pPr>
      <w:spacing w:before="0" w:line="240" w:lineRule="auto"/>
    </w:pPr>
    <w:rPr>
      <w:color w:val="8F8F8F" w:themeColor="accent6" w:themeShade="BF"/>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paragraph" w:styleId="ListParagraph">
    <w:name w:val="List Paragraph"/>
    <w:basedOn w:val="Normal"/>
    <w:uiPriority w:val="34"/>
    <w:semiHidden/>
    <w:rsid w:val="00C249C7"/>
    <w:pPr>
      <w:ind w:left="720"/>
      <w:contextualSpacing/>
    </w:pPr>
  </w:style>
  <w:style w:type="table" w:styleId="MediumGrid1">
    <w:name w:val="Medium Grid 1"/>
    <w:basedOn w:val="TableNormal"/>
    <w:uiPriority w:val="67"/>
    <w:rsid w:val="00C249C7"/>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249C7"/>
    <w:pPr>
      <w:spacing w:before="0" w:line="240" w:lineRule="auto"/>
    </w:pPr>
    <w:tblPr>
      <w:tblStyleRowBandSize w:val="1"/>
      <w:tblStyleColBandSize w:val="1"/>
      <w:tblInd w:w="0" w:type="dxa"/>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CellMar>
        <w:top w:w="0" w:type="dxa"/>
        <w:left w:w="108" w:type="dxa"/>
        <w:bottom w:w="0" w:type="dxa"/>
        <w:right w:w="108" w:type="dxa"/>
      </w:tblCellMar>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rsid w:val="00C249C7"/>
    <w:pPr>
      <w:spacing w:before="0" w:line="240" w:lineRule="auto"/>
    </w:pPr>
    <w:tblPr>
      <w:tblStyleRowBandSize w:val="1"/>
      <w:tblStyleColBandSize w:val="1"/>
      <w:tblInd w:w="0" w:type="dxa"/>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CellMar>
        <w:top w:w="0" w:type="dxa"/>
        <w:left w:w="108" w:type="dxa"/>
        <w:bottom w:w="0" w:type="dxa"/>
        <w:right w:w="108" w:type="dxa"/>
      </w:tblCellMar>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rsid w:val="00C249C7"/>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C249C7"/>
    <w:pPr>
      <w:spacing w:before="0" w:line="240" w:lineRule="auto"/>
    </w:pPr>
    <w:tblPr>
      <w:tblStyleRowBandSize w:val="1"/>
      <w:tblStyleColBandSize w:val="1"/>
      <w:tblInd w:w="0" w:type="dxa"/>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CellMar>
        <w:top w:w="0" w:type="dxa"/>
        <w:left w:w="108" w:type="dxa"/>
        <w:bottom w:w="0" w:type="dxa"/>
        <w:right w:w="108" w:type="dxa"/>
      </w:tblCellMar>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rsid w:val="00C249C7"/>
    <w:pPr>
      <w:spacing w:before="0" w:line="240" w:lineRule="auto"/>
    </w:pPr>
    <w:tblPr>
      <w:tblStyleRowBandSize w:val="1"/>
      <w:tblStyleColBandSize w:val="1"/>
      <w:tblInd w:w="0" w:type="dxa"/>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CellMar>
        <w:top w:w="0" w:type="dxa"/>
        <w:left w:w="108" w:type="dxa"/>
        <w:bottom w:w="0" w:type="dxa"/>
        <w:right w:w="108" w:type="dxa"/>
      </w:tblCellMar>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rsid w:val="00C249C7"/>
    <w:pPr>
      <w:spacing w:before="0" w:line="240" w:lineRule="auto"/>
    </w:pPr>
    <w:tblPr>
      <w:tblStyleRowBandSize w:val="1"/>
      <w:tblStyleColBandSize w:val="1"/>
      <w:tblInd w:w="0" w:type="dxa"/>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CellMar>
        <w:top w:w="0" w:type="dxa"/>
        <w:left w:w="108" w:type="dxa"/>
        <w:bottom w:w="0" w:type="dxa"/>
        <w:right w:w="108" w:type="dxa"/>
      </w:tblCellMar>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CellMar>
        <w:top w:w="0" w:type="dxa"/>
        <w:left w:w="108" w:type="dxa"/>
        <w:bottom w:w="0" w:type="dxa"/>
        <w:right w:w="108" w:type="dxa"/>
      </w:tblCellMar>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CellMar>
        <w:top w:w="0" w:type="dxa"/>
        <w:left w:w="108" w:type="dxa"/>
        <w:bottom w:w="0" w:type="dxa"/>
        <w:right w:w="108" w:type="dxa"/>
      </w:tblCellMar>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CellMar>
        <w:top w:w="0" w:type="dxa"/>
        <w:left w:w="108" w:type="dxa"/>
        <w:bottom w:w="0" w:type="dxa"/>
        <w:right w:w="108" w:type="dxa"/>
      </w:tblCellMar>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CellMar>
        <w:top w:w="0" w:type="dxa"/>
        <w:left w:w="108" w:type="dxa"/>
        <w:bottom w:w="0" w:type="dxa"/>
        <w:right w:w="108" w:type="dxa"/>
      </w:tblCellMar>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CellMar>
        <w:top w:w="0" w:type="dxa"/>
        <w:left w:w="108" w:type="dxa"/>
        <w:bottom w:w="0" w:type="dxa"/>
        <w:right w:w="108" w:type="dxa"/>
      </w:tblCellMar>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rsid w:val="00C249C7"/>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9757A6" w:themeColor="accent1"/>
        <w:bottom w:val="single" w:sz="8" w:space="0" w:color="9757A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FFAE3B" w:themeColor="accent2"/>
        <w:bottom w:val="single" w:sz="8" w:space="0" w:color="FFAE3B"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B689C1" w:themeColor="accent4"/>
        <w:bottom w:val="single" w:sz="8" w:space="0" w:color="B689C1"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EA8B00" w:themeColor="accent5"/>
        <w:bottom w:val="single" w:sz="8" w:space="0" w:color="EA8B00"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rsid w:val="00C249C7"/>
    <w:pPr>
      <w:spacing w:before="0" w:line="240" w:lineRule="auto"/>
    </w:pPr>
    <w:rPr>
      <w:color w:val="000000" w:themeColor="text1"/>
    </w:rPr>
    <w:tblPr>
      <w:tblStyleRowBandSize w:val="1"/>
      <w:tblStyleColBandSize w:val="1"/>
      <w:tblInd w:w="0" w:type="dxa"/>
      <w:tblBorders>
        <w:top w:val="single" w:sz="8" w:space="0" w:color="BFBFBF" w:themeColor="accent6"/>
        <w:bottom w:val="single" w:sz="8" w:space="0" w:color="BFBFB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757A6" w:themeColor="accent1"/>
        <w:left w:val="single" w:sz="8" w:space="0" w:color="9757A6" w:themeColor="accent1"/>
        <w:bottom w:val="single" w:sz="8" w:space="0" w:color="9757A6" w:themeColor="accent1"/>
        <w:right w:val="single" w:sz="8" w:space="0" w:color="9757A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FAE3B" w:themeColor="accent2"/>
        <w:left w:val="single" w:sz="8" w:space="0" w:color="FFAE3B" w:themeColor="accent2"/>
        <w:bottom w:val="single" w:sz="8" w:space="0" w:color="FFAE3B" w:themeColor="accent2"/>
        <w:right w:val="single" w:sz="8" w:space="0" w:color="FFAE3B"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689C1" w:themeColor="accent4"/>
        <w:left w:val="single" w:sz="8" w:space="0" w:color="B689C1" w:themeColor="accent4"/>
        <w:bottom w:val="single" w:sz="8" w:space="0" w:color="B689C1" w:themeColor="accent4"/>
        <w:right w:val="single" w:sz="8" w:space="0" w:color="B689C1"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A8B00" w:themeColor="accent5"/>
        <w:left w:val="single" w:sz="8" w:space="0" w:color="EA8B00" w:themeColor="accent5"/>
        <w:bottom w:val="single" w:sz="8" w:space="0" w:color="EA8B00" w:themeColor="accent5"/>
        <w:right w:val="single" w:sz="8" w:space="0" w:color="EA8B00"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249C7"/>
    <w:pPr>
      <w:spacing w:before="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249C7"/>
    <w:pPr>
      <w:spacing w:before="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249C7"/>
    <w:pPr>
      <w:spacing w:before="0" w:line="240" w:lineRule="auto"/>
    </w:pPr>
    <w:tblPr>
      <w:tblStyleRowBandSize w:val="1"/>
      <w:tblStyleColBandSize w:val="1"/>
      <w:tblInd w:w="0" w:type="dxa"/>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249C7"/>
    <w:pPr>
      <w:spacing w:before="0" w:line="240" w:lineRule="auto"/>
    </w:pPr>
    <w:tblPr>
      <w:tblStyleRowBandSize w:val="1"/>
      <w:tblStyleColBandSize w:val="1"/>
      <w:tblInd w:w="0" w:type="dxa"/>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249C7"/>
    <w:pPr>
      <w:spacing w:before="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249C7"/>
    <w:pPr>
      <w:spacing w:before="0" w:line="240" w:lineRule="auto"/>
    </w:pPr>
    <w:tblPr>
      <w:tblStyleRowBandSize w:val="1"/>
      <w:tblStyleColBandSize w:val="1"/>
      <w:tblInd w:w="0" w:type="dxa"/>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249C7"/>
    <w:pPr>
      <w:spacing w:before="0" w:line="240" w:lineRule="auto"/>
    </w:pPr>
    <w:tblPr>
      <w:tblStyleRowBandSize w:val="1"/>
      <w:tblStyleColBandSize w:val="1"/>
      <w:tblInd w:w="0" w:type="dxa"/>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249C7"/>
    <w:pPr>
      <w:spacing w:before="0" w:line="240" w:lineRule="auto"/>
    </w:pPr>
    <w:tblPr>
      <w:tblStyleRowBandSize w:val="1"/>
      <w:tblStyleColBandSize w:val="1"/>
      <w:tblInd w:w="0" w:type="dxa"/>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249C7"/>
    <w:pPr>
      <w:spacing w:before="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semiHidden/>
    <w:rsid w:val="00C249C7"/>
    <w:pPr>
      <w:spacing w:before="0" w:line="240" w:lineRule="auto"/>
    </w:pPr>
    <w:rPr>
      <w:lang w:eastAsia="en-US"/>
    </w:rPr>
  </w:style>
  <w:style w:type="paragraph" w:styleId="NoteHeading">
    <w:name w:val="Note Heading"/>
    <w:basedOn w:val="Normal"/>
    <w:next w:val="Normal"/>
    <w:link w:val="NoteHeadingChar"/>
    <w:uiPriority w:val="99"/>
    <w:semiHidden/>
    <w:unhideWhenUsed/>
    <w:rsid w:val="00C249C7"/>
    <w:pPr>
      <w:spacing w:before="0" w:line="240" w:lineRule="auto"/>
    </w:pPr>
    <w:rPr>
      <w:rFonts w:ascii="Garamond" w:hAnsi="Garamond"/>
    </w:rPr>
  </w:style>
  <w:style w:type="character" w:customStyle="1" w:styleId="NoteHeadingChar">
    <w:name w:val="Note Heading Char"/>
    <w:basedOn w:val="DefaultParagraphFont"/>
    <w:link w:val="NoteHeading"/>
    <w:uiPriority w:val="99"/>
    <w:semiHidden/>
    <w:rsid w:val="00C249C7"/>
    <w:rPr>
      <w:lang w:eastAsia="en-US"/>
    </w:rPr>
  </w:style>
  <w:style w:type="paragraph" w:styleId="Subtitle0">
    <w:name w:val="Subtitle"/>
    <w:basedOn w:val="Normal"/>
    <w:next w:val="Normal"/>
    <w:link w:val="SubtitleChar"/>
    <w:rsid w:val="00180AC7"/>
    <w:pPr>
      <w:numPr>
        <w:ilvl w:val="1"/>
      </w:numPr>
      <w:spacing w:before="0" w:after="0" w:line="220" w:lineRule="exact"/>
    </w:pPr>
    <w:rPr>
      <w:rFonts w:asciiTheme="majorHAnsi" w:eastAsiaTheme="majorEastAsia" w:hAnsiTheme="majorHAnsi" w:cstheme="majorBidi"/>
      <w:b/>
      <w:iCs/>
      <w:caps/>
      <w:spacing w:val="15"/>
      <w:sz w:val="22"/>
    </w:rPr>
  </w:style>
  <w:style w:type="character" w:customStyle="1" w:styleId="SubtitleChar">
    <w:name w:val="Subtitle Char"/>
    <w:basedOn w:val="DefaultParagraphFont"/>
    <w:link w:val="Subtitle0"/>
    <w:rsid w:val="00180AC7"/>
    <w:rPr>
      <w:rFonts w:asciiTheme="majorHAnsi" w:eastAsiaTheme="majorEastAsia" w:hAnsiTheme="majorHAnsi" w:cstheme="majorBidi"/>
      <w:b/>
      <w:iCs/>
      <w:caps/>
      <w:spacing w:val="15"/>
      <w:sz w:val="22"/>
      <w:lang w:eastAsia="en-US"/>
    </w:rPr>
  </w:style>
  <w:style w:type="character" w:styleId="SubtleEmphasis">
    <w:name w:val="Subtle Emphasis"/>
    <w:basedOn w:val="DefaultParagraphFont"/>
    <w:uiPriority w:val="19"/>
    <w:semiHidden/>
    <w:rsid w:val="00C249C7"/>
    <w:rPr>
      <w:i/>
      <w:iCs/>
      <w:color w:val="808080" w:themeColor="text1" w:themeTint="7F"/>
    </w:rPr>
  </w:style>
  <w:style w:type="character" w:styleId="SubtleReference">
    <w:name w:val="Subtle Reference"/>
    <w:basedOn w:val="DefaultParagraphFont"/>
    <w:uiPriority w:val="31"/>
    <w:semiHidden/>
    <w:rsid w:val="00C249C7"/>
    <w:rPr>
      <w:smallCaps/>
      <w:color w:val="FFAE3B" w:themeColor="accent2"/>
      <w:u w:val="single"/>
    </w:rPr>
  </w:style>
  <w:style w:type="table" w:styleId="Table3Deffects3">
    <w:name w:val="Table 3D effects 3"/>
    <w:basedOn w:val="TableNormal"/>
    <w:uiPriority w:val="99"/>
    <w:semiHidden/>
    <w:unhideWhenUsed/>
    <w:rsid w:val="00C249C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249C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249C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249C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C249C7"/>
    <w:pPr>
      <w:keepLines/>
      <w:pageBreakBefore w:val="0"/>
      <w:numPr>
        <w:numId w:val="0"/>
      </w:numPr>
      <w:spacing w:before="480" w:after="0" w:line="300" w:lineRule="exact"/>
      <w:outlineLvl w:val="9"/>
    </w:pPr>
    <w:rPr>
      <w:rFonts w:eastAsiaTheme="majorEastAsia" w:cstheme="majorBidi"/>
      <w:bCs/>
      <w:color w:val="70417C" w:themeColor="accent1" w:themeShade="BF"/>
      <w:kern w:val="0"/>
      <w:sz w:val="28"/>
      <w:szCs w:val="28"/>
      <w:lang w:eastAsia="en-US"/>
    </w:rPr>
  </w:style>
  <w:style w:type="paragraph" w:customStyle="1" w:styleId="BoxListBullet3">
    <w:name w:val="Box List Bullet 3"/>
    <w:basedOn w:val="BoxListBullet2"/>
    <w:uiPriority w:val="4"/>
    <w:rsid w:val="00C249C7"/>
    <w:pPr>
      <w:numPr>
        <w:ilvl w:val="2"/>
      </w:numPr>
    </w:pPr>
  </w:style>
  <w:style w:type="paragraph" w:customStyle="1" w:styleId="Tablelistbullet3">
    <w:name w:val="Table list bullet 3"/>
    <w:basedOn w:val="Tablebody"/>
    <w:uiPriority w:val="3"/>
    <w:rsid w:val="00F35F6B"/>
    <w:pPr>
      <w:numPr>
        <w:ilvl w:val="2"/>
        <w:numId w:val="38"/>
      </w:numPr>
    </w:pPr>
    <w:rPr>
      <w:rFonts w:ascii="Arial" w:hAnsi="Arial"/>
      <w:sz w:val="16"/>
    </w:rPr>
  </w:style>
  <w:style w:type="paragraph" w:customStyle="1" w:styleId="SmallDeltasRightAligned">
    <w:name w:val="SmallDeltasRightAligned"/>
    <w:basedOn w:val="Normal"/>
    <w:rsid w:val="00C249C7"/>
    <w:pPr>
      <w:spacing w:before="0" w:after="0" w:line="240" w:lineRule="auto"/>
      <w:jc w:val="right"/>
    </w:pPr>
  </w:style>
  <w:style w:type="paragraph" w:customStyle="1" w:styleId="SmallDeltasLeftAligned">
    <w:name w:val="SmallDeltasLeftAligned"/>
    <w:basedOn w:val="BodyText"/>
    <w:semiHidden/>
    <w:rsid w:val="00C249C7"/>
  </w:style>
  <w:style w:type="paragraph" w:customStyle="1" w:styleId="LandscapeHeader">
    <w:name w:val="LandscapeHeader"/>
    <w:basedOn w:val="Header"/>
    <w:rsid w:val="00C249C7"/>
    <w:pPr>
      <w:pBdr>
        <w:top w:val="single" w:sz="6" w:space="2" w:color="A6A6A6" w:themeColor="background1" w:themeShade="A6"/>
      </w:pBdr>
      <w:tabs>
        <w:tab w:val="left" w:pos="567"/>
      </w:tabs>
      <w:jc w:val="right"/>
    </w:pPr>
    <w:rPr>
      <w:rFonts w:ascii="Novecento Book" w:hAnsi="Novecento Book"/>
      <w:b/>
      <w:spacing w:val="22"/>
      <w:sz w:val="14"/>
      <w:szCs w:val="14"/>
    </w:rPr>
  </w:style>
  <w:style w:type="paragraph" w:customStyle="1" w:styleId="PortraitHeader">
    <w:name w:val="PortraitHeader"/>
    <w:basedOn w:val="Normal"/>
    <w:semiHidden/>
    <w:rsid w:val="00C249C7"/>
    <w:pPr>
      <w:pBdr>
        <w:top w:val="single" w:sz="6" w:space="2" w:color="A6A6A6" w:themeColor="background1" w:themeShade="A6"/>
      </w:pBdr>
      <w:tabs>
        <w:tab w:val="left" w:pos="567"/>
      </w:tabs>
      <w:spacing w:before="0" w:after="0" w:line="240" w:lineRule="auto"/>
      <w:ind w:left="-2268"/>
      <w:jc w:val="right"/>
    </w:pPr>
    <w:rPr>
      <w:rFonts w:ascii="Novecento Book" w:hAnsi="Novecento Book"/>
      <w:b/>
      <w:spacing w:val="22"/>
      <w:sz w:val="14"/>
      <w:szCs w:val="14"/>
    </w:rPr>
  </w:style>
  <w:style w:type="paragraph" w:customStyle="1" w:styleId="PortraitFooter">
    <w:name w:val="PortraitFooter"/>
    <w:basedOn w:val="Normal"/>
    <w:rsid w:val="00C249C7"/>
    <w:pPr>
      <w:spacing w:before="0" w:after="0" w:line="240" w:lineRule="auto"/>
      <w:jc w:val="right"/>
    </w:pPr>
    <w:rPr>
      <w:rFonts w:asciiTheme="majorHAnsi" w:eastAsia="Calibri" w:hAnsiTheme="majorHAnsi"/>
      <w:caps/>
      <w:sz w:val="14"/>
      <w:szCs w:val="14"/>
    </w:rPr>
  </w:style>
  <w:style w:type="paragraph" w:customStyle="1" w:styleId="LandscapeFooter">
    <w:name w:val="LandscapeFooter"/>
    <w:basedOn w:val="PortraitFooter"/>
    <w:rsid w:val="00C249C7"/>
    <w:rPr>
      <w:b/>
    </w:rPr>
  </w:style>
  <w:style w:type="paragraph" w:customStyle="1" w:styleId="AACHeader">
    <w:name w:val="AACHeader"/>
    <w:basedOn w:val="Header"/>
    <w:rsid w:val="00EA4292"/>
    <w:pPr>
      <w:pBdr>
        <w:top w:val="single" w:sz="6" w:space="2" w:color="A6A6A6" w:themeColor="background1" w:themeShade="A6"/>
      </w:pBdr>
      <w:ind w:left="-2552"/>
      <w:jc w:val="right"/>
    </w:pPr>
    <w:rPr>
      <w:rFonts w:asciiTheme="majorHAnsi" w:hAnsiTheme="majorHAnsi" w:cstheme="majorHAnsi"/>
      <w:b/>
      <w:caps/>
      <w:spacing w:val="22"/>
      <w:sz w:val="14"/>
      <w:szCs w:val="14"/>
    </w:rPr>
  </w:style>
  <w:style w:type="paragraph" w:customStyle="1" w:styleId="AACFooter">
    <w:name w:val="AACFooter"/>
    <w:basedOn w:val="Footer"/>
    <w:semiHidden/>
    <w:rsid w:val="00C249C7"/>
    <w:pPr>
      <w:jc w:val="right"/>
    </w:pPr>
    <w:rPr>
      <w:rFonts w:ascii="Novecento Book" w:eastAsia="Calibri" w:hAnsi="Novecento Book"/>
      <w:szCs w:val="14"/>
    </w:rPr>
  </w:style>
  <w:style w:type="paragraph" w:customStyle="1" w:styleId="Tabletext">
    <w:name w:val="Table text"/>
    <w:uiPriority w:val="3"/>
    <w:rsid w:val="009949E9"/>
    <w:pPr>
      <w:keepNext/>
      <w:keepLines/>
      <w:spacing w:before="40" w:after="40" w:line="240" w:lineRule="auto"/>
    </w:pPr>
    <w:rPr>
      <w:rFonts w:ascii="Arial" w:hAnsi="Arial"/>
      <w:color w:val="000000"/>
      <w:sz w:val="16"/>
      <w:lang w:eastAsia="en-US"/>
    </w:rPr>
  </w:style>
  <w:style w:type="paragraph" w:customStyle="1" w:styleId="SpaceAboveAppendixTOC">
    <w:name w:val="SpaceAboveAppendixTOC"/>
    <w:basedOn w:val="BodyText"/>
    <w:uiPriority w:val="8"/>
    <w:semiHidden/>
    <w:rsid w:val="00C249C7"/>
    <w:pPr>
      <w:pBdr>
        <w:top w:val="single" w:sz="4" w:space="1" w:color="A6A6A6" w:themeColor="background1" w:themeShade="A6"/>
      </w:pBdr>
    </w:pPr>
  </w:style>
  <w:style w:type="paragraph" w:customStyle="1" w:styleId="SpaceAboveInTOC">
    <w:name w:val="SpaceAboveInTOC"/>
    <w:basedOn w:val="BodyText"/>
    <w:rsid w:val="00C249C7"/>
    <w:pPr>
      <w:pBdr>
        <w:top w:val="single" w:sz="4" w:space="1" w:color="A6A6A6" w:themeColor="background1" w:themeShade="A6"/>
      </w:pBdr>
      <w:spacing w:before="0" w:after="0" w:line="240" w:lineRule="auto"/>
    </w:pPr>
  </w:style>
  <w:style w:type="paragraph" w:customStyle="1" w:styleId="ContactPageDeltas">
    <w:name w:val="ContactPageDeltas"/>
    <w:basedOn w:val="Normal"/>
    <w:rsid w:val="00C249C7"/>
    <w:pPr>
      <w:spacing w:before="0" w:after="0" w:line="240" w:lineRule="auto"/>
    </w:pPr>
  </w:style>
  <w:style w:type="paragraph" w:customStyle="1" w:styleId="ReportTo">
    <w:name w:val="ReportTo"/>
    <w:basedOn w:val="Normal"/>
    <w:rsid w:val="00C249C7"/>
    <w:pPr>
      <w:spacing w:before="0" w:after="0" w:line="240" w:lineRule="auto"/>
    </w:pPr>
    <w:rPr>
      <w:rFonts w:asciiTheme="majorHAnsi" w:hAnsiTheme="majorHAnsi"/>
      <w:caps/>
      <w:sz w:val="22"/>
    </w:rPr>
  </w:style>
  <w:style w:type="paragraph" w:customStyle="1" w:styleId="CoverPageDeltas">
    <w:name w:val="CoverPageDeltas"/>
    <w:basedOn w:val="Normal"/>
    <w:rsid w:val="00C249C7"/>
    <w:pPr>
      <w:spacing w:before="0" w:after="0" w:line="240" w:lineRule="auto"/>
      <w:jc w:val="right"/>
    </w:pPr>
  </w:style>
  <w:style w:type="paragraph" w:customStyle="1" w:styleId="PreparedFor0">
    <w:name w:val="Prepared For"/>
    <w:basedOn w:val="Normal"/>
    <w:rsid w:val="00C249C7"/>
    <w:pPr>
      <w:spacing w:before="0" w:after="0" w:line="240" w:lineRule="auto"/>
    </w:pPr>
    <w:rPr>
      <w:rFonts w:asciiTheme="majorHAnsi" w:eastAsiaTheme="minorHAnsi" w:hAnsiTheme="majorHAnsi"/>
      <w:b/>
      <w:caps/>
      <w:sz w:val="22"/>
      <w:szCs w:val="20"/>
    </w:rPr>
  </w:style>
  <w:style w:type="character" w:customStyle="1" w:styleId="StyleTextBrandingNotBoldCustomColorRGB25517459Expan">
    <w:name w:val="Style TextBranding + Not Bold Custom Color(RGB(25517459)) Expan..."/>
    <w:basedOn w:val="DefaultParagraphFont"/>
    <w:uiPriority w:val="7"/>
    <w:rsid w:val="00C249C7"/>
    <w:rPr>
      <w:color w:val="FFAE3B"/>
      <w:spacing w:val="120"/>
    </w:rPr>
  </w:style>
  <w:style w:type="paragraph" w:customStyle="1" w:styleId="TextBranding">
    <w:name w:val="TextBranding"/>
    <w:basedOn w:val="Normal"/>
    <w:rsid w:val="00C249C7"/>
    <w:pPr>
      <w:spacing w:before="0" w:after="0" w:line="240" w:lineRule="auto"/>
    </w:pPr>
    <w:rPr>
      <w:rFonts w:ascii="Novecento Book" w:eastAsiaTheme="minorHAnsi" w:hAnsi="Novecento Book"/>
      <w:b/>
      <w:caps/>
      <w:color w:val="9757A6"/>
      <w:spacing w:val="60"/>
      <w:sz w:val="27"/>
    </w:rPr>
  </w:style>
  <w:style w:type="paragraph" w:customStyle="1" w:styleId="TextBrandingPurple">
    <w:name w:val="TextBrandingPurple"/>
    <w:basedOn w:val="Normal"/>
    <w:rsid w:val="00C249C7"/>
    <w:pPr>
      <w:spacing w:before="0" w:after="0" w:line="240" w:lineRule="auto"/>
    </w:pPr>
    <w:rPr>
      <w:rFonts w:asciiTheme="majorHAnsi" w:eastAsiaTheme="minorHAnsi" w:hAnsiTheme="majorHAnsi"/>
      <w:b/>
      <w:caps/>
      <w:color w:val="9757A6"/>
      <w:spacing w:val="120"/>
      <w:sz w:val="25"/>
    </w:rPr>
  </w:style>
  <w:style w:type="paragraph" w:customStyle="1" w:styleId="TextBrandingYellow">
    <w:name w:val="TextBrandingYellow"/>
    <w:basedOn w:val="TextBrandingPurple"/>
    <w:uiPriority w:val="7"/>
    <w:rsid w:val="00C249C7"/>
    <w:rPr>
      <w:b w:val="0"/>
      <w:caps w:val="0"/>
      <w:color w:val="FFAE3B"/>
    </w:rPr>
  </w:style>
  <w:style w:type="paragraph" w:customStyle="1" w:styleId="TitleShort">
    <w:name w:val="Title Short"/>
    <w:basedOn w:val="Normal"/>
    <w:qFormat/>
    <w:rsid w:val="00C249C7"/>
    <w:pPr>
      <w:spacing w:after="0" w:line="780" w:lineRule="exact"/>
    </w:pPr>
    <w:rPr>
      <w:rFonts w:ascii="Georgia" w:eastAsiaTheme="minorHAnsi" w:hAnsi="Georgia"/>
      <w:b/>
      <w:caps/>
      <w:color w:val="9D57A6"/>
      <w:sz w:val="72"/>
      <w:szCs w:val="20"/>
    </w:rPr>
  </w:style>
  <w:style w:type="paragraph" w:customStyle="1" w:styleId="Image">
    <w:name w:val="Image"/>
    <w:basedOn w:val="Normal"/>
    <w:rsid w:val="00C249C7"/>
    <w:pPr>
      <w:spacing w:before="0" w:after="0" w:line="240" w:lineRule="auto"/>
      <w:jc w:val="right"/>
    </w:pPr>
    <w:rPr>
      <w:rFonts w:eastAsiaTheme="minorHAnsi"/>
      <w:noProof/>
      <w:szCs w:val="20"/>
      <w:lang w:eastAsia="en-AU"/>
    </w:rPr>
  </w:style>
  <w:style w:type="paragraph" w:customStyle="1" w:styleId="SpaceAbove">
    <w:name w:val="SpaceAbove"/>
    <w:basedOn w:val="Normal"/>
    <w:rsid w:val="009949E9"/>
    <w:pPr>
      <w:spacing w:before="0" w:after="0" w:line="240" w:lineRule="auto"/>
    </w:pPr>
    <w:rPr>
      <w:rFonts w:asciiTheme="majorHAnsi" w:eastAsiaTheme="minorHAnsi" w:hAnsiTheme="majorHAnsi"/>
      <w:sz w:val="12"/>
      <w:szCs w:val="20"/>
    </w:rPr>
  </w:style>
  <w:style w:type="paragraph" w:customStyle="1" w:styleId="Disclaimer">
    <w:name w:val="Disclaimer"/>
    <w:basedOn w:val="Normal"/>
    <w:rsid w:val="00FD14ED"/>
    <w:pPr>
      <w:spacing w:before="0" w:after="40" w:line="240" w:lineRule="auto"/>
    </w:pPr>
    <w:rPr>
      <w:rFonts w:asciiTheme="majorHAnsi" w:eastAsiaTheme="minorHAnsi" w:hAnsiTheme="majorHAnsi"/>
      <w:caps/>
      <w:sz w:val="14"/>
      <w:szCs w:val="16"/>
    </w:rPr>
  </w:style>
  <w:style w:type="table" w:customStyle="1" w:styleId="TableGrid10">
    <w:name w:val="Table Grid1"/>
    <w:basedOn w:val="TableNormal"/>
    <w:next w:val="TableGrid"/>
    <w:uiPriority w:val="59"/>
    <w:rsid w:val="00C249C7"/>
    <w:pPr>
      <w:spacing w:before="0" w:line="240" w:lineRule="auto"/>
    </w:pPr>
    <w:rPr>
      <w:rFonts w:ascii="HelveticaNeueLT Std Lt Cn" w:eastAsiaTheme="minorHAnsi" w:hAnsi="HelveticaNeueLT Std Lt C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CILAllenTable">
    <w:name w:val="ACIL Allen Table"/>
    <w:basedOn w:val="TableNormal"/>
    <w:uiPriority w:val="99"/>
    <w:rsid w:val="00C249C7"/>
    <w:pPr>
      <w:spacing w:before="40" w:after="40" w:line="240" w:lineRule="auto"/>
    </w:pPr>
    <w:rPr>
      <w:rFonts w:asciiTheme="minorHAnsi" w:hAnsiTheme="minorHAnsi"/>
      <w:sz w:val="16"/>
    </w:rPr>
    <w:tblPr>
      <w:tblInd w:w="0" w:type="dxa"/>
      <w:tblBorders>
        <w:bottom w:val="single" w:sz="6" w:space="0" w:color="BFBFBF" w:themeColor="background1" w:themeShade="BF"/>
        <w:insideH w:val="single" w:sz="6" w:space="0" w:color="BFBFBF" w:themeColor="background1" w:themeShade="BF"/>
      </w:tblBorders>
      <w:tblCellMar>
        <w:top w:w="0" w:type="dxa"/>
        <w:left w:w="108" w:type="dxa"/>
        <w:bottom w:w="0" w:type="dxa"/>
        <w:right w:w="108" w:type="dxa"/>
      </w:tblCellMar>
    </w:tblPr>
    <w:tblStylePr w:type="firstRow">
      <w:rPr>
        <w:rFonts w:asciiTheme="minorHAnsi" w:hAnsiTheme="minorHAnsi"/>
        <w:color w:val="FFFFFF" w:themeColor="background1"/>
        <w:sz w:val="16"/>
      </w:rPr>
      <w:tblPr/>
      <w:tcPr>
        <w:shd w:val="clear" w:color="auto" w:fill="9757A6"/>
      </w:tcPr>
    </w:tblStylePr>
    <w:tblStylePr w:type="lastRow">
      <w:tblPr/>
      <w:tcPr>
        <w:tcBorders>
          <w:bottom w:val="single" w:sz="6" w:space="0" w:color="C0C0C0"/>
        </w:tcBorders>
      </w:tcPr>
    </w:tblStylePr>
  </w:style>
  <w:style w:type="numbering" w:customStyle="1" w:styleId="ACILAllenBoxBulletedList">
    <w:name w:val="ACIL Allen Box Bulleted List"/>
    <w:uiPriority w:val="99"/>
    <w:rsid w:val="007F1F56"/>
    <w:pPr>
      <w:numPr>
        <w:numId w:val="12"/>
      </w:numPr>
    </w:pPr>
  </w:style>
  <w:style w:type="numbering" w:customStyle="1" w:styleId="ACILAllenBoxListNumbering">
    <w:name w:val="ACIL Allen Box List Numbering"/>
    <w:uiPriority w:val="99"/>
    <w:rsid w:val="007F1F56"/>
    <w:pPr>
      <w:numPr>
        <w:numId w:val="13"/>
      </w:numPr>
    </w:pPr>
  </w:style>
  <w:style w:type="numbering" w:customStyle="1" w:styleId="ACILAllenNumberedList">
    <w:name w:val="ACIL Allen Numbered List"/>
    <w:uiPriority w:val="99"/>
    <w:rsid w:val="00C249C7"/>
    <w:pPr>
      <w:numPr>
        <w:numId w:val="14"/>
      </w:numPr>
    </w:pPr>
  </w:style>
  <w:style w:type="numbering" w:customStyle="1" w:styleId="ACILAllenTableBulletedList">
    <w:name w:val="ACIL Allen Table Bulleted List"/>
    <w:uiPriority w:val="99"/>
    <w:rsid w:val="00F35F6B"/>
    <w:pPr>
      <w:numPr>
        <w:numId w:val="15"/>
      </w:numPr>
    </w:pPr>
  </w:style>
  <w:style w:type="numbering" w:customStyle="1" w:styleId="ACILAllenTableListNumbering">
    <w:name w:val="ACIL Allen Table List Numbering"/>
    <w:uiPriority w:val="99"/>
    <w:rsid w:val="00520ED6"/>
    <w:pPr>
      <w:numPr>
        <w:numId w:val="25"/>
      </w:numPr>
    </w:pPr>
  </w:style>
  <w:style w:type="paragraph" w:customStyle="1" w:styleId="TableQuote">
    <w:name w:val="Table Quote"/>
    <w:basedOn w:val="Tabletext"/>
    <w:uiPriority w:val="3"/>
    <w:rsid w:val="009949E9"/>
    <w:pPr>
      <w:ind w:left="113" w:right="113"/>
    </w:pPr>
  </w:style>
  <w:style w:type="paragraph" w:customStyle="1" w:styleId="TableQuoteBullet">
    <w:name w:val="Table Quote Bullet"/>
    <w:basedOn w:val="TableQuote"/>
    <w:uiPriority w:val="3"/>
    <w:rsid w:val="00E57AAC"/>
    <w:pPr>
      <w:numPr>
        <w:numId w:val="29"/>
      </w:numPr>
    </w:pPr>
  </w:style>
  <w:style w:type="paragraph" w:customStyle="1" w:styleId="LetterHeading1">
    <w:name w:val="Letter Heading 1"/>
    <w:next w:val="BodyText"/>
    <w:uiPriority w:val="7"/>
    <w:qFormat/>
    <w:rsid w:val="00C249C7"/>
    <w:pPr>
      <w:spacing w:before="200" w:line="240" w:lineRule="auto"/>
    </w:pPr>
    <w:rPr>
      <w:rFonts w:asciiTheme="majorHAnsi" w:hAnsiTheme="majorHAnsi"/>
      <w:b/>
      <w:sz w:val="20"/>
      <w:szCs w:val="36"/>
      <w:lang w:eastAsia="en-AU"/>
    </w:rPr>
  </w:style>
  <w:style w:type="paragraph" w:customStyle="1" w:styleId="LetterHeading2">
    <w:name w:val="Letter Heading 2"/>
    <w:basedOn w:val="LetterHeading1"/>
    <w:next w:val="BodyText"/>
    <w:uiPriority w:val="7"/>
    <w:qFormat/>
    <w:rsid w:val="00C249C7"/>
    <w:rPr>
      <w:i/>
      <w:sz w:val="18"/>
      <w:szCs w:val="28"/>
    </w:rPr>
  </w:style>
  <w:style w:type="paragraph" w:customStyle="1" w:styleId="LetterHeading3">
    <w:name w:val="Letter Heading 3"/>
    <w:basedOn w:val="LetterHeading2"/>
    <w:next w:val="BodyText"/>
    <w:uiPriority w:val="7"/>
    <w:qFormat/>
    <w:rsid w:val="00C249C7"/>
    <w:rPr>
      <w:b w:val="0"/>
      <w:szCs w:val="27"/>
    </w:rPr>
  </w:style>
  <w:style w:type="paragraph" w:customStyle="1" w:styleId="LetterAddress">
    <w:name w:val="LetterAddress"/>
    <w:basedOn w:val="LetterName"/>
    <w:uiPriority w:val="99"/>
    <w:rsid w:val="00610859"/>
    <w:pPr>
      <w:jc w:val="both"/>
    </w:pPr>
  </w:style>
  <w:style w:type="paragraph" w:customStyle="1" w:styleId="LetterCityStatePostcode">
    <w:name w:val="LetterCityStatePostcode"/>
    <w:basedOn w:val="LetterName"/>
    <w:uiPriority w:val="99"/>
    <w:rsid w:val="00610859"/>
    <w:pPr>
      <w:spacing w:line="260" w:lineRule="exact"/>
    </w:pPr>
  </w:style>
  <w:style w:type="paragraph" w:customStyle="1" w:styleId="LetterCompany">
    <w:name w:val="LetterCompany"/>
    <w:basedOn w:val="LetterName"/>
    <w:uiPriority w:val="99"/>
    <w:rsid w:val="00610859"/>
  </w:style>
  <w:style w:type="paragraph" w:customStyle="1" w:styleId="LetterDate">
    <w:name w:val="LetterDate"/>
    <w:basedOn w:val="LetterName"/>
    <w:uiPriority w:val="99"/>
    <w:rsid w:val="00EF6248"/>
    <w:pPr>
      <w:spacing w:before="600"/>
    </w:pPr>
  </w:style>
  <w:style w:type="paragraph" w:customStyle="1" w:styleId="LetterName">
    <w:name w:val="LetterName"/>
    <w:basedOn w:val="Normal"/>
    <w:uiPriority w:val="99"/>
    <w:rsid w:val="00610859"/>
    <w:pPr>
      <w:spacing w:before="0" w:after="0" w:line="280" w:lineRule="exact"/>
    </w:pPr>
    <w:rPr>
      <w:sz w:val="22"/>
      <w:szCs w:val="20"/>
    </w:rPr>
  </w:style>
  <w:style w:type="paragraph" w:customStyle="1" w:styleId="LetterSubject">
    <w:name w:val="LetterSubject"/>
    <w:basedOn w:val="Normal"/>
    <w:next w:val="Normal"/>
    <w:uiPriority w:val="99"/>
    <w:semiHidden/>
    <w:rsid w:val="00C249C7"/>
    <w:pPr>
      <w:tabs>
        <w:tab w:val="left" w:pos="4395"/>
        <w:tab w:val="left" w:pos="6946"/>
      </w:tabs>
      <w:spacing w:before="400" w:after="200" w:line="260" w:lineRule="exact"/>
    </w:pPr>
    <w:rPr>
      <w:b/>
      <w:caps/>
      <w:szCs w:val="20"/>
    </w:rPr>
  </w:style>
  <w:style w:type="paragraph" w:customStyle="1" w:styleId="LetterTitle">
    <w:name w:val="LetterTitle"/>
    <w:basedOn w:val="LetterName"/>
    <w:uiPriority w:val="99"/>
    <w:rsid w:val="00610859"/>
  </w:style>
  <w:style w:type="character" w:customStyle="1" w:styleId="ACILAllenYellow">
    <w:name w:val="ACIL Allen Yellow"/>
    <w:basedOn w:val="DefaultParagraphFont"/>
    <w:uiPriority w:val="1"/>
    <w:rsid w:val="00C249C7"/>
    <w:rPr>
      <w:color w:val="FFAE3B"/>
    </w:rPr>
  </w:style>
  <w:style w:type="character" w:customStyle="1" w:styleId="PageNumberLandscapeChar">
    <w:name w:val="Page Number Landscape Char"/>
    <w:basedOn w:val="DefaultParagraphFont"/>
    <w:link w:val="PageNumberLandscape"/>
    <w:semiHidden/>
    <w:rsid w:val="00C249C7"/>
    <w:rPr>
      <w:rFonts w:asciiTheme="minorHAnsi" w:hAnsiTheme="minorHAnsi"/>
      <w:lang w:eastAsia="en-US"/>
    </w:rPr>
  </w:style>
  <w:style w:type="character" w:customStyle="1" w:styleId="CaptionLabel">
    <w:name w:val="Caption Label"/>
    <w:qFormat/>
    <w:rsid w:val="00C249C7"/>
    <w:rPr>
      <w:b/>
    </w:rPr>
  </w:style>
  <w:style w:type="paragraph" w:customStyle="1" w:styleId="SideQuote">
    <w:name w:val="Side Quote"/>
    <w:basedOn w:val="SideNote"/>
    <w:link w:val="SideQuoteChar"/>
    <w:rsid w:val="00C249C7"/>
    <w:pPr>
      <w:framePr w:wrap="around"/>
      <w:pBdr>
        <w:top w:val="single" w:sz="12" w:space="3" w:color="9757A6" w:themeColor="accent1"/>
        <w:bottom w:val="single" w:sz="12" w:space="3" w:color="9757A6" w:themeColor="accent1"/>
      </w:pBdr>
    </w:pPr>
    <w:rPr>
      <w:color w:val="808080" w:themeColor="background1" w:themeShade="80"/>
    </w:rPr>
  </w:style>
  <w:style w:type="paragraph" w:customStyle="1" w:styleId="SideQuoteSource">
    <w:name w:val="Side Quote Source"/>
    <w:basedOn w:val="SideQuote"/>
    <w:next w:val="BodyText"/>
    <w:rsid w:val="00C249C7"/>
    <w:pPr>
      <w:framePr w:wrap="around"/>
      <w:jc w:val="right"/>
    </w:pPr>
    <w:rPr>
      <w:i/>
    </w:rPr>
  </w:style>
  <w:style w:type="paragraph" w:customStyle="1" w:styleId="Style1">
    <w:name w:val="Style1"/>
    <w:basedOn w:val="SideQuote"/>
    <w:next w:val="BodyText"/>
    <w:link w:val="Style1Char"/>
    <w:rsid w:val="00C249C7"/>
    <w:pPr>
      <w:keepNext w:val="0"/>
      <w:framePr w:w="0" w:hSpace="0" w:vSpace="0" w:wrap="auto" w:vAnchor="margin" w:hAnchor="text" w:xAlign="left" w:yAlign="inline"/>
      <w:spacing w:before="120" w:after="120" w:line="240" w:lineRule="exact"/>
    </w:pPr>
    <w:rPr>
      <w:b w:val="0"/>
      <w:color w:val="9757A6" w:themeColor="accent1"/>
      <w:sz w:val="18"/>
      <w:lang w:eastAsia="en-US"/>
    </w:rPr>
  </w:style>
  <w:style w:type="character" w:customStyle="1" w:styleId="Style1Char">
    <w:name w:val="Style1 Char"/>
    <w:basedOn w:val="DefaultParagraphFont"/>
    <w:link w:val="Style1"/>
    <w:rsid w:val="00C249C7"/>
    <w:rPr>
      <w:rFonts w:asciiTheme="minorHAnsi" w:hAnsiTheme="minorHAnsi"/>
      <w:color w:val="9757A6" w:themeColor="accent1"/>
      <w:sz w:val="18"/>
      <w:lang w:eastAsia="en-US"/>
    </w:rPr>
  </w:style>
  <w:style w:type="character" w:customStyle="1" w:styleId="SideQuoteChar">
    <w:name w:val="Side Quote Char"/>
    <w:basedOn w:val="DefaultParagraphFont"/>
    <w:link w:val="SideQuote"/>
    <w:rsid w:val="00C249C7"/>
    <w:rPr>
      <w:rFonts w:asciiTheme="minorHAnsi" w:hAnsiTheme="minorHAnsi"/>
      <w:b/>
      <w:color w:val="808080" w:themeColor="background1" w:themeShade="80"/>
      <w:sz w:val="16"/>
      <w:lang w:eastAsia="en-AU"/>
    </w:rPr>
  </w:style>
  <w:style w:type="paragraph" w:customStyle="1" w:styleId="ExecSummaryHeading">
    <w:name w:val="Exec Summary Heading"/>
    <w:basedOn w:val="Heading1nonumber"/>
    <w:next w:val="BodyText"/>
    <w:rsid w:val="00B61DF9"/>
    <w:pPr>
      <w:pBdr>
        <w:top w:val="single" w:sz="48" w:space="30" w:color="9757A6"/>
        <w:left w:val="single" w:sz="48" w:space="4" w:color="9757A6"/>
        <w:bottom w:val="single" w:sz="48" w:space="5" w:color="9757A6"/>
      </w:pBdr>
      <w:shd w:val="clear" w:color="auto" w:fill="9757A6"/>
      <w:spacing w:before="0"/>
    </w:pPr>
    <w:rPr>
      <w:color w:val="FFFFFF" w:themeColor="background1"/>
    </w:rPr>
  </w:style>
  <w:style w:type="paragraph" w:customStyle="1" w:styleId="QuoteSource">
    <w:name w:val="Quote Source"/>
    <w:basedOn w:val="Quote"/>
    <w:next w:val="BodyText"/>
    <w:rsid w:val="00C249C7"/>
    <w:pPr>
      <w:jc w:val="right"/>
    </w:pPr>
    <w:rPr>
      <w:i/>
    </w:rPr>
  </w:style>
  <w:style w:type="paragraph" w:customStyle="1" w:styleId="BoxQuoteSource">
    <w:name w:val="Box Quote Source"/>
    <w:basedOn w:val="BoxQuote"/>
    <w:rsid w:val="00C249C7"/>
    <w:pPr>
      <w:ind w:right="199"/>
      <w:jc w:val="right"/>
    </w:pPr>
    <w:rPr>
      <w:i/>
    </w:rPr>
  </w:style>
  <w:style w:type="paragraph" w:customStyle="1" w:styleId="TableQuoteSource">
    <w:name w:val="Table Quote Source"/>
    <w:basedOn w:val="TableQuote"/>
    <w:rsid w:val="00C249C7"/>
    <w:pPr>
      <w:jc w:val="right"/>
    </w:pPr>
    <w:rPr>
      <w:i/>
    </w:rPr>
  </w:style>
  <w:style w:type="paragraph" w:customStyle="1" w:styleId="ConsultantContact">
    <w:name w:val="Consultant Contact"/>
    <w:basedOn w:val="BodyText"/>
    <w:rsid w:val="007377C2"/>
    <w:rPr>
      <w:color w:val="808080" w:themeColor="background1" w:themeShade="80"/>
      <w:sz w:val="20"/>
    </w:rPr>
  </w:style>
  <w:style w:type="paragraph" w:customStyle="1" w:styleId="CoverInfoHeading">
    <w:name w:val="Cover Info Heading"/>
    <w:basedOn w:val="CoverInfo"/>
    <w:rsid w:val="007377C2"/>
    <w:rPr>
      <w:b/>
      <w:color w:val="9757A6"/>
      <w:sz w:val="20"/>
      <w:lang w:val="en-AU"/>
    </w:rPr>
  </w:style>
  <w:style w:type="numbering" w:customStyle="1" w:styleId="ACILAllenBulletedlist">
    <w:name w:val="ACIL Allen Bulleted list"/>
    <w:uiPriority w:val="99"/>
    <w:rsid w:val="00DC3BEE"/>
    <w:pPr>
      <w:numPr>
        <w:numId w:val="17"/>
      </w:numPr>
    </w:pPr>
  </w:style>
  <w:style w:type="paragraph" w:customStyle="1" w:styleId="ListDash">
    <w:name w:val="List Dash"/>
    <w:basedOn w:val="BodyText"/>
    <w:rsid w:val="00A62441"/>
    <w:pPr>
      <w:numPr>
        <w:numId w:val="22"/>
      </w:numPr>
      <w:spacing w:before="60" w:after="60"/>
    </w:pPr>
  </w:style>
  <w:style w:type="paragraph" w:customStyle="1" w:styleId="ListDash2">
    <w:name w:val="List Dash 2"/>
    <w:basedOn w:val="ListDash"/>
    <w:rsid w:val="00160E03"/>
    <w:pPr>
      <w:numPr>
        <w:ilvl w:val="1"/>
      </w:numPr>
      <w:ind w:left="567"/>
    </w:pPr>
  </w:style>
  <w:style w:type="paragraph" w:customStyle="1" w:styleId="ListDash3">
    <w:name w:val="List Dash 3"/>
    <w:basedOn w:val="ListDash2"/>
    <w:rsid w:val="00160E03"/>
    <w:pPr>
      <w:numPr>
        <w:ilvl w:val="2"/>
      </w:numPr>
      <w:ind w:left="851"/>
    </w:pPr>
  </w:style>
  <w:style w:type="numbering" w:customStyle="1" w:styleId="ACILAllenDashedList">
    <w:name w:val="ACIL Allen Dashed List"/>
    <w:uiPriority w:val="99"/>
    <w:rsid w:val="00A62441"/>
    <w:pPr>
      <w:numPr>
        <w:numId w:val="18"/>
      </w:numPr>
    </w:pPr>
  </w:style>
  <w:style w:type="paragraph" w:customStyle="1" w:styleId="NewPartDeltas">
    <w:name w:val="NewPartDeltas"/>
    <w:basedOn w:val="BodyText"/>
    <w:rsid w:val="00C249C7"/>
    <w:pPr>
      <w:spacing w:before="0" w:after="0" w:line="240" w:lineRule="auto"/>
    </w:pPr>
    <w:rPr>
      <w:noProof/>
    </w:rPr>
  </w:style>
  <w:style w:type="paragraph" w:customStyle="1" w:styleId="Part">
    <w:name w:val="Part"/>
    <w:basedOn w:val="Normal"/>
    <w:rsid w:val="007B3211"/>
    <w:pPr>
      <w:spacing w:before="0" w:after="0" w:line="240" w:lineRule="auto"/>
    </w:pPr>
    <w:rPr>
      <w:rFonts w:asciiTheme="majorHAnsi" w:hAnsiTheme="majorHAnsi"/>
      <w:color w:val="FFFFFF" w:themeColor="background1"/>
      <w:spacing w:val="80"/>
      <w:sz w:val="80"/>
      <w:szCs w:val="80"/>
    </w:rPr>
  </w:style>
  <w:style w:type="paragraph" w:customStyle="1" w:styleId="PartTitle">
    <w:name w:val="Part Title"/>
    <w:basedOn w:val="BodyText"/>
    <w:rsid w:val="007B3211"/>
    <w:pPr>
      <w:spacing w:line="240" w:lineRule="auto"/>
    </w:pPr>
    <w:rPr>
      <w:rFonts w:ascii="Arial Narrow" w:hAnsi="Arial Narrow" w:cstheme="majorHAnsi"/>
      <w:b/>
      <w:caps/>
      <w:color w:val="FFAE3B"/>
      <w:spacing w:val="100"/>
      <w:sz w:val="40"/>
      <w:szCs w:val="40"/>
      <w:lang w:eastAsia="zh-CN"/>
    </w:rPr>
  </w:style>
  <w:style w:type="paragraph" w:customStyle="1" w:styleId="PartNumberOnly">
    <w:name w:val="PartNumberOnly"/>
    <w:basedOn w:val="Normal"/>
    <w:rsid w:val="00CF7515"/>
    <w:pPr>
      <w:spacing w:before="0" w:after="0" w:line="240" w:lineRule="auto"/>
      <w:jc w:val="center"/>
    </w:pPr>
    <w:rPr>
      <w:rFonts w:ascii="Georgia" w:hAnsi="Georgia"/>
      <w:color w:val="FFFFFF" w:themeColor="background1"/>
      <w:sz w:val="144"/>
    </w:rPr>
  </w:style>
  <w:style w:type="numbering" w:customStyle="1" w:styleId="ATbulletedlist">
    <w:name w:val="AT bulleted list"/>
    <w:uiPriority w:val="99"/>
    <w:rsid w:val="00C249C7"/>
    <w:pPr>
      <w:numPr>
        <w:numId w:val="19"/>
      </w:numPr>
    </w:pPr>
  </w:style>
  <w:style w:type="numbering" w:customStyle="1" w:styleId="ATBoxBulletedList">
    <w:name w:val="AT Box Bulleted List"/>
    <w:uiPriority w:val="99"/>
    <w:rsid w:val="00C249C7"/>
    <w:pPr>
      <w:numPr>
        <w:numId w:val="20"/>
      </w:numPr>
    </w:pPr>
  </w:style>
  <w:style w:type="numbering" w:customStyle="1" w:styleId="ACILAllenPartNumbers">
    <w:name w:val="ACIL Allen Part Numbers"/>
    <w:uiPriority w:val="99"/>
    <w:rsid w:val="00C249C7"/>
    <w:pPr>
      <w:numPr>
        <w:numId w:val="21"/>
      </w:numPr>
    </w:pPr>
  </w:style>
  <w:style w:type="paragraph" w:customStyle="1" w:styleId="LetterRef">
    <w:name w:val="LetterRef"/>
    <w:basedOn w:val="LetterDate"/>
    <w:rsid w:val="002F733E"/>
    <w:pPr>
      <w:spacing w:before="40" w:after="600"/>
    </w:pPr>
  </w:style>
  <w:style w:type="numbering" w:customStyle="1" w:styleId="PartNumber">
    <w:name w:val="Part Number"/>
    <w:uiPriority w:val="99"/>
    <w:rsid w:val="00E321F5"/>
    <w:pPr>
      <w:numPr>
        <w:numId w:val="45"/>
      </w:numPr>
    </w:pPr>
  </w:style>
  <w:style w:type="character" w:customStyle="1" w:styleId="ListBulletChar">
    <w:name w:val="List Bullet Char"/>
    <w:basedOn w:val="DefaultParagraphFont"/>
    <w:link w:val="ListBullet"/>
    <w:uiPriority w:val="2"/>
    <w:rsid w:val="004A6A46"/>
    <w:rPr>
      <w:rFonts w:asciiTheme="minorHAnsi" w:hAnsiTheme="minorHAnsi"/>
      <w:sz w:val="22"/>
      <w:szCs w:val="22"/>
      <w:lang w:eastAsia="en-AU"/>
    </w:rPr>
  </w:style>
  <w:style w:type="paragraph" w:customStyle="1" w:styleId="font5">
    <w:name w:val="font5"/>
    <w:basedOn w:val="Normal"/>
    <w:rsid w:val="003739E4"/>
    <w:pPr>
      <w:spacing w:before="100" w:beforeAutospacing="1" w:after="100" w:afterAutospacing="1" w:line="240" w:lineRule="auto"/>
    </w:pPr>
    <w:rPr>
      <w:rFonts w:ascii="Century Gothic" w:hAnsi="Century Gothic"/>
      <w:b/>
      <w:bCs/>
      <w:color w:val="000080"/>
      <w:sz w:val="12"/>
      <w:szCs w:val="12"/>
      <w:lang w:eastAsia="en-AU"/>
    </w:rPr>
  </w:style>
  <w:style w:type="paragraph" w:customStyle="1" w:styleId="xl72">
    <w:name w:val="xl72"/>
    <w:basedOn w:val="Normal"/>
    <w:rsid w:val="003739E4"/>
    <w:pPr>
      <w:shd w:val="clear" w:color="000000" w:fill="9757A6"/>
      <w:spacing w:before="100" w:beforeAutospacing="1" w:after="100" w:afterAutospacing="1" w:line="240" w:lineRule="auto"/>
      <w:jc w:val="center"/>
      <w:textAlignment w:val="center"/>
    </w:pPr>
    <w:rPr>
      <w:rFonts w:ascii="Arial Narrow" w:hAnsi="Arial Narrow"/>
      <w:color w:val="FFFFFF"/>
      <w:lang w:eastAsia="en-AU"/>
    </w:rPr>
  </w:style>
  <w:style w:type="paragraph" w:customStyle="1" w:styleId="xl73">
    <w:name w:val="xl73"/>
    <w:basedOn w:val="Normal"/>
    <w:rsid w:val="003739E4"/>
    <w:pPr>
      <w:spacing w:before="100" w:beforeAutospacing="1" w:after="100" w:afterAutospacing="1" w:line="240" w:lineRule="auto"/>
      <w:textAlignment w:val="center"/>
    </w:pPr>
    <w:rPr>
      <w:rFonts w:ascii="Times New Roman" w:hAnsi="Times New Roman"/>
      <w:sz w:val="12"/>
      <w:szCs w:val="12"/>
      <w:lang w:eastAsia="en-AU"/>
    </w:rPr>
  </w:style>
  <w:style w:type="paragraph" w:customStyle="1" w:styleId="xl74">
    <w:name w:val="xl74"/>
    <w:basedOn w:val="Normal"/>
    <w:rsid w:val="003739E4"/>
    <w:pPr>
      <w:spacing w:before="100" w:beforeAutospacing="1" w:after="100" w:afterAutospacing="1" w:line="240" w:lineRule="auto"/>
      <w:jc w:val="center"/>
      <w:textAlignment w:val="center"/>
    </w:pPr>
    <w:rPr>
      <w:rFonts w:ascii="Times New Roman" w:hAnsi="Times New Roman"/>
      <w:sz w:val="12"/>
      <w:szCs w:val="12"/>
      <w:lang w:eastAsia="en-AU"/>
    </w:rPr>
  </w:style>
  <w:style w:type="paragraph" w:customStyle="1" w:styleId="xl75">
    <w:name w:val="xl75"/>
    <w:basedOn w:val="Normal"/>
    <w:rsid w:val="003739E4"/>
    <w:pPr>
      <w:spacing w:before="100" w:beforeAutospacing="1" w:after="100" w:afterAutospacing="1" w:line="240" w:lineRule="auto"/>
      <w:jc w:val="center"/>
      <w:textAlignment w:val="center"/>
    </w:pPr>
    <w:rPr>
      <w:rFonts w:ascii="Times New Roman" w:hAnsi="Times New Roman"/>
      <w:color w:val="000000"/>
      <w:sz w:val="12"/>
      <w:szCs w:val="12"/>
      <w:lang w:eastAsia="en-AU"/>
    </w:rPr>
  </w:style>
  <w:style w:type="paragraph" w:customStyle="1" w:styleId="xl76">
    <w:name w:val="xl76"/>
    <w:basedOn w:val="Normal"/>
    <w:rsid w:val="003739E4"/>
    <w:pPr>
      <w:spacing w:before="100" w:beforeAutospacing="1" w:after="100" w:afterAutospacing="1" w:line="240" w:lineRule="auto"/>
      <w:jc w:val="center"/>
      <w:textAlignment w:val="center"/>
    </w:pPr>
    <w:rPr>
      <w:rFonts w:ascii="Times New Roman" w:hAnsi="Times New Roman"/>
      <w:color w:val="000000"/>
      <w:sz w:val="12"/>
      <w:szCs w:val="12"/>
      <w:lang w:eastAsia="en-AU"/>
    </w:rPr>
  </w:style>
  <w:style w:type="paragraph" w:customStyle="1" w:styleId="xl77">
    <w:name w:val="xl77"/>
    <w:basedOn w:val="Normal"/>
    <w:rsid w:val="00760A9C"/>
    <w:pPr>
      <w:spacing w:before="100" w:beforeAutospacing="1" w:after="100" w:afterAutospacing="1" w:line="240" w:lineRule="auto"/>
      <w:jc w:val="center"/>
      <w:textAlignment w:val="center"/>
    </w:pPr>
    <w:rPr>
      <w:rFonts w:ascii="Times New Roman" w:hAnsi="Times New Roman"/>
      <w:sz w:val="12"/>
      <w:szCs w:val="12"/>
      <w:lang w:eastAsia="en-AU"/>
    </w:rPr>
  </w:style>
  <w:style w:type="paragraph" w:customStyle="1" w:styleId="xl78">
    <w:name w:val="xl78"/>
    <w:basedOn w:val="Normal"/>
    <w:rsid w:val="00760A9C"/>
    <w:pPr>
      <w:shd w:val="clear" w:color="000000" w:fill="9757A6"/>
      <w:spacing w:before="100" w:beforeAutospacing="1" w:after="100" w:afterAutospacing="1" w:line="240" w:lineRule="auto"/>
      <w:textAlignment w:val="center"/>
    </w:pPr>
    <w:rPr>
      <w:rFonts w:ascii="Arial Narrow" w:hAnsi="Arial Narrow"/>
      <w:color w:val="FFFFFF"/>
      <w:lang w:eastAsia="en-AU"/>
    </w:rPr>
  </w:style>
  <w:style w:type="paragraph" w:customStyle="1" w:styleId="xl79">
    <w:name w:val="xl79"/>
    <w:basedOn w:val="Normal"/>
    <w:rsid w:val="00760A9C"/>
    <w:pPr>
      <w:pBdr>
        <w:bottom w:val="single" w:sz="8" w:space="0" w:color="C0C0C0"/>
      </w:pBdr>
      <w:shd w:val="clear" w:color="000000" w:fill="E6E6E6"/>
      <w:spacing w:before="100" w:beforeAutospacing="1" w:after="100" w:afterAutospacing="1" w:line="240" w:lineRule="auto"/>
      <w:jc w:val="center"/>
      <w:textAlignment w:val="center"/>
    </w:pPr>
    <w:rPr>
      <w:rFonts w:ascii="Times New Roman" w:hAnsi="Times New Roman"/>
      <w:lang w:eastAsia="en-AU"/>
    </w:rPr>
  </w:style>
  <w:style w:type="character" w:customStyle="1" w:styleId="FootnoteTextChar">
    <w:name w:val="Footnote Text Char"/>
    <w:basedOn w:val="DefaultParagraphFont"/>
    <w:link w:val="FootnoteText"/>
    <w:rsid w:val="00653055"/>
    <w:rPr>
      <w:rFonts w:asciiTheme="minorHAnsi" w:hAnsiTheme="minorHAnsi"/>
      <w:sz w:val="16"/>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190963">
      <w:bodyDiv w:val="1"/>
      <w:marLeft w:val="0"/>
      <w:marRight w:val="0"/>
      <w:marTop w:val="0"/>
      <w:marBottom w:val="0"/>
      <w:divBdr>
        <w:top w:val="none" w:sz="0" w:space="0" w:color="auto"/>
        <w:left w:val="none" w:sz="0" w:space="0" w:color="auto"/>
        <w:bottom w:val="none" w:sz="0" w:space="0" w:color="auto"/>
        <w:right w:val="none" w:sz="0" w:space="0" w:color="auto"/>
      </w:divBdr>
    </w:div>
    <w:div w:id="1017928851">
      <w:bodyDiv w:val="1"/>
      <w:marLeft w:val="0"/>
      <w:marRight w:val="0"/>
      <w:marTop w:val="0"/>
      <w:marBottom w:val="0"/>
      <w:divBdr>
        <w:top w:val="none" w:sz="0" w:space="0" w:color="auto"/>
        <w:left w:val="none" w:sz="0" w:space="0" w:color="auto"/>
        <w:bottom w:val="none" w:sz="0" w:space="0" w:color="auto"/>
        <w:right w:val="none" w:sz="0" w:space="0" w:color="auto"/>
      </w:divBdr>
    </w:div>
    <w:div w:id="1026836089">
      <w:bodyDiv w:val="1"/>
      <w:marLeft w:val="0"/>
      <w:marRight w:val="0"/>
      <w:marTop w:val="0"/>
      <w:marBottom w:val="0"/>
      <w:divBdr>
        <w:top w:val="none" w:sz="0" w:space="0" w:color="auto"/>
        <w:left w:val="none" w:sz="0" w:space="0" w:color="auto"/>
        <w:bottom w:val="none" w:sz="0" w:space="0" w:color="auto"/>
        <w:right w:val="none" w:sz="0" w:space="0" w:color="auto"/>
      </w:divBdr>
    </w:div>
    <w:div w:id="1419904251">
      <w:bodyDiv w:val="1"/>
      <w:marLeft w:val="0"/>
      <w:marRight w:val="0"/>
      <w:marTop w:val="0"/>
      <w:marBottom w:val="0"/>
      <w:divBdr>
        <w:top w:val="none" w:sz="0" w:space="0" w:color="auto"/>
        <w:left w:val="none" w:sz="0" w:space="0" w:color="auto"/>
        <w:bottom w:val="none" w:sz="0" w:space="0" w:color="auto"/>
        <w:right w:val="none" w:sz="0" w:space="0" w:color="auto"/>
      </w:divBdr>
    </w:div>
    <w:div w:id="1649357552">
      <w:bodyDiv w:val="1"/>
      <w:marLeft w:val="0"/>
      <w:marRight w:val="0"/>
      <w:marTop w:val="0"/>
      <w:marBottom w:val="0"/>
      <w:divBdr>
        <w:top w:val="none" w:sz="0" w:space="0" w:color="auto"/>
        <w:left w:val="none" w:sz="0" w:space="0" w:color="auto"/>
        <w:bottom w:val="none" w:sz="0" w:space="0" w:color="auto"/>
        <w:right w:val="none" w:sz="0" w:space="0" w:color="auto"/>
      </w:divBdr>
    </w:div>
    <w:div w:id="1745179299">
      <w:bodyDiv w:val="1"/>
      <w:marLeft w:val="0"/>
      <w:marRight w:val="0"/>
      <w:marTop w:val="0"/>
      <w:marBottom w:val="0"/>
      <w:divBdr>
        <w:top w:val="none" w:sz="0" w:space="0" w:color="auto"/>
        <w:left w:val="none" w:sz="0" w:space="0" w:color="auto"/>
        <w:bottom w:val="none" w:sz="0" w:space="0" w:color="auto"/>
        <w:right w:val="none" w:sz="0" w:space="0" w:color="auto"/>
      </w:divBdr>
    </w:div>
    <w:div w:id="1806964260">
      <w:bodyDiv w:val="1"/>
      <w:marLeft w:val="0"/>
      <w:marRight w:val="0"/>
      <w:marTop w:val="0"/>
      <w:marBottom w:val="0"/>
      <w:divBdr>
        <w:top w:val="none" w:sz="0" w:space="0" w:color="auto"/>
        <w:left w:val="none" w:sz="0" w:space="0" w:color="auto"/>
        <w:bottom w:val="none" w:sz="0" w:space="0" w:color="auto"/>
        <w:right w:val="none" w:sz="0" w:space="0" w:color="auto"/>
      </w:divBdr>
    </w:div>
    <w:div w:id="1851136055">
      <w:bodyDiv w:val="1"/>
      <w:marLeft w:val="0"/>
      <w:marRight w:val="0"/>
      <w:marTop w:val="0"/>
      <w:marBottom w:val="0"/>
      <w:divBdr>
        <w:top w:val="none" w:sz="0" w:space="0" w:color="auto"/>
        <w:left w:val="none" w:sz="0" w:space="0" w:color="auto"/>
        <w:bottom w:val="none" w:sz="0" w:space="0" w:color="auto"/>
        <w:right w:val="none" w:sz="0" w:space="0" w:color="auto"/>
      </w:divBdr>
    </w:div>
    <w:div w:id="1855529085">
      <w:bodyDiv w:val="1"/>
      <w:marLeft w:val="0"/>
      <w:marRight w:val="0"/>
      <w:marTop w:val="0"/>
      <w:marBottom w:val="0"/>
      <w:divBdr>
        <w:top w:val="none" w:sz="0" w:space="0" w:color="auto"/>
        <w:left w:val="none" w:sz="0" w:space="0" w:color="auto"/>
        <w:bottom w:val="none" w:sz="0" w:space="0" w:color="auto"/>
        <w:right w:val="none" w:sz="0" w:space="0" w:color="auto"/>
      </w:divBdr>
    </w:div>
    <w:div w:id="1986086207">
      <w:bodyDiv w:val="1"/>
      <w:marLeft w:val="0"/>
      <w:marRight w:val="0"/>
      <w:marTop w:val="0"/>
      <w:marBottom w:val="0"/>
      <w:divBdr>
        <w:top w:val="none" w:sz="0" w:space="0" w:color="auto"/>
        <w:left w:val="none" w:sz="0" w:space="0" w:color="auto"/>
        <w:bottom w:val="none" w:sz="0" w:space="0" w:color="auto"/>
        <w:right w:val="none" w:sz="0" w:space="0" w:color="auto"/>
      </w:divBdr>
    </w:div>
    <w:div w:id="208070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footer" Target="footer4.xml"/><Relationship Id="rId42" Type="http://schemas.openxmlformats.org/officeDocument/2006/relationships/image" Target="media/image16.wmf"/><Relationship Id="rId47" Type="http://schemas.openxmlformats.org/officeDocument/2006/relationships/image" Target="media/image21.wmf"/><Relationship Id="rId63" Type="http://schemas.openxmlformats.org/officeDocument/2006/relationships/image" Target="media/image37.emf"/><Relationship Id="rId68" Type="http://schemas.openxmlformats.org/officeDocument/2006/relationships/image" Target="media/image42.emf"/><Relationship Id="rId84" Type="http://schemas.openxmlformats.org/officeDocument/2006/relationships/image" Target="media/image58.emf"/><Relationship Id="rId89" Type="http://schemas.openxmlformats.org/officeDocument/2006/relationships/image" Target="media/image63.emf"/><Relationship Id="rId112" Type="http://schemas.openxmlformats.org/officeDocument/2006/relationships/chart" Target="charts/chart3.xml"/><Relationship Id="rId16" Type="http://schemas.openxmlformats.org/officeDocument/2006/relationships/footer" Target="footer1.xml"/><Relationship Id="rId107" Type="http://schemas.openxmlformats.org/officeDocument/2006/relationships/footer" Target="footer9.xml"/><Relationship Id="rId11" Type="http://schemas.openxmlformats.org/officeDocument/2006/relationships/image" Target="media/image3.jpeg"/><Relationship Id="rId24" Type="http://schemas.openxmlformats.org/officeDocument/2006/relationships/image" Target="media/image6.emf"/><Relationship Id="rId32" Type="http://schemas.openxmlformats.org/officeDocument/2006/relationships/chart" Target="charts/chart1.xml"/><Relationship Id="rId37" Type="http://schemas.openxmlformats.org/officeDocument/2006/relationships/chart" Target="charts/chart2.xml"/><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74" Type="http://schemas.openxmlformats.org/officeDocument/2006/relationships/image" Target="media/image48.wmf"/><Relationship Id="rId79" Type="http://schemas.openxmlformats.org/officeDocument/2006/relationships/image" Target="media/image53.wmf"/><Relationship Id="rId87" Type="http://schemas.openxmlformats.org/officeDocument/2006/relationships/image" Target="media/image61.emf"/><Relationship Id="rId102" Type="http://schemas.openxmlformats.org/officeDocument/2006/relationships/image" Target="media/image76.emf"/><Relationship Id="rId110" Type="http://schemas.openxmlformats.org/officeDocument/2006/relationships/image" Target="media/image78.emf"/><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5.emf"/><Relationship Id="rId82" Type="http://schemas.openxmlformats.org/officeDocument/2006/relationships/image" Target="media/image56.emf"/><Relationship Id="rId90" Type="http://schemas.openxmlformats.org/officeDocument/2006/relationships/image" Target="media/image64.emf"/><Relationship Id="rId95" Type="http://schemas.openxmlformats.org/officeDocument/2006/relationships/image" Target="media/image69.wmf"/><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0.emf"/><Relationship Id="rId35" Type="http://schemas.openxmlformats.org/officeDocument/2006/relationships/header" Target="header7.xml"/><Relationship Id="rId43" Type="http://schemas.openxmlformats.org/officeDocument/2006/relationships/image" Target="media/image17.wmf"/><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image" Target="media/image43.emf"/><Relationship Id="rId77" Type="http://schemas.openxmlformats.org/officeDocument/2006/relationships/image" Target="media/image51.emf"/><Relationship Id="rId100" Type="http://schemas.openxmlformats.org/officeDocument/2006/relationships/image" Target="media/image74.emf"/><Relationship Id="rId105" Type="http://schemas.openxmlformats.org/officeDocument/2006/relationships/header" Target="header9.xml"/><Relationship Id="rId113"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image" Target="media/image46.wmf"/><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7.wmf"/><Relationship Id="rId98"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hyperlink" Target="mailto:o.kelp@acilallen.com.au" TargetMode="External"/><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header" Target="header6.xml"/><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image" Target="media/image33.emf"/><Relationship Id="rId67" Type="http://schemas.openxmlformats.org/officeDocument/2006/relationships/image" Target="media/image41.emf"/><Relationship Id="rId103" Type="http://schemas.openxmlformats.org/officeDocument/2006/relationships/image" Target="media/image77.emf"/><Relationship Id="rId108" Type="http://schemas.openxmlformats.org/officeDocument/2006/relationships/header" Target="header10.xml"/><Relationship Id="rId20" Type="http://schemas.openxmlformats.org/officeDocument/2006/relationships/header" Target="header4.xml"/><Relationship Id="rId41" Type="http://schemas.openxmlformats.org/officeDocument/2006/relationships/image" Target="media/image15.emf"/><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image" Target="media/image44.emf"/><Relationship Id="rId75" Type="http://schemas.openxmlformats.org/officeDocument/2006/relationships/image" Target="media/image49.w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wmf"/><Relationship Id="rId11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header" Target="header5.xml"/><Relationship Id="rId36" Type="http://schemas.openxmlformats.org/officeDocument/2006/relationships/footer" Target="footer7.xml"/><Relationship Id="rId49" Type="http://schemas.openxmlformats.org/officeDocument/2006/relationships/image" Target="media/image23.emf"/><Relationship Id="rId57" Type="http://schemas.openxmlformats.org/officeDocument/2006/relationships/image" Target="media/image31.emf"/><Relationship Id="rId106" Type="http://schemas.openxmlformats.org/officeDocument/2006/relationships/footer" Target="footer8.xml"/><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image" Target="media/image47.w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wmf"/><Relationship Id="rId99" Type="http://schemas.openxmlformats.org/officeDocument/2006/relationships/image" Target="media/image73.emf"/><Relationship Id="rId101" Type="http://schemas.openxmlformats.org/officeDocument/2006/relationships/image" Target="media/image75.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g.dundas@acilallen.com.au" TargetMode="External"/><Relationship Id="rId18" Type="http://schemas.openxmlformats.org/officeDocument/2006/relationships/header" Target="header3.xml"/><Relationship Id="rId39" Type="http://schemas.openxmlformats.org/officeDocument/2006/relationships/image" Target="media/image13.emf"/><Relationship Id="rId109" Type="http://schemas.openxmlformats.org/officeDocument/2006/relationships/footer" Target="footer10.xml"/><Relationship Id="rId34" Type="http://schemas.openxmlformats.org/officeDocument/2006/relationships/footer" Target="footer6.xml"/><Relationship Id="rId50" Type="http://schemas.openxmlformats.org/officeDocument/2006/relationships/image" Target="media/image24.wmf"/><Relationship Id="rId55" Type="http://schemas.openxmlformats.org/officeDocument/2006/relationships/image" Target="media/image29.emf"/><Relationship Id="rId76" Type="http://schemas.openxmlformats.org/officeDocument/2006/relationships/image" Target="media/image50.emf"/><Relationship Id="rId97" Type="http://schemas.openxmlformats.org/officeDocument/2006/relationships/image" Target="media/image71.wmf"/><Relationship Id="rId104"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image" Target="media/image45.emf"/><Relationship Id="rId92" Type="http://schemas.openxmlformats.org/officeDocument/2006/relationships/image" Target="media/image66.wmf"/><Relationship Id="rId2" Type="http://schemas.openxmlformats.org/officeDocument/2006/relationships/numbering" Target="numbering.xml"/><Relationship Id="rId29"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at\at%20templates\ACIL%20Allen%20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OK%20work\41014%20DCCEE%20Emissions%20projections\Cost%20assumptions\Sent%20to%20DCCEE%2021-3-2013\20130321%20ACIL%20Tasman%20new%20entrant%20assumptions%20-%20to%20DCCE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OK%20work\41014%20DCCEE%20Emissions%20projections\Final%20modelling\Policy\Iteration%204\R1-41Y\Inputs%2020130722\20130722%20ACIL%20Tasman%20new%20entrant%20assumptions%20for%20model%20Full%20set.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OK%20work\41014%20DCCEE%20Emissions%20projections\LRET\20130321%20REC%20Input%20Workbook.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'Table for report'!$Z$5</c:f>
              <c:strCache>
                <c:ptCount val="1"/>
                <c:pt idx="0">
                  <c:v>Adopted for study</c:v>
                </c:pt>
              </c:strCache>
            </c:strRef>
          </c:tx>
          <c:invertIfNegative val="0"/>
          <c:cat>
            <c:strRef>
              <c:f>'Table for report'!$Y$6:$Y$33</c:f>
              <c:strCache>
                <c:ptCount val="28"/>
                <c:pt idx="0">
                  <c:v>PC Supercritical – Brown Coal</c:v>
                </c:pt>
                <c:pt idx="1">
                  <c:v>PC Supercritical Black Coal</c:v>
                </c:pt>
                <c:pt idx="2">
                  <c:v>PC Supercritical Black Coal (SWIS Scale)</c:v>
                </c:pt>
                <c:pt idx="3">
                  <c:v>CCGT</c:v>
                </c:pt>
                <c:pt idx="4">
                  <c:v>CCGT SWIS Scale</c:v>
                </c:pt>
                <c:pt idx="5">
                  <c:v>OCGT</c:v>
                </c:pt>
                <c:pt idx="6">
                  <c:v>CLFR</c:v>
                </c:pt>
                <c:pt idx="7">
                  <c:v>CLFR with storage</c:v>
                </c:pt>
                <c:pt idx="8">
                  <c:v>Parabolic trough</c:v>
                </c:pt>
                <c:pt idx="9">
                  <c:v>Parabolic trough with storage</c:v>
                </c:pt>
                <c:pt idx="10">
                  <c:v>Central Receiver</c:v>
                </c:pt>
                <c:pt idx="11">
                  <c:v>Central Receiver with storage</c:v>
                </c:pt>
                <c:pt idx="12">
                  <c:v>Solar PV fixed</c:v>
                </c:pt>
                <c:pt idx="13">
                  <c:v>Solar PV single axis tracking</c:v>
                </c:pt>
                <c:pt idx="14">
                  <c:v>Solar PV dual axis tracking</c:v>
                </c:pt>
                <c:pt idx="15">
                  <c:v>On-shore Wind Farm</c:v>
                </c:pt>
                <c:pt idx="16">
                  <c:v>Ocean/Wave</c:v>
                </c:pt>
                <c:pt idx="17">
                  <c:v>Geothermal HSA</c:v>
                </c:pt>
                <c:pt idx="18">
                  <c:v>Geothermal EGS</c:v>
                </c:pt>
                <c:pt idx="19">
                  <c:v>PC Supercritical with CCS – Brown Coal</c:v>
                </c:pt>
                <c:pt idx="20">
                  <c:v>PC Supercritical with CCS – Bituminous Coal</c:v>
                </c:pt>
                <c:pt idx="21">
                  <c:v>PC Oxy Combustion Supercritical with CCS</c:v>
                </c:pt>
                <c:pt idx="22">
                  <c:v>CCGT with CCS</c:v>
                </c:pt>
                <c:pt idx="23">
                  <c:v>IGCC with CCS – Bituminous Coal</c:v>
                </c:pt>
                <c:pt idx="24">
                  <c:v>IGCC with CCS – Brown Coal</c:v>
                </c:pt>
                <c:pt idx="25">
                  <c:v>PC Subcritical Brown Coal - Retrofit CCS</c:v>
                </c:pt>
                <c:pt idx="26">
                  <c:v>PC Subcritical Black Coal - Retrofit CCS</c:v>
                </c:pt>
                <c:pt idx="27">
                  <c:v>Existing CCGT with retrofit CCS</c:v>
                </c:pt>
              </c:strCache>
            </c:strRef>
          </c:cat>
          <c:val>
            <c:numRef>
              <c:f>'Table for report'!$Z$6:$Z$33</c:f>
              <c:numCache>
                <c:formatCode>#,##0</c:formatCode>
                <c:ptCount val="28"/>
                <c:pt idx="0">
                  <c:v>3450.8680000000004</c:v>
                </c:pt>
                <c:pt idx="1">
                  <c:v>2974.0479999999998</c:v>
                </c:pt>
                <c:pt idx="2">
                  <c:v>3191.6639999999998</c:v>
                </c:pt>
                <c:pt idx="3">
                  <c:v>1100</c:v>
                </c:pt>
                <c:pt idx="4">
                  <c:v>1077.67</c:v>
                </c:pt>
                <c:pt idx="5">
                  <c:v>800</c:v>
                </c:pt>
                <c:pt idx="6">
                  <c:v>4802.4000000000015</c:v>
                </c:pt>
                <c:pt idx="7">
                  <c:v>8550</c:v>
                </c:pt>
                <c:pt idx="8">
                  <c:v>4526.4000000000005</c:v>
                </c:pt>
                <c:pt idx="9">
                  <c:v>8055</c:v>
                </c:pt>
                <c:pt idx="10">
                  <c:v>5569.5999999999995</c:v>
                </c:pt>
                <c:pt idx="11">
                  <c:v>7477.2</c:v>
                </c:pt>
                <c:pt idx="12">
                  <c:v>2700</c:v>
                </c:pt>
                <c:pt idx="13">
                  <c:v>3180</c:v>
                </c:pt>
                <c:pt idx="14">
                  <c:v>4730</c:v>
                </c:pt>
                <c:pt idx="15">
                  <c:v>2300</c:v>
                </c:pt>
                <c:pt idx="16">
                  <c:v>5900</c:v>
                </c:pt>
                <c:pt idx="17">
                  <c:v>6300</c:v>
                </c:pt>
                <c:pt idx="18">
                  <c:v>9646</c:v>
                </c:pt>
                <c:pt idx="19">
                  <c:v>5902.16</c:v>
                </c:pt>
                <c:pt idx="20">
                  <c:v>4559.1260000000002</c:v>
                </c:pt>
                <c:pt idx="21">
                  <c:v>4274.24</c:v>
                </c:pt>
                <c:pt idx="22">
                  <c:v>2494.8000000000002</c:v>
                </c:pt>
                <c:pt idx="23">
                  <c:v>4984.3999999999996</c:v>
                </c:pt>
                <c:pt idx="24">
                  <c:v>5083.4400000000005</c:v>
                </c:pt>
                <c:pt idx="25">
                  <c:v>2493.2400000000002</c:v>
                </c:pt>
                <c:pt idx="26">
                  <c:v>1611.192</c:v>
                </c:pt>
                <c:pt idx="27">
                  <c:v>1392.3</c:v>
                </c:pt>
              </c:numCache>
            </c:numRef>
          </c:val>
        </c:ser>
        <c:ser>
          <c:idx val="1"/>
          <c:order val="1"/>
          <c:tx>
            <c:strRef>
              <c:f>'Table for report'!$AA$5</c:f>
              <c:strCache>
                <c:ptCount val="1"/>
                <c:pt idx="0">
                  <c:v>AETA 2012</c:v>
                </c:pt>
              </c:strCache>
            </c:strRef>
          </c:tx>
          <c:invertIfNegative val="0"/>
          <c:cat>
            <c:strRef>
              <c:f>'Table for report'!$Y$6:$Y$33</c:f>
              <c:strCache>
                <c:ptCount val="28"/>
                <c:pt idx="0">
                  <c:v>PC Supercritical – Brown Coal</c:v>
                </c:pt>
                <c:pt idx="1">
                  <c:v>PC Supercritical Black Coal</c:v>
                </c:pt>
                <c:pt idx="2">
                  <c:v>PC Supercritical Black Coal (SWIS Scale)</c:v>
                </c:pt>
                <c:pt idx="3">
                  <c:v>CCGT</c:v>
                </c:pt>
                <c:pt idx="4">
                  <c:v>CCGT SWIS Scale</c:v>
                </c:pt>
                <c:pt idx="5">
                  <c:v>OCGT</c:v>
                </c:pt>
                <c:pt idx="6">
                  <c:v>CLFR</c:v>
                </c:pt>
                <c:pt idx="7">
                  <c:v>CLFR with storage</c:v>
                </c:pt>
                <c:pt idx="8">
                  <c:v>Parabolic trough</c:v>
                </c:pt>
                <c:pt idx="9">
                  <c:v>Parabolic trough with storage</c:v>
                </c:pt>
                <c:pt idx="10">
                  <c:v>Central Receiver</c:v>
                </c:pt>
                <c:pt idx="11">
                  <c:v>Central Receiver with storage</c:v>
                </c:pt>
                <c:pt idx="12">
                  <c:v>Solar PV fixed</c:v>
                </c:pt>
                <c:pt idx="13">
                  <c:v>Solar PV single axis tracking</c:v>
                </c:pt>
                <c:pt idx="14">
                  <c:v>Solar PV dual axis tracking</c:v>
                </c:pt>
                <c:pt idx="15">
                  <c:v>On-shore Wind Farm</c:v>
                </c:pt>
                <c:pt idx="16">
                  <c:v>Ocean/Wave</c:v>
                </c:pt>
                <c:pt idx="17">
                  <c:v>Geothermal HSA</c:v>
                </c:pt>
                <c:pt idx="18">
                  <c:v>Geothermal EGS</c:v>
                </c:pt>
                <c:pt idx="19">
                  <c:v>PC Supercritical with CCS – Brown Coal</c:v>
                </c:pt>
                <c:pt idx="20">
                  <c:v>PC Supercritical with CCS – Bituminous Coal</c:v>
                </c:pt>
                <c:pt idx="21">
                  <c:v>PC Oxy Combustion Supercritical with CCS</c:v>
                </c:pt>
                <c:pt idx="22">
                  <c:v>CCGT with CCS</c:v>
                </c:pt>
                <c:pt idx="23">
                  <c:v>IGCC with CCS – Bituminous Coal</c:v>
                </c:pt>
                <c:pt idx="24">
                  <c:v>IGCC with CCS – Brown Coal</c:v>
                </c:pt>
                <c:pt idx="25">
                  <c:v>PC Subcritical Brown Coal - Retrofit CCS</c:v>
                </c:pt>
                <c:pt idx="26">
                  <c:v>PC Subcritical Black Coal - Retrofit CCS</c:v>
                </c:pt>
                <c:pt idx="27">
                  <c:v>Existing CCGT with retrofit CCS</c:v>
                </c:pt>
              </c:strCache>
            </c:strRef>
          </c:cat>
          <c:val>
            <c:numRef>
              <c:f>'Table for report'!$AA$6:$AA$33</c:f>
              <c:numCache>
                <c:formatCode>#,##0</c:formatCode>
                <c:ptCount val="28"/>
                <c:pt idx="0">
                  <c:v>3450.8680000000004</c:v>
                </c:pt>
                <c:pt idx="1">
                  <c:v>2974.0479999999998</c:v>
                </c:pt>
                <c:pt idx="2">
                  <c:v>3191.6639999999998</c:v>
                </c:pt>
                <c:pt idx="3">
                  <c:v>1030.1399999999999</c:v>
                </c:pt>
                <c:pt idx="4">
                  <c:v>1077.67</c:v>
                </c:pt>
                <c:pt idx="5">
                  <c:v>715.77</c:v>
                </c:pt>
                <c:pt idx="6">
                  <c:v>4802.4000000000015</c:v>
                </c:pt>
                <c:pt idx="7">
                  <c:v>8550</c:v>
                </c:pt>
                <c:pt idx="8">
                  <c:v>4526.4000000000005</c:v>
                </c:pt>
                <c:pt idx="9">
                  <c:v>8055</c:v>
                </c:pt>
                <c:pt idx="10">
                  <c:v>5569.5999999999995</c:v>
                </c:pt>
                <c:pt idx="11">
                  <c:v>7477.2</c:v>
                </c:pt>
                <c:pt idx="12">
                  <c:v>3380</c:v>
                </c:pt>
                <c:pt idx="13">
                  <c:v>3860</c:v>
                </c:pt>
                <c:pt idx="14">
                  <c:v>5410</c:v>
                </c:pt>
                <c:pt idx="15">
                  <c:v>2517.35</c:v>
                </c:pt>
                <c:pt idx="16">
                  <c:v>5900</c:v>
                </c:pt>
                <c:pt idx="17">
                  <c:v>6300</c:v>
                </c:pt>
                <c:pt idx="18">
                  <c:v>9646</c:v>
                </c:pt>
                <c:pt idx="19">
                  <c:v>5902.16</c:v>
                </c:pt>
                <c:pt idx="20">
                  <c:v>4559.1260000000002</c:v>
                </c:pt>
                <c:pt idx="21">
                  <c:v>4274.24</c:v>
                </c:pt>
                <c:pt idx="22">
                  <c:v>2494.8000000000002</c:v>
                </c:pt>
                <c:pt idx="23">
                  <c:v>4984.3999999999996</c:v>
                </c:pt>
                <c:pt idx="24">
                  <c:v>5083.4400000000005</c:v>
                </c:pt>
                <c:pt idx="25">
                  <c:v>2493.2400000000002</c:v>
                </c:pt>
                <c:pt idx="26">
                  <c:v>1611.192</c:v>
                </c:pt>
                <c:pt idx="27">
                  <c:v>1392.3</c:v>
                </c:pt>
              </c:numCache>
            </c:numRef>
          </c:val>
        </c:ser>
        <c:dLbls>
          <c:showLegendKey val="0"/>
          <c:showVal val="0"/>
          <c:showCatName val="0"/>
          <c:showSerName val="0"/>
          <c:showPercent val="0"/>
          <c:showBubbleSize val="0"/>
        </c:dLbls>
        <c:gapWidth val="40"/>
        <c:axId val="295072128"/>
        <c:axId val="295073664"/>
      </c:barChart>
      <c:catAx>
        <c:axId val="295072128"/>
        <c:scaling>
          <c:orientation val="minMax"/>
        </c:scaling>
        <c:delete val="0"/>
        <c:axPos val="b"/>
        <c:majorTickMark val="out"/>
        <c:minorTickMark val="none"/>
        <c:tickLblPos val="nextTo"/>
        <c:txPr>
          <a:bodyPr/>
          <a:lstStyle/>
          <a:p>
            <a:pPr>
              <a:defRPr sz="700"/>
            </a:pPr>
            <a:endParaRPr lang="en-US"/>
          </a:p>
        </c:txPr>
        <c:crossAx val="295073664"/>
        <c:crosses val="autoZero"/>
        <c:auto val="1"/>
        <c:lblAlgn val="ctr"/>
        <c:lblOffset val="100"/>
        <c:noMultiLvlLbl val="0"/>
      </c:catAx>
      <c:valAx>
        <c:axId val="295073664"/>
        <c:scaling>
          <c:orientation val="minMax"/>
        </c:scaling>
        <c:delete val="0"/>
        <c:axPos val="l"/>
        <c:majorGridlines>
          <c:spPr>
            <a:ln>
              <a:solidFill>
                <a:schemeClr val="bg1">
                  <a:lumMod val="75000"/>
                </a:schemeClr>
              </a:solidFill>
            </a:ln>
          </c:spPr>
        </c:majorGridlines>
        <c:title>
          <c:tx>
            <c:rich>
              <a:bodyPr rot="-5400000" vert="horz"/>
              <a:lstStyle/>
              <a:p>
                <a:pPr>
                  <a:defRPr/>
                </a:pPr>
                <a:r>
                  <a:rPr lang="en-US"/>
                  <a:t>Real 2011-12 A$/kW Installed</a:t>
                </a:r>
              </a:p>
            </c:rich>
          </c:tx>
          <c:layout>
            <c:manualLayout>
              <c:xMode val="edge"/>
              <c:yMode val="edge"/>
              <c:x val="3.8596491228070177E-2"/>
              <c:y val="7.9560330898879178E-2"/>
            </c:manualLayout>
          </c:layout>
          <c:overlay val="0"/>
        </c:title>
        <c:numFmt formatCode="#,##0" sourceLinked="1"/>
        <c:majorTickMark val="out"/>
        <c:minorTickMark val="none"/>
        <c:tickLblPos val="nextTo"/>
        <c:crossAx val="295072128"/>
        <c:crosses val="autoZero"/>
        <c:crossBetween val="between"/>
      </c:valAx>
    </c:plotArea>
    <c:legend>
      <c:legendPos val="r"/>
      <c:layout>
        <c:manualLayout>
          <c:xMode val="edge"/>
          <c:yMode val="edge"/>
          <c:x val="0.18111092692360822"/>
          <c:y val="4.5082754833365178E-2"/>
          <c:w val="0.29783644149744432"/>
          <c:h val="0.10322877718639589"/>
        </c:manualLayout>
      </c:layout>
      <c:overlay val="1"/>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522946728433474"/>
          <c:y val="7.5648658079589759E-2"/>
          <c:w val="0.60741778245461253"/>
          <c:h val="0.89972448530638871"/>
        </c:manualLayout>
      </c:layout>
      <c:barChart>
        <c:barDir val="bar"/>
        <c:grouping val="clustered"/>
        <c:varyColors val="0"/>
        <c:ser>
          <c:idx val="0"/>
          <c:order val="0"/>
          <c:tx>
            <c:strRef>
              <c:f>'Table for report'!$Z$5</c:f>
              <c:strCache>
                <c:ptCount val="1"/>
                <c:pt idx="0">
                  <c:v>2011-12</c:v>
                </c:pt>
              </c:strCache>
            </c:strRef>
          </c:tx>
          <c:invertIfNegative val="0"/>
          <c:cat>
            <c:strRef>
              <c:f>'Table for report'!$Y$6:$Y$34</c:f>
              <c:strCache>
                <c:ptCount val="29"/>
                <c:pt idx="0">
                  <c:v>PC Supercritical – Brown Coal</c:v>
                </c:pt>
                <c:pt idx="1">
                  <c:v>PC Supercritical Black Coal</c:v>
                </c:pt>
                <c:pt idx="2">
                  <c:v>PC Supercritical Black Coal (SWIS Scale)</c:v>
                </c:pt>
                <c:pt idx="3">
                  <c:v>CCGT</c:v>
                </c:pt>
                <c:pt idx="4">
                  <c:v>CCGT SWIS Scale</c:v>
                </c:pt>
                <c:pt idx="5">
                  <c:v>OCGT</c:v>
                </c:pt>
                <c:pt idx="6">
                  <c:v>CLFR</c:v>
                </c:pt>
                <c:pt idx="7">
                  <c:v>CLFR with storage</c:v>
                </c:pt>
                <c:pt idx="8">
                  <c:v>Parabolic trough</c:v>
                </c:pt>
                <c:pt idx="9">
                  <c:v>Parabolic trough with storage</c:v>
                </c:pt>
                <c:pt idx="10">
                  <c:v>Central Receiver</c:v>
                </c:pt>
                <c:pt idx="11">
                  <c:v>Central Receiver with storage</c:v>
                </c:pt>
                <c:pt idx="12">
                  <c:v>Solar PV fixed</c:v>
                </c:pt>
                <c:pt idx="13">
                  <c:v>Solar PV single axis tracking</c:v>
                </c:pt>
                <c:pt idx="14">
                  <c:v>Solar PV dual axis tracking</c:v>
                </c:pt>
                <c:pt idx="15">
                  <c:v>On-shore Wind Farm</c:v>
                </c:pt>
                <c:pt idx="16">
                  <c:v>Ocean/Wave</c:v>
                </c:pt>
                <c:pt idx="17">
                  <c:v>Geothermal HSA</c:v>
                </c:pt>
                <c:pt idx="18">
                  <c:v>Geothermal EGS</c:v>
                </c:pt>
                <c:pt idx="19">
                  <c:v>PC Supercritical with CCS – Brown Coal</c:v>
                </c:pt>
                <c:pt idx="20">
                  <c:v>PC Supercritical with CCS – Bituminous Coal</c:v>
                </c:pt>
                <c:pt idx="21">
                  <c:v>PC Oxy Combustion Supercritical with CCS</c:v>
                </c:pt>
                <c:pt idx="22">
                  <c:v>CCGT with CCS</c:v>
                </c:pt>
                <c:pt idx="23">
                  <c:v>IGCC with CCS – Bituminous Coal</c:v>
                </c:pt>
                <c:pt idx="24">
                  <c:v>IGCC with CCS – Brown Coal</c:v>
                </c:pt>
                <c:pt idx="25">
                  <c:v>PC Subcritical Brown Coal - Retrofit CCS</c:v>
                </c:pt>
                <c:pt idx="26">
                  <c:v>PC Subcritical Black Coal - Retrofit CCS</c:v>
                </c:pt>
                <c:pt idx="27">
                  <c:v>Existing CCGT with retrofit CCS</c:v>
                </c:pt>
                <c:pt idx="28">
                  <c:v>CCGT Small Scale</c:v>
                </c:pt>
              </c:strCache>
            </c:strRef>
          </c:cat>
          <c:val>
            <c:numRef>
              <c:f>'Table for report'!$Z$6:$Z$34</c:f>
              <c:numCache>
                <c:formatCode>#,##0</c:formatCode>
                <c:ptCount val="29"/>
                <c:pt idx="0">
                  <c:v>3450.3223676328089</c:v>
                </c:pt>
                <c:pt idx="1">
                  <c:v>2973.5777598023506</c:v>
                </c:pt>
                <c:pt idx="2">
                  <c:v>3191.1593515510876</c:v>
                </c:pt>
                <c:pt idx="3">
                  <c:v>1099.8260740185046</c:v>
                </c:pt>
                <c:pt idx="4">
                  <c:v>1077.4996047159291</c:v>
                </c:pt>
                <c:pt idx="5">
                  <c:v>799.87350837709437</c:v>
                </c:pt>
                <c:pt idx="6">
                  <c:v>4801.6406707876995</c:v>
                </c:pt>
                <c:pt idx="7">
                  <c:v>8548.6481207801953</c:v>
                </c:pt>
                <c:pt idx="8">
                  <c:v>4525.6843103976007</c:v>
                </c:pt>
                <c:pt idx="9">
                  <c:v>8053.7263874718683</c:v>
                </c:pt>
                <c:pt idx="10">
                  <c:v>5568.7193653213299</c:v>
                </c:pt>
                <c:pt idx="11">
                  <c:v>7476.017746046512</c:v>
                </c:pt>
                <c:pt idx="12">
                  <c:v>2699.5730907726938</c:v>
                </c:pt>
                <c:pt idx="13">
                  <c:v>3179.4971957989501</c:v>
                </c:pt>
                <c:pt idx="14">
                  <c:v>4729.2521182795708</c:v>
                </c:pt>
                <c:pt idx="15">
                  <c:v>2299.6363365841462</c:v>
                </c:pt>
                <c:pt idx="16">
                  <c:v>5899.0671242810713</c:v>
                </c:pt>
                <c:pt idx="17">
                  <c:v>6299.003878469618</c:v>
                </c:pt>
                <c:pt idx="18">
                  <c:v>9644.474827256814</c:v>
                </c:pt>
                <c:pt idx="19">
                  <c:v>5901.2267827536889</c:v>
                </c:pt>
                <c:pt idx="20">
                  <c:v>4558.4051359415362</c:v>
                </c:pt>
                <c:pt idx="21">
                  <c:v>4273.5641805571395</c:v>
                </c:pt>
                <c:pt idx="22">
                  <c:v>2494.4055358739688</c:v>
                </c:pt>
                <c:pt idx="23">
                  <c:v>4983.6118939434864</c:v>
                </c:pt>
                <c:pt idx="24">
                  <c:v>5082.6362342805714</c:v>
                </c:pt>
                <c:pt idx="25">
                  <c:v>2492.8457825326336</c:v>
                </c:pt>
                <c:pt idx="26">
                  <c:v>1610.9372471363843</c:v>
                </c:pt>
                <c:pt idx="27">
                  <c:v>1392.0798571417854</c:v>
                </c:pt>
                <c:pt idx="28">
                  <c:v>1885.6243082528761</c:v>
                </c:pt>
              </c:numCache>
            </c:numRef>
          </c:val>
        </c:ser>
        <c:ser>
          <c:idx val="1"/>
          <c:order val="1"/>
          <c:tx>
            <c:strRef>
              <c:f>'Table for report'!$AA$5</c:f>
              <c:strCache>
                <c:ptCount val="1"/>
                <c:pt idx="0">
                  <c:v>2019-20</c:v>
                </c:pt>
              </c:strCache>
            </c:strRef>
          </c:tx>
          <c:invertIfNegative val="0"/>
          <c:cat>
            <c:strRef>
              <c:f>'Table for report'!$Y$6:$Y$34</c:f>
              <c:strCache>
                <c:ptCount val="29"/>
                <c:pt idx="0">
                  <c:v>PC Supercritical – Brown Coal</c:v>
                </c:pt>
                <c:pt idx="1">
                  <c:v>PC Supercritical Black Coal</c:v>
                </c:pt>
                <c:pt idx="2">
                  <c:v>PC Supercritical Black Coal (SWIS Scale)</c:v>
                </c:pt>
                <c:pt idx="3">
                  <c:v>CCGT</c:v>
                </c:pt>
                <c:pt idx="4">
                  <c:v>CCGT SWIS Scale</c:v>
                </c:pt>
                <c:pt idx="5">
                  <c:v>OCGT</c:v>
                </c:pt>
                <c:pt idx="6">
                  <c:v>CLFR</c:v>
                </c:pt>
                <c:pt idx="7">
                  <c:v>CLFR with storage</c:v>
                </c:pt>
                <c:pt idx="8">
                  <c:v>Parabolic trough</c:v>
                </c:pt>
                <c:pt idx="9">
                  <c:v>Parabolic trough with storage</c:v>
                </c:pt>
                <c:pt idx="10">
                  <c:v>Central Receiver</c:v>
                </c:pt>
                <c:pt idx="11">
                  <c:v>Central Receiver with storage</c:v>
                </c:pt>
                <c:pt idx="12">
                  <c:v>Solar PV fixed</c:v>
                </c:pt>
                <c:pt idx="13">
                  <c:v>Solar PV single axis tracking</c:v>
                </c:pt>
                <c:pt idx="14">
                  <c:v>Solar PV dual axis tracking</c:v>
                </c:pt>
                <c:pt idx="15">
                  <c:v>On-shore Wind Farm</c:v>
                </c:pt>
                <c:pt idx="16">
                  <c:v>Ocean/Wave</c:v>
                </c:pt>
                <c:pt idx="17">
                  <c:v>Geothermal HSA</c:v>
                </c:pt>
                <c:pt idx="18">
                  <c:v>Geothermal EGS</c:v>
                </c:pt>
                <c:pt idx="19">
                  <c:v>PC Supercritical with CCS – Brown Coal</c:v>
                </c:pt>
                <c:pt idx="20">
                  <c:v>PC Supercritical with CCS – Bituminous Coal</c:v>
                </c:pt>
                <c:pt idx="21">
                  <c:v>PC Oxy Combustion Supercritical with CCS</c:v>
                </c:pt>
                <c:pt idx="22">
                  <c:v>CCGT with CCS</c:v>
                </c:pt>
                <c:pt idx="23">
                  <c:v>IGCC with CCS – Bituminous Coal</c:v>
                </c:pt>
                <c:pt idx="24">
                  <c:v>IGCC with CCS – Brown Coal</c:v>
                </c:pt>
                <c:pt idx="25">
                  <c:v>PC Subcritical Brown Coal - Retrofit CCS</c:v>
                </c:pt>
                <c:pt idx="26">
                  <c:v>PC Subcritical Black Coal - Retrofit CCS</c:v>
                </c:pt>
                <c:pt idx="27">
                  <c:v>Existing CCGT with retrofit CCS</c:v>
                </c:pt>
                <c:pt idx="28">
                  <c:v>CCGT Small Scale</c:v>
                </c:pt>
              </c:strCache>
            </c:strRef>
          </c:cat>
          <c:val>
            <c:numRef>
              <c:f>'Table for report'!$AA$6:$AA$34</c:f>
              <c:numCache>
                <c:formatCode>#,##0</c:formatCode>
                <c:ptCount val="29"/>
                <c:pt idx="0">
                  <c:v>3507.4888168658595</c:v>
                </c:pt>
                <c:pt idx="1">
                  <c:v>2666.6856692198685</c:v>
                </c:pt>
                <c:pt idx="2">
                  <c:v>2866.4188172023373</c:v>
                </c:pt>
                <c:pt idx="3">
                  <c:v>1139.5865420032799</c:v>
                </c:pt>
                <c:pt idx="4">
                  <c:v>1116.452935200613</c:v>
                </c:pt>
                <c:pt idx="5">
                  <c:v>807.22422344636061</c:v>
                </c:pt>
                <c:pt idx="6">
                  <c:v>2530.5848184276301</c:v>
                </c:pt>
                <c:pt idx="7">
                  <c:v>4534.3424052069995</c:v>
                </c:pt>
                <c:pt idx="8">
                  <c:v>2385.1489093225937</c:v>
                </c:pt>
                <c:pt idx="9">
                  <c:v>4271.8278449055424</c:v>
                </c:pt>
                <c:pt idx="10">
                  <c:v>2972.6246815357363</c:v>
                </c:pt>
                <c:pt idx="11">
                  <c:v>3965.4017581536596</c:v>
                </c:pt>
                <c:pt idx="12">
                  <c:v>1750.6642326939166</c:v>
                </c:pt>
                <c:pt idx="13">
                  <c:v>2061.8934296172793</c:v>
                </c:pt>
                <c:pt idx="14">
                  <c:v>3066.9043780156385</c:v>
                </c:pt>
                <c:pt idx="15">
                  <c:v>1699.7963096935453</c:v>
                </c:pt>
                <c:pt idx="16">
                  <c:v>6151.0208541303655</c:v>
                </c:pt>
                <c:pt idx="17">
                  <c:v>6564.4644348114725</c:v>
                </c:pt>
                <c:pt idx="18">
                  <c:v>10069.38779862123</c:v>
                </c:pt>
                <c:pt idx="19">
                  <c:v>6042.5887958019703</c:v>
                </c:pt>
                <c:pt idx="20">
                  <c:v>4667.5933880702587</c:v>
                </c:pt>
                <c:pt idx="21">
                  <c:v>4398.2315149379947</c:v>
                </c:pt>
                <c:pt idx="22">
                  <c:v>2552.1688970278483</c:v>
                </c:pt>
                <c:pt idx="23">
                  <c:v>5131.4881742754897</c:v>
                </c:pt>
                <c:pt idx="24">
                  <c:v>5233.4571952478145</c:v>
                </c:pt>
                <c:pt idx="25">
                  <c:v>2549.7071121198801</c:v>
                </c:pt>
                <c:pt idx="26">
                  <c:v>1647.6798534574045</c:v>
                </c:pt>
                <c:pt idx="27">
                  <c:v>1417.5651060157604</c:v>
                </c:pt>
                <c:pt idx="28">
                  <c:v>1953.7926366010731</c:v>
                </c:pt>
              </c:numCache>
            </c:numRef>
          </c:val>
        </c:ser>
        <c:ser>
          <c:idx val="2"/>
          <c:order val="2"/>
          <c:tx>
            <c:strRef>
              <c:f>'Table for report'!$AB$5</c:f>
              <c:strCache>
                <c:ptCount val="1"/>
                <c:pt idx="0">
                  <c:v>2029-30</c:v>
                </c:pt>
              </c:strCache>
            </c:strRef>
          </c:tx>
          <c:invertIfNegative val="0"/>
          <c:cat>
            <c:strRef>
              <c:f>'Table for report'!$Y$6:$Y$34</c:f>
              <c:strCache>
                <c:ptCount val="29"/>
                <c:pt idx="0">
                  <c:v>PC Supercritical – Brown Coal</c:v>
                </c:pt>
                <c:pt idx="1">
                  <c:v>PC Supercritical Black Coal</c:v>
                </c:pt>
                <c:pt idx="2">
                  <c:v>PC Supercritical Black Coal (SWIS Scale)</c:v>
                </c:pt>
                <c:pt idx="3">
                  <c:v>CCGT</c:v>
                </c:pt>
                <c:pt idx="4">
                  <c:v>CCGT SWIS Scale</c:v>
                </c:pt>
                <c:pt idx="5">
                  <c:v>OCGT</c:v>
                </c:pt>
                <c:pt idx="6">
                  <c:v>CLFR</c:v>
                </c:pt>
                <c:pt idx="7">
                  <c:v>CLFR with storage</c:v>
                </c:pt>
                <c:pt idx="8">
                  <c:v>Parabolic trough</c:v>
                </c:pt>
                <c:pt idx="9">
                  <c:v>Parabolic trough with storage</c:v>
                </c:pt>
                <c:pt idx="10">
                  <c:v>Central Receiver</c:v>
                </c:pt>
                <c:pt idx="11">
                  <c:v>Central Receiver with storage</c:v>
                </c:pt>
                <c:pt idx="12">
                  <c:v>Solar PV fixed</c:v>
                </c:pt>
                <c:pt idx="13">
                  <c:v>Solar PV single axis tracking</c:v>
                </c:pt>
                <c:pt idx="14">
                  <c:v>Solar PV dual axis tracking</c:v>
                </c:pt>
                <c:pt idx="15">
                  <c:v>On-shore Wind Farm</c:v>
                </c:pt>
                <c:pt idx="16">
                  <c:v>Ocean/Wave</c:v>
                </c:pt>
                <c:pt idx="17">
                  <c:v>Geothermal HSA</c:v>
                </c:pt>
                <c:pt idx="18">
                  <c:v>Geothermal EGS</c:v>
                </c:pt>
                <c:pt idx="19">
                  <c:v>PC Supercritical with CCS – Brown Coal</c:v>
                </c:pt>
                <c:pt idx="20">
                  <c:v>PC Supercritical with CCS – Bituminous Coal</c:v>
                </c:pt>
                <c:pt idx="21">
                  <c:v>PC Oxy Combustion Supercritical with CCS</c:v>
                </c:pt>
                <c:pt idx="22">
                  <c:v>CCGT with CCS</c:v>
                </c:pt>
                <c:pt idx="23">
                  <c:v>IGCC with CCS – Bituminous Coal</c:v>
                </c:pt>
                <c:pt idx="24">
                  <c:v>IGCC with CCS – Brown Coal</c:v>
                </c:pt>
                <c:pt idx="25">
                  <c:v>PC Subcritical Brown Coal - Retrofit CCS</c:v>
                </c:pt>
                <c:pt idx="26">
                  <c:v>PC Subcritical Black Coal - Retrofit CCS</c:v>
                </c:pt>
                <c:pt idx="27">
                  <c:v>Existing CCGT with retrofit CCS</c:v>
                </c:pt>
                <c:pt idx="28">
                  <c:v>CCGT Small Scale</c:v>
                </c:pt>
              </c:strCache>
            </c:strRef>
          </c:cat>
          <c:val>
            <c:numRef>
              <c:f>'Table for report'!$AB$6:$AB$34</c:f>
              <c:numCache>
                <c:formatCode>#,##0</c:formatCode>
                <c:ptCount val="29"/>
                <c:pt idx="0">
                  <c:v>3708.2205147935101</c:v>
                </c:pt>
                <c:pt idx="1">
                  <c:v>2833.4829125090023</c:v>
                </c:pt>
                <c:pt idx="2">
                  <c:v>3050.8196665713335</c:v>
                </c:pt>
                <c:pt idx="3">
                  <c:v>1258.3975329296866</c:v>
                </c:pt>
                <c:pt idx="4">
                  <c:v>1232.8520630112137</c:v>
                </c:pt>
                <c:pt idx="5">
                  <c:v>905.59468264523912</c:v>
                </c:pt>
                <c:pt idx="6">
                  <c:v>2261.3420559896813</c:v>
                </c:pt>
                <c:pt idx="7">
                  <c:v>4055.1602446512079</c:v>
                </c:pt>
                <c:pt idx="8">
                  <c:v>2131.3798688638376</c:v>
                </c:pt>
                <c:pt idx="9">
                  <c:v>3820.3878094345587</c:v>
                </c:pt>
                <c:pt idx="10">
                  <c:v>2660.5868155456915</c:v>
                </c:pt>
                <c:pt idx="11">
                  <c:v>3546.3443486907618</c:v>
                </c:pt>
                <c:pt idx="12">
                  <c:v>1539.4475366962636</c:v>
                </c:pt>
                <c:pt idx="13">
                  <c:v>1813.1270987755991</c:v>
                </c:pt>
                <c:pt idx="14">
                  <c:v>2696.8840179901204</c:v>
                </c:pt>
                <c:pt idx="15">
                  <c:v>1917.287186741069</c:v>
                </c:pt>
                <c:pt idx="16">
                  <c:v>3148.1914531337079</c:v>
                </c:pt>
                <c:pt idx="17">
                  <c:v>6936.5052615818913</c:v>
                </c:pt>
                <c:pt idx="18">
                  <c:v>10583.578554407113</c:v>
                </c:pt>
                <c:pt idx="19">
                  <c:v>4722.2948752236834</c:v>
                </c:pt>
                <c:pt idx="20">
                  <c:v>3647.6090820561708</c:v>
                </c:pt>
                <c:pt idx="21">
                  <c:v>3442.3932960464258</c:v>
                </c:pt>
                <c:pt idx="22">
                  <c:v>2039.1480523293135</c:v>
                </c:pt>
                <c:pt idx="23">
                  <c:v>3881.4945953262459</c:v>
                </c:pt>
                <c:pt idx="24">
                  <c:v>3958.7888595242653</c:v>
                </c:pt>
                <c:pt idx="25">
                  <c:v>2011.8398388929347</c:v>
                </c:pt>
                <c:pt idx="26">
                  <c:v>1300.0560328106615</c:v>
                </c:pt>
                <c:pt idx="27">
                  <c:v>1146.0894331781035</c:v>
                </c:pt>
                <c:pt idx="28">
                  <c:v>2157.4911102696242</c:v>
                </c:pt>
              </c:numCache>
            </c:numRef>
          </c:val>
        </c:ser>
        <c:ser>
          <c:idx val="3"/>
          <c:order val="3"/>
          <c:tx>
            <c:strRef>
              <c:f>'Table for report'!$AC$5</c:f>
              <c:strCache>
                <c:ptCount val="1"/>
                <c:pt idx="0">
                  <c:v>2039-40</c:v>
                </c:pt>
              </c:strCache>
            </c:strRef>
          </c:tx>
          <c:invertIfNegative val="0"/>
          <c:cat>
            <c:strRef>
              <c:f>'Table for report'!$Y$6:$Y$34</c:f>
              <c:strCache>
                <c:ptCount val="29"/>
                <c:pt idx="0">
                  <c:v>PC Supercritical – Brown Coal</c:v>
                </c:pt>
                <c:pt idx="1">
                  <c:v>PC Supercritical Black Coal</c:v>
                </c:pt>
                <c:pt idx="2">
                  <c:v>PC Supercritical Black Coal (SWIS Scale)</c:v>
                </c:pt>
                <c:pt idx="3">
                  <c:v>CCGT</c:v>
                </c:pt>
                <c:pt idx="4">
                  <c:v>CCGT SWIS Scale</c:v>
                </c:pt>
                <c:pt idx="5">
                  <c:v>OCGT</c:v>
                </c:pt>
                <c:pt idx="6">
                  <c:v>CLFR</c:v>
                </c:pt>
                <c:pt idx="7">
                  <c:v>CLFR with storage</c:v>
                </c:pt>
                <c:pt idx="8">
                  <c:v>Parabolic trough</c:v>
                </c:pt>
                <c:pt idx="9">
                  <c:v>Parabolic trough with storage</c:v>
                </c:pt>
                <c:pt idx="10">
                  <c:v>Central Receiver</c:v>
                </c:pt>
                <c:pt idx="11">
                  <c:v>Central Receiver with storage</c:v>
                </c:pt>
                <c:pt idx="12">
                  <c:v>Solar PV fixed</c:v>
                </c:pt>
                <c:pt idx="13">
                  <c:v>Solar PV single axis tracking</c:v>
                </c:pt>
                <c:pt idx="14">
                  <c:v>Solar PV dual axis tracking</c:v>
                </c:pt>
                <c:pt idx="15">
                  <c:v>On-shore Wind Farm</c:v>
                </c:pt>
                <c:pt idx="16">
                  <c:v>Ocean/Wave</c:v>
                </c:pt>
                <c:pt idx="17">
                  <c:v>Geothermal HSA</c:v>
                </c:pt>
                <c:pt idx="18">
                  <c:v>Geothermal EGS</c:v>
                </c:pt>
                <c:pt idx="19">
                  <c:v>PC Supercritical with CCS – Brown Coal</c:v>
                </c:pt>
                <c:pt idx="20">
                  <c:v>PC Supercritical with CCS – Bituminous Coal</c:v>
                </c:pt>
                <c:pt idx="21">
                  <c:v>PC Oxy Combustion Supercritical with CCS</c:v>
                </c:pt>
                <c:pt idx="22">
                  <c:v>CCGT with CCS</c:v>
                </c:pt>
                <c:pt idx="23">
                  <c:v>IGCC with CCS – Bituminous Coal</c:v>
                </c:pt>
                <c:pt idx="24">
                  <c:v>IGCC with CCS – Brown Coal</c:v>
                </c:pt>
                <c:pt idx="25">
                  <c:v>PC Subcritical Brown Coal - Retrofit CCS</c:v>
                </c:pt>
                <c:pt idx="26">
                  <c:v>PC Subcritical Black Coal - Retrofit CCS</c:v>
                </c:pt>
                <c:pt idx="27">
                  <c:v>Existing CCGT with retrofit CCS</c:v>
                </c:pt>
                <c:pt idx="28">
                  <c:v>CCGT Small Scale</c:v>
                </c:pt>
              </c:strCache>
            </c:strRef>
          </c:cat>
          <c:val>
            <c:numRef>
              <c:f>'Table for report'!$AC$6:$AC$34</c:f>
              <c:numCache>
                <c:formatCode>#,##0</c:formatCode>
                <c:ptCount val="29"/>
                <c:pt idx="0">
                  <c:v>3705.2887066789017</c:v>
                </c:pt>
                <c:pt idx="1">
                  <c:v>2843.1115496165589</c:v>
                </c:pt>
                <c:pt idx="2">
                  <c:v>3063.7346799831607</c:v>
                </c:pt>
                <c:pt idx="3">
                  <c:v>1275.0469459523372</c:v>
                </c:pt>
                <c:pt idx="4">
                  <c:v>1249.1634929495046</c:v>
                </c:pt>
                <c:pt idx="5">
                  <c:v>891.691328815475</c:v>
                </c:pt>
                <c:pt idx="6">
                  <c:v>2278.7291128235106</c:v>
                </c:pt>
                <c:pt idx="7">
                  <c:v>4104.5023237716732</c:v>
                </c:pt>
                <c:pt idx="8">
                  <c:v>2147.7676695577911</c:v>
                </c:pt>
                <c:pt idx="9">
                  <c:v>3866.8732418691025</c:v>
                </c:pt>
                <c:pt idx="10">
                  <c:v>2704.7064774214978</c:v>
                </c:pt>
                <c:pt idx="11">
                  <c:v>3589.4952953573747</c:v>
                </c:pt>
                <c:pt idx="12">
                  <c:v>979.65944713038607</c:v>
                </c:pt>
                <c:pt idx="13">
                  <c:v>1153.8211266202329</c:v>
                </c:pt>
                <c:pt idx="14">
                  <c:v>1716.218216639528</c:v>
                </c:pt>
                <c:pt idx="15">
                  <c:v>1930.8226225679427</c:v>
                </c:pt>
                <c:pt idx="16">
                  <c:v>3218.5815207435207</c:v>
                </c:pt>
                <c:pt idx="17">
                  <c:v>7163.5860012538606</c:v>
                </c:pt>
                <c:pt idx="18">
                  <c:v>10965.105018893151</c:v>
                </c:pt>
                <c:pt idx="19">
                  <c:v>4690.5163864922461</c:v>
                </c:pt>
                <c:pt idx="20">
                  <c:v>3623.0464335737965</c:v>
                </c:pt>
                <c:pt idx="21">
                  <c:v>3432.7924722529078</c:v>
                </c:pt>
                <c:pt idx="22">
                  <c:v>1997.6866379113001</c:v>
                </c:pt>
                <c:pt idx="23">
                  <c:v>3846.0482152579489</c:v>
                </c:pt>
                <c:pt idx="24">
                  <c:v>3922.6548801866265</c:v>
                </c:pt>
                <c:pt idx="25">
                  <c:v>2000.4861759556065</c:v>
                </c:pt>
                <c:pt idx="26">
                  <c:v>1292.7135462478918</c:v>
                </c:pt>
                <c:pt idx="27">
                  <c:v>1115.6649897515204</c:v>
                </c:pt>
                <c:pt idx="28">
                  <c:v>2186.0361126616331</c:v>
                </c:pt>
              </c:numCache>
            </c:numRef>
          </c:val>
        </c:ser>
        <c:ser>
          <c:idx val="4"/>
          <c:order val="4"/>
          <c:tx>
            <c:strRef>
              <c:f>'Table for report'!$AD$5</c:f>
              <c:strCache>
                <c:ptCount val="1"/>
                <c:pt idx="0">
                  <c:v>2049-50</c:v>
                </c:pt>
              </c:strCache>
            </c:strRef>
          </c:tx>
          <c:invertIfNegative val="0"/>
          <c:cat>
            <c:strRef>
              <c:f>'Table for report'!$Y$6:$Y$34</c:f>
              <c:strCache>
                <c:ptCount val="29"/>
                <c:pt idx="0">
                  <c:v>PC Supercritical – Brown Coal</c:v>
                </c:pt>
                <c:pt idx="1">
                  <c:v>PC Supercritical Black Coal</c:v>
                </c:pt>
                <c:pt idx="2">
                  <c:v>PC Supercritical Black Coal (SWIS Scale)</c:v>
                </c:pt>
                <c:pt idx="3">
                  <c:v>CCGT</c:v>
                </c:pt>
                <c:pt idx="4">
                  <c:v>CCGT SWIS Scale</c:v>
                </c:pt>
                <c:pt idx="5">
                  <c:v>OCGT</c:v>
                </c:pt>
                <c:pt idx="6">
                  <c:v>CLFR</c:v>
                </c:pt>
                <c:pt idx="7">
                  <c:v>CLFR with storage</c:v>
                </c:pt>
                <c:pt idx="8">
                  <c:v>Parabolic trough</c:v>
                </c:pt>
                <c:pt idx="9">
                  <c:v>Parabolic trough with storage</c:v>
                </c:pt>
                <c:pt idx="10">
                  <c:v>Central Receiver</c:v>
                </c:pt>
                <c:pt idx="11">
                  <c:v>Central Receiver with storage</c:v>
                </c:pt>
                <c:pt idx="12">
                  <c:v>Solar PV fixed</c:v>
                </c:pt>
                <c:pt idx="13">
                  <c:v>Solar PV single axis tracking</c:v>
                </c:pt>
                <c:pt idx="14">
                  <c:v>Solar PV dual axis tracking</c:v>
                </c:pt>
                <c:pt idx="15">
                  <c:v>On-shore Wind Farm</c:v>
                </c:pt>
                <c:pt idx="16">
                  <c:v>Ocean/Wave</c:v>
                </c:pt>
                <c:pt idx="17">
                  <c:v>Geothermal HSA</c:v>
                </c:pt>
                <c:pt idx="18">
                  <c:v>Geothermal EGS</c:v>
                </c:pt>
                <c:pt idx="19">
                  <c:v>PC Supercritical with CCS – Brown Coal</c:v>
                </c:pt>
                <c:pt idx="20">
                  <c:v>PC Supercritical with CCS – Bituminous Coal</c:v>
                </c:pt>
                <c:pt idx="21">
                  <c:v>PC Oxy Combustion Supercritical with CCS</c:v>
                </c:pt>
                <c:pt idx="22">
                  <c:v>CCGT with CCS</c:v>
                </c:pt>
                <c:pt idx="23">
                  <c:v>IGCC with CCS – Bituminous Coal</c:v>
                </c:pt>
                <c:pt idx="24">
                  <c:v>IGCC with CCS – Brown Coal</c:v>
                </c:pt>
                <c:pt idx="25">
                  <c:v>PC Subcritical Brown Coal - Retrofit CCS</c:v>
                </c:pt>
                <c:pt idx="26">
                  <c:v>PC Subcritical Black Coal - Retrofit CCS</c:v>
                </c:pt>
                <c:pt idx="27">
                  <c:v>Existing CCGT with retrofit CCS</c:v>
                </c:pt>
                <c:pt idx="28">
                  <c:v>CCGT Small Scale</c:v>
                </c:pt>
              </c:strCache>
            </c:strRef>
          </c:cat>
          <c:val>
            <c:numRef>
              <c:f>'Table for report'!$AD$6:$AD$34</c:f>
              <c:numCache>
                <c:formatCode>#,##0</c:formatCode>
                <c:ptCount val="29"/>
                <c:pt idx="0">
                  <c:v>3752.3557963744397</c:v>
                </c:pt>
                <c:pt idx="1">
                  <c:v>2892.3301880997742</c:v>
                </c:pt>
                <c:pt idx="2">
                  <c:v>3120.4434035215277</c:v>
                </c:pt>
                <c:pt idx="3">
                  <c:v>1318.4287432710478</c:v>
                </c:pt>
                <c:pt idx="4">
                  <c:v>1291.6646397826453</c:v>
                </c:pt>
                <c:pt idx="5">
                  <c:v>882.94324106584952</c:v>
                </c:pt>
                <c:pt idx="6">
                  <c:v>2332.0142427976721</c:v>
                </c:pt>
                <c:pt idx="7">
                  <c:v>4227.4250215178145</c:v>
                </c:pt>
                <c:pt idx="8">
                  <c:v>2197.9904357403343</c:v>
                </c:pt>
                <c:pt idx="9">
                  <c:v>3982.6793623773092</c:v>
                </c:pt>
                <c:pt idx="10">
                  <c:v>2803.0562923721536</c:v>
                </c:pt>
                <c:pt idx="11">
                  <c:v>3696.9944293442109</c:v>
                </c:pt>
                <c:pt idx="12">
                  <c:v>926.99404061799055</c:v>
                </c:pt>
                <c:pt idx="13">
                  <c:v>1091.7929811723</c:v>
                </c:pt>
                <c:pt idx="14">
                  <c:v>1623.9562267122574</c:v>
                </c:pt>
                <c:pt idx="15">
                  <c:v>1905.8271138894604</c:v>
                </c:pt>
                <c:pt idx="16">
                  <c:v>3162.4584825149668</c:v>
                </c:pt>
                <c:pt idx="17">
                  <c:v>7517.3181187899327</c:v>
                </c:pt>
                <c:pt idx="18">
                  <c:v>11554.496709896232</c:v>
                </c:pt>
                <c:pt idx="19">
                  <c:v>4772.4818044962785</c:v>
                </c:pt>
                <c:pt idx="20">
                  <c:v>3686.3464186215533</c:v>
                </c:pt>
                <c:pt idx="21">
                  <c:v>3512.0840084208662</c:v>
                </c:pt>
                <c:pt idx="22">
                  <c:v>1994.7046874865739</c:v>
                </c:pt>
                <c:pt idx="23">
                  <c:v>3908.3657517848878</c:v>
                </c:pt>
                <c:pt idx="24">
                  <c:v>3986.2254740324306</c:v>
                </c:pt>
                <c:pt idx="25">
                  <c:v>2037.3218825305412</c:v>
                </c:pt>
                <c:pt idx="26">
                  <c:v>1316.5125120632797</c:v>
                </c:pt>
                <c:pt idx="27">
                  <c:v>1103.3984191744144</c:v>
                </c:pt>
                <c:pt idx="28">
                  <c:v>2260.4131196196299</c:v>
                </c:pt>
              </c:numCache>
            </c:numRef>
          </c:val>
        </c:ser>
        <c:dLbls>
          <c:showLegendKey val="0"/>
          <c:showVal val="0"/>
          <c:showCatName val="0"/>
          <c:showSerName val="0"/>
          <c:showPercent val="0"/>
          <c:showBubbleSize val="0"/>
        </c:dLbls>
        <c:gapWidth val="150"/>
        <c:axId val="129435904"/>
        <c:axId val="129441792"/>
      </c:barChart>
      <c:catAx>
        <c:axId val="129435904"/>
        <c:scaling>
          <c:orientation val="maxMin"/>
        </c:scaling>
        <c:delete val="0"/>
        <c:axPos val="l"/>
        <c:majorTickMark val="out"/>
        <c:minorTickMark val="none"/>
        <c:tickLblPos val="nextTo"/>
        <c:crossAx val="129441792"/>
        <c:crosses val="autoZero"/>
        <c:auto val="1"/>
        <c:lblAlgn val="ctr"/>
        <c:lblOffset val="100"/>
        <c:noMultiLvlLbl val="0"/>
      </c:catAx>
      <c:valAx>
        <c:axId val="129441792"/>
        <c:scaling>
          <c:orientation val="minMax"/>
        </c:scaling>
        <c:delete val="0"/>
        <c:axPos val="t"/>
        <c:majorGridlines>
          <c:spPr>
            <a:ln>
              <a:solidFill>
                <a:schemeClr val="bg1">
                  <a:lumMod val="75000"/>
                </a:schemeClr>
              </a:solidFill>
            </a:ln>
          </c:spPr>
        </c:majorGridlines>
        <c:title>
          <c:tx>
            <c:rich>
              <a:bodyPr/>
              <a:lstStyle/>
              <a:p>
                <a:pPr>
                  <a:defRPr/>
                </a:pPr>
                <a:r>
                  <a:rPr lang="en-AU"/>
                  <a:t>Capital cost (Real 2011-12</a:t>
                </a:r>
                <a:r>
                  <a:rPr lang="en-AU" baseline="0"/>
                  <a:t> $/kW installed)</a:t>
                </a:r>
                <a:endParaRPr lang="en-AU"/>
              </a:p>
            </c:rich>
          </c:tx>
          <c:layout>
            <c:manualLayout>
              <c:xMode val="edge"/>
              <c:yMode val="edge"/>
              <c:x val="0.49408420721603685"/>
              <c:y val="1.3111677514299152E-2"/>
            </c:manualLayout>
          </c:layout>
          <c:overlay val="0"/>
        </c:title>
        <c:numFmt formatCode="#,##0" sourceLinked="1"/>
        <c:majorTickMark val="out"/>
        <c:minorTickMark val="none"/>
        <c:tickLblPos val="nextTo"/>
        <c:crossAx val="129435904"/>
        <c:crosses val="autoZero"/>
        <c:crossBetween val="between"/>
      </c:valAx>
    </c:plotArea>
    <c:legend>
      <c:legendPos val="r"/>
      <c:layout>
        <c:manualLayout>
          <c:xMode val="edge"/>
          <c:yMode val="edge"/>
          <c:x val="0.80869117166806415"/>
          <c:y val="0.73292097158376024"/>
          <c:w val="0.13600928916143837"/>
          <c:h val="0.21431204769924139"/>
        </c:manualLayout>
      </c:layout>
      <c:overlay val="0"/>
      <c:spPr>
        <a:solidFill>
          <a:schemeClr val="bg1">
            <a:lumMod val="95000"/>
          </a:schemeClr>
        </a:solidFill>
      </c:sp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65997504588057"/>
          <c:y val="3.7288049534752232E-2"/>
          <c:w val="0.86565351908501764"/>
          <c:h val="0.75531437908496735"/>
        </c:manualLayout>
      </c:layout>
      <c:barChart>
        <c:barDir val="col"/>
        <c:grouping val="stacked"/>
        <c:varyColors val="0"/>
        <c:ser>
          <c:idx val="0"/>
          <c:order val="0"/>
          <c:tx>
            <c:strRef>
              <c:f>'REC balance'!$C$12</c:f>
              <c:strCache>
                <c:ptCount val="1"/>
                <c:pt idx="0">
                  <c:v>Existing generators</c:v>
                </c:pt>
              </c:strCache>
            </c:strRef>
          </c:tx>
          <c:invertIfNegative val="0"/>
          <c:cat>
            <c:numRef>
              <c:f>'REC balance'!$D$6:$AG$6</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cat>
          <c:val>
            <c:numRef>
              <c:f>'REC balance'!$D$12:$AG$12</c:f>
              <c:numCache>
                <c:formatCode>#,##0</c:formatCode>
                <c:ptCount val="30"/>
                <c:pt idx="0">
                  <c:v>1446.037</c:v>
                </c:pt>
                <c:pt idx="1">
                  <c:v>2251.2150000000001</c:v>
                </c:pt>
                <c:pt idx="2">
                  <c:v>3644.2040000000002</c:v>
                </c:pt>
                <c:pt idx="3">
                  <c:v>2581.634</c:v>
                </c:pt>
                <c:pt idx="4">
                  <c:v>3810.9319999999998</c:v>
                </c:pt>
                <c:pt idx="5">
                  <c:v>4144.1329999999998</c:v>
                </c:pt>
                <c:pt idx="6">
                  <c:v>4661.54</c:v>
                </c:pt>
                <c:pt idx="7">
                  <c:v>5052.6760000000004</c:v>
                </c:pt>
                <c:pt idx="8">
                  <c:v>6783.2150000000001</c:v>
                </c:pt>
                <c:pt idx="9">
                  <c:v>9229.482</c:v>
                </c:pt>
                <c:pt idx="10">
                  <c:v>10079.398999999999</c:v>
                </c:pt>
                <c:pt idx="11">
                  <c:v>11067.548084878455</c:v>
                </c:pt>
                <c:pt idx="12">
                  <c:v>11053.78413383435</c:v>
                </c:pt>
                <c:pt idx="13">
                  <c:v>11046.64502708345</c:v>
                </c:pt>
                <c:pt idx="14">
                  <c:v>11039.414718168522</c:v>
                </c:pt>
                <c:pt idx="15">
                  <c:v>11032.822761823656</c:v>
                </c:pt>
                <c:pt idx="16">
                  <c:v>11026.799054847588</c:v>
                </c:pt>
                <c:pt idx="17">
                  <c:v>11021.282915095291</c:v>
                </c:pt>
                <c:pt idx="18">
                  <c:v>11016.221641866012</c:v>
                </c:pt>
                <c:pt idx="19">
                  <c:v>11011.569310562312</c:v>
                </c:pt>
                <c:pt idx="20">
                  <c:v>11007.285762462285</c:v>
                </c:pt>
                <c:pt idx="21">
                  <c:v>11003.335757062498</c:v>
                </c:pt>
                <c:pt idx="22">
                  <c:v>10999.68825994253</c:v>
                </c:pt>
                <c:pt idx="23">
                  <c:v>10996.315843663431</c:v>
                </c:pt>
                <c:pt idx="24">
                  <c:v>10993.194183000764</c:v>
                </c:pt>
                <c:pt idx="25">
                  <c:v>10990.301628959138</c:v>
                </c:pt>
                <c:pt idx="26">
                  <c:v>10987.618848628596</c:v>
                </c:pt>
                <c:pt idx="27">
                  <c:v>10985.12852011408</c:v>
                </c:pt>
                <c:pt idx="28">
                  <c:v>10982.81507357292</c:v>
                </c:pt>
                <c:pt idx="29">
                  <c:v>10980.664470893975</c:v>
                </c:pt>
              </c:numCache>
            </c:numRef>
          </c:val>
        </c:ser>
        <c:ser>
          <c:idx val="1"/>
          <c:order val="1"/>
          <c:tx>
            <c:strRef>
              <c:f>'REC balance'!$C$13</c:f>
              <c:strCache>
                <c:ptCount val="1"/>
                <c:pt idx="0">
                  <c:v>Under construction &amp; WCMG</c:v>
                </c:pt>
              </c:strCache>
            </c:strRef>
          </c:tx>
          <c:invertIfNegative val="0"/>
          <c:cat>
            <c:numRef>
              <c:f>'REC balance'!$D$6:$AG$6</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cat>
          <c:val>
            <c:numRef>
              <c:f>'REC balance'!$D$13:$AG$13</c:f>
              <c:numCache>
                <c:formatCode>#,##0</c:formatCode>
                <c:ptCount val="30"/>
                <c:pt idx="0">
                  <c:v>0</c:v>
                </c:pt>
                <c:pt idx="1">
                  <c:v>0</c:v>
                </c:pt>
                <c:pt idx="2">
                  <c:v>0</c:v>
                </c:pt>
                <c:pt idx="3">
                  <c:v>0</c:v>
                </c:pt>
                <c:pt idx="4">
                  <c:v>0</c:v>
                </c:pt>
                <c:pt idx="5">
                  <c:v>0</c:v>
                </c:pt>
                <c:pt idx="6">
                  <c:v>0</c:v>
                </c:pt>
                <c:pt idx="7">
                  <c:v>0</c:v>
                </c:pt>
                <c:pt idx="8">
                  <c:v>0</c:v>
                </c:pt>
                <c:pt idx="9">
                  <c:v>0</c:v>
                </c:pt>
                <c:pt idx="10">
                  <c:v>0</c:v>
                </c:pt>
                <c:pt idx="11">
                  <c:v>888.27786000000015</c:v>
                </c:pt>
                <c:pt idx="12">
                  <c:v>2148.6047999999996</c:v>
                </c:pt>
                <c:pt idx="13">
                  <c:v>3339.83052</c:v>
                </c:pt>
                <c:pt idx="14">
                  <c:v>4031.4823999999999</c:v>
                </c:pt>
                <c:pt idx="15">
                  <c:v>4031.4823999999999</c:v>
                </c:pt>
                <c:pt idx="16">
                  <c:v>4031.4823999999999</c:v>
                </c:pt>
                <c:pt idx="17">
                  <c:v>4031.4823999999999</c:v>
                </c:pt>
                <c:pt idx="18">
                  <c:v>4031.4823999999999</c:v>
                </c:pt>
                <c:pt idx="19">
                  <c:v>4031.4823999999999</c:v>
                </c:pt>
                <c:pt idx="20">
                  <c:v>3181.4823999999999</c:v>
                </c:pt>
                <c:pt idx="21">
                  <c:v>3181.4823999999999</c:v>
                </c:pt>
                <c:pt idx="22">
                  <c:v>3181.4823999999999</c:v>
                </c:pt>
                <c:pt idx="23">
                  <c:v>3181.4823999999999</c:v>
                </c:pt>
                <c:pt idx="24">
                  <c:v>3181.4823999999999</c:v>
                </c:pt>
                <c:pt idx="25">
                  <c:v>3181.4823999999999</c:v>
                </c:pt>
                <c:pt idx="26">
                  <c:v>3181.4823999999999</c:v>
                </c:pt>
                <c:pt idx="27">
                  <c:v>3181.4823999999999</c:v>
                </c:pt>
                <c:pt idx="28">
                  <c:v>3181.4823999999999</c:v>
                </c:pt>
                <c:pt idx="29">
                  <c:v>3181.4823999999999</c:v>
                </c:pt>
              </c:numCache>
            </c:numRef>
          </c:val>
        </c:ser>
        <c:ser>
          <c:idx val="2"/>
          <c:order val="2"/>
          <c:tx>
            <c:strRef>
              <c:f>'REC balance'!$C$14</c:f>
              <c:strCache>
                <c:ptCount val="1"/>
                <c:pt idx="0">
                  <c:v>Solar hot water</c:v>
                </c:pt>
              </c:strCache>
            </c:strRef>
          </c:tx>
          <c:invertIfNegative val="0"/>
          <c:cat>
            <c:numRef>
              <c:f>'REC balance'!$D$6:$AG$6</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cat>
          <c:val>
            <c:numRef>
              <c:f>'REC balance'!$D$14:$AG$14</c:f>
              <c:numCache>
                <c:formatCode>#,##0</c:formatCode>
                <c:ptCount val="30"/>
                <c:pt idx="0">
                  <c:v>215.357</c:v>
                </c:pt>
                <c:pt idx="1">
                  <c:v>525.13699999999994</c:v>
                </c:pt>
                <c:pt idx="2">
                  <c:v>705.47199999999998</c:v>
                </c:pt>
                <c:pt idx="3">
                  <c:v>812.72199999999998</c:v>
                </c:pt>
                <c:pt idx="4">
                  <c:v>997.64099999999996</c:v>
                </c:pt>
                <c:pt idx="5">
                  <c:v>1017.953</c:v>
                </c:pt>
                <c:pt idx="6">
                  <c:v>1516.7560000000001</c:v>
                </c:pt>
                <c:pt idx="7">
                  <c:v>3231.8110000000001</c:v>
                </c:pt>
                <c:pt idx="8">
                  <c:v>7871.299</c:v>
                </c:pt>
                <c:pt idx="9">
                  <c:v>4274.3059999999996</c:v>
                </c:pt>
                <c:pt idx="10">
                  <c:v>52.814999999999998</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er>
        <c:ser>
          <c:idx val="3"/>
          <c:order val="3"/>
          <c:tx>
            <c:strRef>
              <c:f>'REC balance'!$C$15</c:f>
              <c:strCache>
                <c:ptCount val="1"/>
                <c:pt idx="0">
                  <c:v>SGUs</c:v>
                </c:pt>
              </c:strCache>
            </c:strRef>
          </c:tx>
          <c:invertIfNegative val="0"/>
          <c:cat>
            <c:numRef>
              <c:f>'REC balance'!$D$6:$AG$6</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cat>
          <c:val>
            <c:numRef>
              <c:f>'REC balance'!$D$15:$AG$15</c:f>
              <c:numCache>
                <c:formatCode>#,##0</c:formatCode>
                <c:ptCount val="30"/>
                <c:pt idx="0">
                  <c:v>1.5049999999999999</c:v>
                </c:pt>
                <c:pt idx="1">
                  <c:v>2.927</c:v>
                </c:pt>
                <c:pt idx="2">
                  <c:v>6.3579999999999997</c:v>
                </c:pt>
                <c:pt idx="3">
                  <c:v>8.8350000000000009</c:v>
                </c:pt>
                <c:pt idx="4">
                  <c:v>14.053000000000001</c:v>
                </c:pt>
                <c:pt idx="5">
                  <c:v>32.232999999999997</c:v>
                </c:pt>
                <c:pt idx="6">
                  <c:v>109.982</c:v>
                </c:pt>
                <c:pt idx="7">
                  <c:v>402.834</c:v>
                </c:pt>
                <c:pt idx="8">
                  <c:v>2514.7150000000001</c:v>
                </c:pt>
                <c:pt idx="9">
                  <c:v>25997.566999999999</c:v>
                </c:pt>
                <c:pt idx="10">
                  <c:v>525.40599999999995</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er>
        <c:ser>
          <c:idx val="5"/>
          <c:order val="5"/>
          <c:tx>
            <c:strRef>
              <c:f>'REC balance'!$C$21</c:f>
              <c:strCache>
                <c:ptCount val="1"/>
                <c:pt idx="0">
                  <c:v>Assumed niche LGCs</c:v>
                </c:pt>
              </c:strCache>
            </c:strRef>
          </c:tx>
          <c:invertIfNegative val="0"/>
          <c:val>
            <c:numRef>
              <c:f>'REC balance'!$D$21:$AG$21</c:f>
              <c:numCache>
                <c:formatCode>#,##0</c:formatCode>
                <c:ptCount val="30"/>
                <c:pt idx="0">
                  <c:v>0</c:v>
                </c:pt>
                <c:pt idx="1">
                  <c:v>0</c:v>
                </c:pt>
                <c:pt idx="2">
                  <c:v>0</c:v>
                </c:pt>
                <c:pt idx="3">
                  <c:v>0</c:v>
                </c:pt>
                <c:pt idx="4">
                  <c:v>0</c:v>
                </c:pt>
                <c:pt idx="5">
                  <c:v>0</c:v>
                </c:pt>
                <c:pt idx="6">
                  <c:v>0</c:v>
                </c:pt>
                <c:pt idx="7">
                  <c:v>0</c:v>
                </c:pt>
                <c:pt idx="8">
                  <c:v>0</c:v>
                </c:pt>
                <c:pt idx="9">
                  <c:v>0</c:v>
                </c:pt>
                <c:pt idx="10">
                  <c:v>0</c:v>
                </c:pt>
                <c:pt idx="11">
                  <c:v>0</c:v>
                </c:pt>
                <c:pt idx="12">
                  <c:v>200.27699999999999</c:v>
                </c:pt>
                <c:pt idx="13">
                  <c:v>384.72899999999998</c:v>
                </c:pt>
                <c:pt idx="14">
                  <c:v>646.21900000000005</c:v>
                </c:pt>
                <c:pt idx="15">
                  <c:v>999.92600000000004</c:v>
                </c:pt>
                <c:pt idx="16">
                  <c:v>1430.259</c:v>
                </c:pt>
                <c:pt idx="17">
                  <c:v>1807.855</c:v>
                </c:pt>
                <c:pt idx="18">
                  <c:v>2082.7710000000002</c:v>
                </c:pt>
                <c:pt idx="19">
                  <c:v>2333.442</c:v>
                </c:pt>
                <c:pt idx="20">
                  <c:v>2534.703</c:v>
                </c:pt>
                <c:pt idx="21">
                  <c:v>2705.4110000000001</c:v>
                </c:pt>
                <c:pt idx="22">
                  <c:v>2879.154</c:v>
                </c:pt>
                <c:pt idx="23">
                  <c:v>3055.8969999999999</c:v>
                </c:pt>
                <c:pt idx="24">
                  <c:v>3235.6170000000002</c:v>
                </c:pt>
                <c:pt idx="25">
                  <c:v>3418.3040000000001</c:v>
                </c:pt>
                <c:pt idx="26">
                  <c:v>3604.971</c:v>
                </c:pt>
                <c:pt idx="27">
                  <c:v>3795.6660000000002</c:v>
                </c:pt>
                <c:pt idx="28">
                  <c:v>3990.4209999999998</c:v>
                </c:pt>
                <c:pt idx="29">
                  <c:v>4189.2839999999997</c:v>
                </c:pt>
              </c:numCache>
            </c:numRef>
          </c:val>
        </c:ser>
        <c:dLbls>
          <c:showLegendKey val="0"/>
          <c:showVal val="0"/>
          <c:showCatName val="0"/>
          <c:showSerName val="0"/>
          <c:showPercent val="0"/>
          <c:showBubbleSize val="0"/>
        </c:dLbls>
        <c:gapWidth val="43"/>
        <c:overlap val="100"/>
        <c:axId val="133229184"/>
        <c:axId val="133230976"/>
      </c:barChart>
      <c:lineChart>
        <c:grouping val="standard"/>
        <c:varyColors val="0"/>
        <c:ser>
          <c:idx val="4"/>
          <c:order val="4"/>
          <c:tx>
            <c:strRef>
              <c:f>'REC balance'!$C$10</c:f>
              <c:strCache>
                <c:ptCount val="1"/>
                <c:pt idx="0">
                  <c:v>Total Demand</c:v>
                </c:pt>
              </c:strCache>
            </c:strRef>
          </c:tx>
          <c:spPr>
            <a:ln>
              <a:solidFill>
                <a:sysClr val="windowText" lastClr="000000"/>
              </a:solidFill>
            </a:ln>
          </c:spPr>
          <c:marker>
            <c:symbol val="none"/>
          </c:marker>
          <c:val>
            <c:numRef>
              <c:f>'REC balance'!$D$10:$AG$10</c:f>
              <c:numCache>
                <c:formatCode>#,##0</c:formatCode>
                <c:ptCount val="30"/>
                <c:pt idx="0">
                  <c:v>638.03416666666669</c:v>
                </c:pt>
                <c:pt idx="1">
                  <c:v>1451.7975000000001</c:v>
                </c:pt>
                <c:pt idx="2">
                  <c:v>2113.7118055555557</c:v>
                </c:pt>
                <c:pt idx="3">
                  <c:v>3008.1108333333332</c:v>
                </c:pt>
                <c:pt idx="4">
                  <c:v>3861.8783333333336</c:v>
                </c:pt>
                <c:pt idx="5">
                  <c:v>5183.6808333333338</c:v>
                </c:pt>
                <c:pt idx="6">
                  <c:v>6621.7325000000001</c:v>
                </c:pt>
                <c:pt idx="7">
                  <c:v>8355.5241666666661</c:v>
                </c:pt>
                <c:pt idx="8">
                  <c:v>10008.577499999999</c:v>
                </c:pt>
                <c:pt idx="9">
                  <c:v>14459.066666666668</c:v>
                </c:pt>
                <c:pt idx="10">
                  <c:v>12576.977500000001</c:v>
                </c:pt>
                <c:pt idx="11">
                  <c:v>18981</c:v>
                </c:pt>
                <c:pt idx="12">
                  <c:v>20888</c:v>
                </c:pt>
                <c:pt idx="13">
                  <c:v>18620</c:v>
                </c:pt>
                <c:pt idx="14">
                  <c:v>20520</c:v>
                </c:pt>
                <c:pt idx="15">
                  <c:v>23101</c:v>
                </c:pt>
                <c:pt idx="16">
                  <c:v>27701</c:v>
                </c:pt>
                <c:pt idx="17">
                  <c:v>32301</c:v>
                </c:pt>
                <c:pt idx="18">
                  <c:v>36901</c:v>
                </c:pt>
                <c:pt idx="19">
                  <c:v>43520</c:v>
                </c:pt>
                <c:pt idx="20">
                  <c:v>42670</c:v>
                </c:pt>
                <c:pt idx="21">
                  <c:v>42670</c:v>
                </c:pt>
                <c:pt idx="22">
                  <c:v>42670</c:v>
                </c:pt>
                <c:pt idx="23">
                  <c:v>42670</c:v>
                </c:pt>
                <c:pt idx="24">
                  <c:v>42670</c:v>
                </c:pt>
                <c:pt idx="25">
                  <c:v>42670</c:v>
                </c:pt>
                <c:pt idx="26">
                  <c:v>42670</c:v>
                </c:pt>
                <c:pt idx="27">
                  <c:v>42670</c:v>
                </c:pt>
                <c:pt idx="28">
                  <c:v>42670</c:v>
                </c:pt>
                <c:pt idx="29">
                  <c:v>42670</c:v>
                </c:pt>
              </c:numCache>
            </c:numRef>
          </c:val>
          <c:smooth val="0"/>
        </c:ser>
        <c:dLbls>
          <c:showLegendKey val="0"/>
          <c:showVal val="0"/>
          <c:showCatName val="0"/>
          <c:showSerName val="0"/>
          <c:showPercent val="0"/>
          <c:showBubbleSize val="0"/>
        </c:dLbls>
        <c:marker val="1"/>
        <c:smooth val="0"/>
        <c:axId val="133229184"/>
        <c:axId val="133230976"/>
      </c:lineChart>
      <c:catAx>
        <c:axId val="133229184"/>
        <c:scaling>
          <c:orientation val="minMax"/>
        </c:scaling>
        <c:delete val="0"/>
        <c:axPos val="b"/>
        <c:majorGridlines>
          <c:spPr>
            <a:ln>
              <a:solidFill>
                <a:sysClr val="windowText" lastClr="000000">
                  <a:tint val="75000"/>
                  <a:shade val="95000"/>
                  <a:satMod val="105000"/>
                  <a:alpha val="50000"/>
                </a:sysClr>
              </a:solidFill>
              <a:prstDash val="solid"/>
            </a:ln>
          </c:spPr>
        </c:majorGridlines>
        <c:numFmt formatCode="General" sourceLinked="1"/>
        <c:majorTickMark val="out"/>
        <c:minorTickMark val="none"/>
        <c:tickLblPos val="low"/>
        <c:spPr>
          <a:ln>
            <a:solidFill>
              <a:sysClr val="windowText" lastClr="000000">
                <a:tint val="75000"/>
                <a:shade val="95000"/>
                <a:satMod val="105000"/>
                <a:alpha val="50000"/>
              </a:sysClr>
            </a:solidFill>
          </a:ln>
        </c:spPr>
        <c:txPr>
          <a:bodyPr rot="-5400000" vert="horz"/>
          <a:lstStyle/>
          <a:p>
            <a:pPr>
              <a:defRPr lang="en-US"/>
            </a:pPr>
            <a:endParaRPr lang="en-US"/>
          </a:p>
        </c:txPr>
        <c:crossAx val="133230976"/>
        <c:crosses val="autoZero"/>
        <c:auto val="1"/>
        <c:lblAlgn val="ctr"/>
        <c:lblOffset val="100"/>
        <c:noMultiLvlLbl val="0"/>
      </c:catAx>
      <c:valAx>
        <c:axId val="133230976"/>
        <c:scaling>
          <c:orientation val="minMax"/>
        </c:scaling>
        <c:delete val="0"/>
        <c:axPos val="l"/>
        <c:majorGridlines>
          <c:spPr>
            <a:ln>
              <a:solidFill>
                <a:sysClr val="windowText" lastClr="000000">
                  <a:tint val="75000"/>
                  <a:shade val="95000"/>
                  <a:satMod val="105000"/>
                  <a:alpha val="50000"/>
                </a:sysClr>
              </a:solidFill>
              <a:prstDash val="solid"/>
            </a:ln>
          </c:spPr>
        </c:majorGridlines>
        <c:title>
          <c:tx>
            <c:rich>
              <a:bodyPr rot="-5400000" vert="horz"/>
              <a:lstStyle/>
              <a:p>
                <a:pPr>
                  <a:defRPr lang="en-US"/>
                </a:pPr>
                <a:r>
                  <a:rPr lang="en-US"/>
                  <a:t>LGCs ('000)</a:t>
                </a:r>
              </a:p>
            </c:rich>
          </c:tx>
          <c:layout>
            <c:manualLayout>
              <c:xMode val="edge"/>
              <c:yMode val="edge"/>
              <c:x val="6.4070261437908487E-3"/>
              <c:y val="0.31414575163398695"/>
            </c:manualLayout>
          </c:layout>
          <c:overlay val="0"/>
        </c:title>
        <c:numFmt formatCode="#,##0" sourceLinked="0"/>
        <c:majorTickMark val="out"/>
        <c:minorTickMark val="none"/>
        <c:tickLblPos val="nextTo"/>
        <c:spPr>
          <a:ln>
            <a:solidFill>
              <a:sysClr val="windowText" lastClr="000000">
                <a:tint val="75000"/>
                <a:shade val="95000"/>
                <a:satMod val="105000"/>
                <a:alpha val="50000"/>
              </a:sysClr>
            </a:solidFill>
          </a:ln>
        </c:spPr>
        <c:txPr>
          <a:bodyPr/>
          <a:lstStyle/>
          <a:p>
            <a:pPr>
              <a:defRPr lang="en-US"/>
            </a:pPr>
            <a:endParaRPr lang="en-US"/>
          </a:p>
        </c:txPr>
        <c:crossAx val="133229184"/>
        <c:crosses val="autoZero"/>
        <c:crossBetween val="between"/>
      </c:valAx>
    </c:plotArea>
    <c:legend>
      <c:legendPos val="b"/>
      <c:layout>
        <c:manualLayout>
          <c:xMode val="edge"/>
          <c:yMode val="edge"/>
          <c:x val="6.5477614379084961E-2"/>
          <c:y val="0.90907647058823526"/>
          <c:w val="0.90781454248366011"/>
          <c:h val="8.7950326797385625E-2"/>
        </c:manualLayout>
      </c:layout>
      <c:overlay val="0"/>
      <c:txPr>
        <a:bodyPr/>
        <a:lstStyle/>
        <a:p>
          <a:pPr>
            <a:defRPr lang="en-US"/>
          </a:pPr>
          <a:endParaRPr lang="en-US"/>
        </a:p>
      </c:txPr>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ACIL Allen 1">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Arial with Arial Narrow">
      <a:majorFont>
        <a:latin typeface="Arial"/>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293C9-83AC-4F27-BEB4-A9F41AC84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ACIL Allen Report.dotm</Template>
  <TotalTime>94</TotalTime>
  <Pages>89</Pages>
  <Words>24126</Words>
  <Characters>137519</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ACIL Allen Consulting Pty Ltd</Company>
  <LinksUpToDate>false</LinksUpToDate>
  <CharactersWithSpaces>161323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Owen Kelp</dc:creator>
  <dc:description>Modified 8 August 2013</dc:description>
  <cp:lastModifiedBy>guy</cp:lastModifiedBy>
  <cp:revision>5</cp:revision>
  <cp:lastPrinted>2013-10-24T05:22:00Z</cp:lastPrinted>
  <dcterms:created xsi:type="dcterms:W3CDTF">2013-10-24T03:06:00Z</dcterms:created>
  <dcterms:modified xsi:type="dcterms:W3CDTF">2013-10-24T05:22:00Z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ies>
</file>