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593" w:rsidRDefault="00863593" w:rsidP="007C3D3A">
      <w:r>
        <w:rPr>
          <w:noProof/>
          <w:lang w:eastAsia="en-AU"/>
        </w:rPr>
        <w:drawing>
          <wp:anchor distT="0" distB="0" distL="114300" distR="114300" simplePos="0" relativeHeight="251664384" behindDoc="0" locked="0" layoutInCell="1" allowOverlap="1" wp14:anchorId="419C3E80" wp14:editId="22169DA0">
            <wp:simplePos x="0" y="0"/>
            <wp:positionH relativeFrom="column">
              <wp:posOffset>-962025</wp:posOffset>
            </wp:positionH>
            <wp:positionV relativeFrom="paragraph">
              <wp:posOffset>-1076960</wp:posOffset>
            </wp:positionV>
            <wp:extent cx="7600950" cy="10756265"/>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75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593" w:rsidRDefault="00863593" w:rsidP="007C3D3A">
      <w:pPr>
        <w:sectPr w:rsidR="00863593" w:rsidSect="00C902D9">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cols w:space="720"/>
          <w:titlePg/>
          <w:docGrid w:linePitch="360"/>
        </w:sectPr>
      </w:pPr>
    </w:p>
    <w:p w:rsidR="00716FCB" w:rsidRDefault="00716FCB" w:rsidP="00E44A68"/>
    <w:p w:rsidR="00716FCB" w:rsidRDefault="00716FCB" w:rsidP="00E44A68"/>
    <w:p w:rsidR="00863593" w:rsidRDefault="00863593"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E83EE8" w:rsidRDefault="00E83EE8" w:rsidP="00E83EE8">
      <w:pPr>
        <w:pStyle w:val="InstructionalText"/>
        <w:rPr>
          <w:rStyle w:val="Textbold"/>
        </w:rPr>
      </w:pPr>
      <w:r>
        <w:rPr>
          <w:rStyle w:val="Textbold"/>
        </w:rPr>
        <w:t>INSTRUCTIONS</w:t>
      </w:r>
      <w:r>
        <w:rPr>
          <w:rStyle w:val="Textbold"/>
        </w:rPr>
        <w:br/>
      </w:r>
    </w:p>
    <w:p w:rsidR="00E83EE8" w:rsidRPr="000903E2" w:rsidRDefault="00E83EE8" w:rsidP="00E83EE8">
      <w:pPr>
        <w:pStyle w:val="InstructionalText"/>
        <w:rPr>
          <w:rStyle w:val="Textbold"/>
        </w:rPr>
      </w:pPr>
      <w:r>
        <w:rPr>
          <w:rStyle w:val="Textbold"/>
        </w:rPr>
        <w:t>Using</w:t>
      </w:r>
      <w:r w:rsidRPr="000903E2">
        <w:rPr>
          <w:rStyle w:val="Textbold"/>
        </w:rPr>
        <w:t xml:space="preserve"> instructional text</w:t>
      </w:r>
    </w:p>
    <w:p w:rsidR="00E83EE8" w:rsidRDefault="00E83EE8" w:rsidP="00E83EE8">
      <w:pPr>
        <w:pStyle w:val="InstructionalText"/>
      </w:pPr>
      <w:r>
        <w:t>The instructional text in this document is a hidden text style. This text can be turned on or off using the Show Formatting icon</w:t>
      </w:r>
      <w:r w:rsidRPr="00E83EE8">
        <w:rPr>
          <w:noProof/>
          <w:lang w:eastAsia="en-AU"/>
        </w:rPr>
        <w:drawing>
          <wp:inline distT="0" distB="0" distL="0" distR="0" wp14:anchorId="58A9D6E5" wp14:editId="06A5EBE2">
            <wp:extent cx="107950" cy="114300"/>
            <wp:effectExtent l="0" t="0" r="6350" b="0"/>
            <wp:docPr id="14" name="Picture 14" descr="img_paragraph-ic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paragraph-icon-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r>
        <w:t xml:space="preserve">. This instructional text will not appear in printed versions of the document. </w:t>
      </w:r>
    </w:p>
    <w:p w:rsidR="00E83EE8" w:rsidRDefault="00E83EE8" w:rsidP="00E83EE8">
      <w:pPr>
        <w:pStyle w:val="InstructionalText"/>
      </w:pPr>
      <w:r>
        <w:t>The final version of this document should be saved as a PDF file for printing or electronic distribution. The Word version of this document must not be distributed externally.</w:t>
      </w:r>
      <w:r>
        <w:br/>
      </w:r>
    </w:p>
    <w:p w:rsidR="00E83EE8" w:rsidRPr="005611E6" w:rsidRDefault="00E83EE8" w:rsidP="00E83EE8">
      <w:pPr>
        <w:pStyle w:val="InstructionalText"/>
        <w:rPr>
          <w:rStyle w:val="Textbold"/>
        </w:rPr>
      </w:pPr>
      <w:r>
        <w:rPr>
          <w:rStyle w:val="Textbold"/>
        </w:rPr>
        <w:t>Using styles to format content</w:t>
      </w:r>
    </w:p>
    <w:p w:rsidR="00E83EE8" w:rsidRDefault="00E83EE8" w:rsidP="00E83EE8">
      <w:pPr>
        <w:pStyle w:val="InstructionalText"/>
      </w:pPr>
      <w:r>
        <w:t>This template uses protected styles and formatting. To apply a style to document content, highlight the text and then select the required style from the Styles window. The Styles window can be opened by clicking Alt+Control+Shift+S.</w:t>
      </w:r>
    </w:p>
    <w:p w:rsidR="00E83EE8" w:rsidRDefault="00E83EE8" w:rsidP="00E83EE8">
      <w:pPr>
        <w:pStyle w:val="InstructionalText"/>
      </w:pPr>
      <w:r>
        <w:t xml:space="preserve">Styles are provided for every standard formatting requirement. If you have a formatting requirement not provided for in the Styles window, the protection can be temporarily disabled by selecting the Manage Styles icon at the bottom of the Styles window, selecting the Restrict tab and unchecking the ‘Limit formatting to permitted styles’ checkbox. This checkbox should be rechecked once you have made the required change to the document formatting. </w:t>
      </w:r>
      <w:r>
        <w:br/>
      </w:r>
    </w:p>
    <w:p w:rsidR="00E83EE8" w:rsidRPr="000903E2" w:rsidRDefault="00E83EE8" w:rsidP="00E83EE8">
      <w:pPr>
        <w:pStyle w:val="InstructionalText"/>
        <w:rPr>
          <w:rStyle w:val="Textbold"/>
        </w:rPr>
      </w:pPr>
      <w:r w:rsidRPr="000903E2">
        <w:rPr>
          <w:rStyle w:val="Textbold"/>
        </w:rPr>
        <w:t>Document property fields</w:t>
      </w:r>
    </w:p>
    <w:p w:rsidR="00E83EE8" w:rsidRDefault="00E83EE8" w:rsidP="00E83EE8">
      <w:pPr>
        <w:pStyle w:val="InstructionalText"/>
      </w:pPr>
      <w:r>
        <w:t xml:space="preserve">The document property fields (shown in {bracketed text}) can be modified by selecting Document Properties | Advanced Properties and selecting the Custom tab. Click the document property to update (e.g. {Document Type}) and replace the text in the Value field with the required content (e.g. Issues Paper). Click the Modify button. </w:t>
      </w:r>
    </w:p>
    <w:p w:rsidR="00E83EE8" w:rsidRDefault="00E83EE8" w:rsidP="00E83EE8">
      <w:pPr>
        <w:pStyle w:val="InstructionalText"/>
      </w:pPr>
      <w:r>
        <w:t xml:space="preserve">Once all document property fields have been modified, select all the text in the document by clicking Control+A, right click on one of the fields and select Update Field. </w:t>
      </w:r>
    </w:p>
    <w:p w:rsidR="00E83EE8" w:rsidRDefault="00E83EE8" w:rsidP="00E83EE8">
      <w:pPr>
        <w:pStyle w:val="InstructionalText"/>
      </w:pPr>
      <w:r>
        <w:t xml:space="preserve">Note: </w:t>
      </w:r>
      <w:r w:rsidR="00332247">
        <w:t>Text boxes, h</w:t>
      </w:r>
      <w:r>
        <w:t xml:space="preserve">eader and footer fields in each section of the document must be updated separately. </w:t>
      </w:r>
    </w:p>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E44A68" w:rsidRPr="00E44A68" w:rsidRDefault="00E44A68" w:rsidP="00D61F54">
      <w:r w:rsidRPr="00E44A68">
        <w:t xml:space="preserve">Published </w:t>
      </w:r>
      <w:r w:rsidR="00F31E01">
        <w:t>by the Climate Change Authority</w:t>
      </w:r>
    </w:p>
    <w:p w:rsidR="00E44A68" w:rsidRDefault="00F01840" w:rsidP="00D61F54">
      <w:r w:rsidRPr="000A572A">
        <w:t>www.climatechangeauthority.gov.au</w:t>
      </w:r>
    </w:p>
    <w:p w:rsidR="00F3778C" w:rsidRDefault="00055F0D" w:rsidP="00D61F54">
      <w:r>
        <w:t xml:space="preserve">ISBN: </w:t>
      </w:r>
      <w:r w:rsidR="00941E4B" w:rsidRPr="00941E4B">
        <w:t>978-0-9925422-6-9</w:t>
      </w:r>
    </w:p>
    <w:p w:rsidR="00F01840" w:rsidRPr="00E44A68" w:rsidRDefault="00F01840" w:rsidP="00F01840">
      <w:pPr>
        <w:pStyle w:val="InstructionalText"/>
      </w:pPr>
      <w:r w:rsidRPr="00F01840">
        <w:t>Insert ISBN number here for Final Report only. Not necessary for issues papers and discussion papers whose publication is web-based. ISBN numbers are held by the Executive Assistant to the General Manager of Corporate Services.</w:t>
      </w:r>
    </w:p>
    <w:p w:rsidR="00E44A68" w:rsidRPr="00E44A68" w:rsidRDefault="00E44A68" w:rsidP="00D61F54">
      <w:r w:rsidRPr="00E44A68">
        <w:t>This work is licensed under the Creative Commons Attribution 3.0 Australia Licence. To view a copy of this license, visit http://creativ</w:t>
      </w:r>
      <w:r w:rsidR="00F31E01">
        <w:t>ecommons.org/licenses/by/3.0/au</w:t>
      </w:r>
    </w:p>
    <w:p w:rsidR="00E44A68" w:rsidRPr="00E44A68" w:rsidRDefault="00E44A68" w:rsidP="00D61F54">
      <w:r w:rsidRPr="00E44A68">
        <w:t>The Climate Change Authority asserts the right to be recognised as author of the original ma</w:t>
      </w:r>
      <w:r w:rsidR="00F31E01">
        <w:t>terial in the following manner:</w:t>
      </w:r>
    </w:p>
    <w:p w:rsidR="00E44A68" w:rsidRPr="00E44A68" w:rsidRDefault="00E44A68" w:rsidP="00D61F54">
      <w:r w:rsidRPr="00E44A68">
        <w:rPr>
          <w:noProof/>
          <w:lang w:eastAsia="en-AU"/>
        </w:rPr>
        <w:drawing>
          <wp:inline distT="0" distB="0" distL="0" distR="0" wp14:anchorId="5A8F76CA" wp14:editId="4CCD1BCB">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1_PNG fi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524" cy="326618"/>
                    </a:xfrm>
                    <a:prstGeom prst="rect">
                      <a:avLst/>
                    </a:prstGeom>
                  </pic:spPr>
                </pic:pic>
              </a:graphicData>
            </a:graphic>
          </wp:inline>
        </w:drawing>
      </w:r>
      <w:r w:rsidRPr="00E44A68">
        <w:t xml:space="preserve"> </w:t>
      </w:r>
      <w:proofErr w:type="gramStart"/>
      <w:r w:rsidRPr="00E44A68">
        <w:t>or</w:t>
      </w:r>
      <w:proofErr w:type="gramEnd"/>
      <w:r w:rsidRPr="00E44A68">
        <w:t xml:space="preserve"> </w:t>
      </w:r>
      <w:r w:rsidRPr="00E44A68">
        <w:rPr>
          <w:noProof/>
          <w:lang w:eastAsia="en-AU"/>
        </w:rPr>
        <w:drawing>
          <wp:inline distT="0" distB="0" distL="0" distR="0" wp14:anchorId="73B0109C" wp14:editId="447A3705">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2_PNG fi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rsidR="00E44A68" w:rsidRPr="00E44A68" w:rsidRDefault="00E44A68" w:rsidP="00D61F54">
      <w:proofErr w:type="gramStart"/>
      <w:r w:rsidRPr="00E44A68">
        <w:t xml:space="preserve">© Commonwealth of Australia (Climate Change Authority) </w:t>
      </w:r>
      <w:r w:rsidR="00297FBF">
        <w:rPr>
          <w:noProof/>
        </w:rPr>
        <w:t>2016</w:t>
      </w:r>
      <w:r w:rsidRPr="00E44A68">
        <w:t>.</w:t>
      </w:r>
      <w:proofErr w:type="gramEnd"/>
    </w:p>
    <w:p w:rsidR="00E44A68" w:rsidRPr="00E44A68" w:rsidRDefault="00E44A68" w:rsidP="00E44A68"/>
    <w:p w:rsidR="00E44A68" w:rsidRPr="00E44A68" w:rsidRDefault="00E44A68" w:rsidP="00D61F54">
      <w:r w:rsidRPr="00E44A68">
        <w:t>IMPORTANT NOTICE – PLEASE READ</w:t>
      </w:r>
    </w:p>
    <w:p w:rsidR="007A6CE7" w:rsidRDefault="00E44A68" w:rsidP="00716FCB">
      <w:r w:rsidRPr="00E44A6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733D99" w:rsidRDefault="00733D99">
      <w:pPr>
        <w:spacing w:after="200" w:line="276" w:lineRule="auto"/>
      </w:pPr>
    </w:p>
    <w:p w:rsidR="000A700B" w:rsidRDefault="000A700B" w:rsidP="000A700B">
      <w:pPr>
        <w:pStyle w:val="Headingnon-numbered"/>
      </w:pPr>
      <w:bookmarkStart w:id="0" w:name="_Toc460317970"/>
      <w:r>
        <w:lastRenderedPageBreak/>
        <w:t>Acknowledgements</w:t>
      </w:r>
      <w:bookmarkEnd w:id="0"/>
    </w:p>
    <w:p w:rsidR="00964AE9" w:rsidRDefault="00964AE9" w:rsidP="00964AE9">
      <w:pPr>
        <w:pStyle w:val="BodyText"/>
        <w:rPr>
          <w:lang w:val="en-GB" w:eastAsia="en-AU"/>
        </w:rPr>
      </w:pPr>
      <w:r>
        <w:rPr>
          <w:lang w:val="en-GB" w:eastAsia="en-AU"/>
        </w:rPr>
        <w:t xml:space="preserve">The Authority would like to thank the many people and organisations that contributed time and expertise to this </w:t>
      </w:r>
      <w:r w:rsidR="006D333E">
        <w:rPr>
          <w:lang w:val="en-GB" w:eastAsia="en-AU"/>
        </w:rPr>
        <w:t>research report</w:t>
      </w:r>
      <w:r>
        <w:rPr>
          <w:lang w:val="en-GB" w:eastAsia="en-AU"/>
        </w:rPr>
        <w:t xml:space="preserve"> and its commissioned modelling. These contributions have enhanced the quality of the work.</w:t>
      </w:r>
    </w:p>
    <w:p w:rsidR="00964AE9" w:rsidRDefault="00964AE9" w:rsidP="00964AE9">
      <w:pPr>
        <w:pStyle w:val="BodyText"/>
        <w:rPr>
          <w:lang w:val="en-GB" w:eastAsia="en-AU"/>
        </w:rPr>
      </w:pPr>
      <w:r>
        <w:rPr>
          <w:lang w:val="en-GB" w:eastAsia="en-AU"/>
        </w:rPr>
        <w:t xml:space="preserve">The Authority has consulted on the development of the electricity </w:t>
      </w:r>
      <w:r w:rsidRPr="008B7C5E">
        <w:rPr>
          <w:lang w:val="en-GB" w:eastAsia="en-AU"/>
        </w:rPr>
        <w:t>and economy-wide modelling</w:t>
      </w:r>
      <w:r>
        <w:rPr>
          <w:lang w:val="en-GB" w:eastAsia="en-AU"/>
        </w:rPr>
        <w:t xml:space="preserve"> commissioned for this </w:t>
      </w:r>
      <w:r w:rsidR="006D333E">
        <w:rPr>
          <w:lang w:val="en-GB" w:eastAsia="en-AU"/>
        </w:rPr>
        <w:t>research report</w:t>
      </w:r>
      <w:r>
        <w:rPr>
          <w:lang w:val="en-GB" w:eastAsia="en-AU"/>
        </w:rPr>
        <w:t>. The Authority has benefited from feedback on the modelling, including from its technical and industry reference groups for the commissioned electricity sector modelling. Members of the technical reference group included:</w:t>
      </w:r>
      <w:r w:rsidRPr="00AA1003">
        <w:rPr>
          <w:lang w:val="en-GB" w:eastAsia="en-AU"/>
        </w:rPr>
        <w:t xml:space="preserve"> </w:t>
      </w:r>
      <w:r>
        <w:rPr>
          <w:lang w:val="en-GB" w:eastAsia="en-AU"/>
        </w:rPr>
        <w:t xml:space="preserve">the Australian Energy Council, </w:t>
      </w:r>
      <w:proofErr w:type="spellStart"/>
      <w:r>
        <w:rPr>
          <w:lang w:val="en-GB" w:eastAsia="en-AU"/>
        </w:rPr>
        <w:t>EnergyAustralia</w:t>
      </w:r>
      <w:proofErr w:type="spellEnd"/>
      <w:r>
        <w:rPr>
          <w:lang w:val="en-GB" w:eastAsia="en-AU"/>
        </w:rPr>
        <w:t xml:space="preserve">, </w:t>
      </w:r>
      <w:proofErr w:type="spellStart"/>
      <w:r w:rsidR="000034D0">
        <w:rPr>
          <w:lang w:val="en-GB" w:eastAsia="en-AU"/>
        </w:rPr>
        <w:t>Engie</w:t>
      </w:r>
      <w:proofErr w:type="spellEnd"/>
      <w:r>
        <w:rPr>
          <w:lang w:val="en-GB" w:eastAsia="en-AU"/>
        </w:rPr>
        <w:t>, Hydro Tasmania, Melbourne Energy Institute, and Synergy. Members of the industry reference group included: AGL Energy, the Australian Aluminium Council, the Australian Energy Council</w:t>
      </w:r>
      <w:r w:rsidR="00486961">
        <w:rPr>
          <w:lang w:val="en-GB" w:eastAsia="en-AU"/>
        </w:rPr>
        <w:t>,</w:t>
      </w:r>
      <w:r w:rsidR="0018774D">
        <w:rPr>
          <w:lang w:val="en-GB" w:eastAsia="en-AU"/>
        </w:rPr>
        <w:t xml:space="preserve"> Australian Industry Group,</w:t>
      </w:r>
      <w:r>
        <w:rPr>
          <w:lang w:val="en-GB" w:eastAsia="en-AU"/>
        </w:rPr>
        <w:t xml:space="preserve"> the Business Council of Australia, Clean Energy Council, The Climate Institute, Grattan Institute, and the Global Carbon Capture and Storage Institute. Any errors or omissions in the modelling are the responsibility of the commissioned modellers.</w:t>
      </w:r>
    </w:p>
    <w:p w:rsidR="00964AE9" w:rsidRPr="00A903A1" w:rsidRDefault="00964AE9" w:rsidP="00964AE9">
      <w:pPr>
        <w:pStyle w:val="BodyText"/>
      </w:pPr>
      <w:r>
        <w:rPr>
          <w:lang w:val="en-GB" w:eastAsia="en-AU"/>
        </w:rPr>
        <w:t xml:space="preserve">A number of government departments and public agencies provided technical expertise to the Authority in its preparation of this </w:t>
      </w:r>
      <w:r w:rsidR="006D333E">
        <w:rPr>
          <w:lang w:val="en-GB" w:eastAsia="en-AU"/>
        </w:rPr>
        <w:t>research report</w:t>
      </w:r>
      <w:r>
        <w:rPr>
          <w:lang w:val="en-GB" w:eastAsia="en-AU"/>
        </w:rPr>
        <w:t>. They include: Australian Energy Market Commission, Australian Energy Market Operator, the Australian Renewable Energy Agency, Clean Energy Finance Corporation, Clean Energy Regulator, Commonwealth Scientific and Industrial Research Organisation, Department of the Environment</w:t>
      </w:r>
      <w:r w:rsidR="00A539F0">
        <w:rPr>
          <w:lang w:val="en-GB" w:eastAsia="en-AU"/>
        </w:rPr>
        <w:t xml:space="preserve"> and Energy</w:t>
      </w:r>
      <w:r>
        <w:rPr>
          <w:lang w:val="en-GB" w:eastAsia="en-AU"/>
        </w:rPr>
        <w:t>, Department of Industry, Innovation and Science, Department of the Prime Minister and Cabinet, and the Treasury</w:t>
      </w:r>
      <w:r w:rsidRPr="00A903A1">
        <w:t xml:space="preserve">. The views in the </w:t>
      </w:r>
      <w:r w:rsidR="006D333E">
        <w:t>research report</w:t>
      </w:r>
      <w:r w:rsidRPr="00A903A1">
        <w:t xml:space="preserve"> are the Authority’s own and should not be taken as the views or positions of any of the agencies listed above.</w:t>
      </w:r>
    </w:p>
    <w:p w:rsidR="00964AE9" w:rsidRDefault="00964AE9" w:rsidP="0018774D">
      <w:pPr>
        <w:pStyle w:val="BodyText"/>
        <w:rPr>
          <w:lang w:val="en-GB" w:eastAsia="en-AU"/>
        </w:rPr>
      </w:pPr>
      <w:r>
        <w:rPr>
          <w:lang w:val="en-GB" w:eastAsia="en-AU"/>
        </w:rPr>
        <w:t>The Authority is particularly grateful to the Australian Energy Market Operator for providing a secondee to the Authority to assist with electricity market modelling.</w:t>
      </w:r>
    </w:p>
    <w:p w:rsidR="00964AE9" w:rsidRDefault="00964AE9" w:rsidP="0018774D">
      <w:pPr>
        <w:pStyle w:val="BodyText"/>
        <w:rPr>
          <w:lang w:val="en-GB" w:eastAsia="en-AU"/>
        </w:rPr>
      </w:pPr>
      <w:r>
        <w:rPr>
          <w:lang w:val="en-GB" w:eastAsia="en-AU"/>
        </w:rPr>
        <w:t>Finally, the Authority would like to thank the many stakeholders who provided submissions to the reports of the Special Review and who participated in the consultation on the approach to the Authority’s electricity sector modelling.</w:t>
      </w:r>
      <w:r w:rsidR="00096740">
        <w:rPr>
          <w:lang w:val="en-GB" w:eastAsia="en-AU"/>
        </w:rPr>
        <w:t xml:space="preserve"> </w:t>
      </w:r>
    </w:p>
    <w:p w:rsidR="000A700B" w:rsidRDefault="000A700B" w:rsidP="00964AE9">
      <w:pPr>
        <w:spacing w:after="200" w:line="276" w:lineRule="auto"/>
      </w:pPr>
      <w:r>
        <w:br w:type="page"/>
      </w:r>
    </w:p>
    <w:p w:rsidR="00CF5372" w:rsidRDefault="00CF5372" w:rsidP="00716FCB"/>
    <w:p w:rsidR="007A6CE7" w:rsidRPr="00C54EAA" w:rsidRDefault="007A6CE7" w:rsidP="00C54EAA">
      <w:pPr>
        <w:pStyle w:val="TOCHeading"/>
      </w:pPr>
      <w:bookmarkStart w:id="1" w:name="_Toc447182740"/>
      <w:r>
        <w:t>Contents</w:t>
      </w:r>
      <w:bookmarkEnd w:id="1"/>
    </w:p>
    <w:p w:rsidR="00CA762C" w:rsidRDefault="00CA762C" w:rsidP="00487433">
      <w:pPr>
        <w:pStyle w:val="TOC1"/>
        <w:rPr>
          <w:rFonts w:asciiTheme="minorHAnsi" w:eastAsiaTheme="minorEastAsia" w:hAnsiTheme="minorHAnsi"/>
          <w:caps/>
          <w:color w:val="auto"/>
          <w:sz w:val="22"/>
          <w:lang w:eastAsia="en-AU"/>
        </w:rPr>
      </w:pPr>
      <w:r w:rsidRPr="00C05A15">
        <w:t>Acknowledgements</w:t>
      </w:r>
      <w:r>
        <w:rPr>
          <w:webHidden/>
        </w:rPr>
        <w:tab/>
        <w:t>ii</w:t>
      </w:r>
    </w:p>
    <w:p w:rsidR="00CA762C" w:rsidRDefault="00CA762C" w:rsidP="00487433">
      <w:pPr>
        <w:pStyle w:val="TOC1"/>
        <w:rPr>
          <w:rFonts w:asciiTheme="minorHAnsi" w:eastAsiaTheme="minorEastAsia" w:hAnsiTheme="minorHAnsi"/>
          <w:caps/>
          <w:color w:val="auto"/>
          <w:sz w:val="22"/>
          <w:lang w:eastAsia="en-AU"/>
        </w:rPr>
      </w:pPr>
      <w:r w:rsidRPr="00C05A15">
        <w:t>Chair’s foreword</w:t>
      </w:r>
      <w:r>
        <w:rPr>
          <w:webHidden/>
        </w:rPr>
        <w:tab/>
        <w:t>7</w:t>
      </w:r>
    </w:p>
    <w:p w:rsidR="00CA762C" w:rsidRDefault="00CA762C" w:rsidP="00487433">
      <w:pPr>
        <w:pStyle w:val="TOC1"/>
        <w:rPr>
          <w:rFonts w:asciiTheme="minorHAnsi" w:eastAsiaTheme="minorEastAsia" w:hAnsiTheme="minorHAnsi"/>
          <w:caps/>
          <w:color w:val="auto"/>
          <w:sz w:val="22"/>
          <w:lang w:eastAsia="en-AU"/>
        </w:rPr>
      </w:pPr>
      <w:r w:rsidRPr="00C05A15">
        <w:rPr>
          <w:rStyle w:val="Hyperlink"/>
          <w:color w:val="434342" w:themeColor="text2"/>
          <w:u w:val="none"/>
        </w:rPr>
        <w:t>Summary</w:t>
      </w:r>
      <w:r w:rsidR="00487433" w:rsidRPr="00C05A15">
        <w:rPr>
          <w:rStyle w:val="Hyperlink"/>
          <w:u w:val="none"/>
        </w:rPr>
        <w:t xml:space="preserve"> …….</w:t>
      </w:r>
      <w:r w:rsidR="00487433" w:rsidRPr="00C05A15">
        <w:rPr>
          <w:webHidden/>
        </w:rPr>
        <w:t>.</w:t>
      </w:r>
      <w:r w:rsidR="00487433">
        <w:rPr>
          <w:webHidden/>
        </w:rPr>
        <w:tab/>
      </w:r>
      <w:r>
        <w:rPr>
          <w:webHidden/>
        </w:rPr>
        <w:t>8</w:t>
      </w:r>
    </w:p>
    <w:p w:rsidR="00CA762C" w:rsidRDefault="00CA762C" w:rsidP="00487433">
      <w:pPr>
        <w:pStyle w:val="TOC1"/>
        <w:rPr>
          <w:rFonts w:asciiTheme="minorHAnsi" w:eastAsiaTheme="minorEastAsia" w:hAnsiTheme="minorHAnsi"/>
          <w:caps/>
          <w:color w:val="auto"/>
          <w:sz w:val="22"/>
          <w:lang w:eastAsia="en-AU"/>
        </w:rPr>
      </w:pPr>
      <w:r w:rsidRPr="00C05A15">
        <w:t>Chapter 1.</w:t>
      </w:r>
      <w:r>
        <w:rPr>
          <w:rFonts w:asciiTheme="minorHAnsi" w:eastAsiaTheme="minorEastAsia" w:hAnsiTheme="minorHAnsi"/>
          <w:caps/>
          <w:color w:val="auto"/>
          <w:sz w:val="22"/>
          <w:lang w:eastAsia="en-AU"/>
        </w:rPr>
        <w:tab/>
      </w:r>
      <w:r w:rsidRPr="00C05A15">
        <w:t>About this research report</w:t>
      </w:r>
      <w:r>
        <w:rPr>
          <w:webHidden/>
        </w:rPr>
        <w:tab/>
        <w:t>12</w:t>
      </w:r>
    </w:p>
    <w:p w:rsidR="00CA762C" w:rsidRDefault="00CA762C">
      <w:pPr>
        <w:pStyle w:val="TOC2"/>
        <w:rPr>
          <w:rFonts w:asciiTheme="minorHAnsi" w:eastAsiaTheme="minorEastAsia" w:hAnsiTheme="minorHAnsi"/>
          <w:color w:val="auto"/>
          <w:sz w:val="22"/>
          <w:lang w:eastAsia="en-AU"/>
        </w:rPr>
      </w:pPr>
      <w:r w:rsidRPr="00C05A15">
        <w:t>1.1.</w:t>
      </w:r>
      <w:r>
        <w:rPr>
          <w:rFonts w:asciiTheme="minorHAnsi" w:eastAsiaTheme="minorEastAsia" w:hAnsiTheme="minorHAnsi"/>
          <w:color w:val="auto"/>
          <w:sz w:val="22"/>
          <w:lang w:eastAsia="en-AU"/>
        </w:rPr>
        <w:tab/>
      </w:r>
      <w:r w:rsidRPr="00C05A15">
        <w:t>Introduction</w:t>
      </w:r>
      <w:r>
        <w:rPr>
          <w:webHidden/>
        </w:rPr>
        <w:tab/>
        <w:t>12</w:t>
      </w:r>
    </w:p>
    <w:p w:rsidR="00CA762C" w:rsidRDefault="00CA762C">
      <w:pPr>
        <w:pStyle w:val="TOC2"/>
        <w:rPr>
          <w:rFonts w:asciiTheme="minorHAnsi" w:eastAsiaTheme="minorEastAsia" w:hAnsiTheme="minorHAnsi"/>
          <w:color w:val="auto"/>
          <w:sz w:val="22"/>
          <w:lang w:eastAsia="en-AU"/>
        </w:rPr>
      </w:pPr>
      <w:r w:rsidRPr="00C05A15">
        <w:t>1.2.</w:t>
      </w:r>
      <w:r>
        <w:rPr>
          <w:rFonts w:asciiTheme="minorHAnsi" w:eastAsiaTheme="minorEastAsia" w:hAnsiTheme="minorHAnsi"/>
          <w:color w:val="auto"/>
          <w:sz w:val="22"/>
          <w:lang w:eastAsia="en-AU"/>
        </w:rPr>
        <w:tab/>
      </w:r>
      <w:r w:rsidRPr="00C05A15">
        <w:t>The challenge of climate change</w:t>
      </w:r>
      <w:r>
        <w:rPr>
          <w:webHidden/>
        </w:rPr>
        <w:tab/>
        <w:t>12</w:t>
      </w:r>
    </w:p>
    <w:p w:rsidR="00CA762C" w:rsidRDefault="00CA762C">
      <w:pPr>
        <w:pStyle w:val="TOC2"/>
        <w:rPr>
          <w:rFonts w:asciiTheme="minorHAnsi" w:eastAsiaTheme="minorEastAsia" w:hAnsiTheme="minorHAnsi"/>
          <w:color w:val="auto"/>
          <w:sz w:val="22"/>
          <w:lang w:eastAsia="en-AU"/>
        </w:rPr>
      </w:pPr>
      <w:r w:rsidRPr="00C05A15">
        <w:t>1.3.</w:t>
      </w:r>
      <w:r>
        <w:rPr>
          <w:rFonts w:asciiTheme="minorHAnsi" w:eastAsiaTheme="minorEastAsia" w:hAnsiTheme="minorHAnsi"/>
          <w:color w:val="auto"/>
          <w:sz w:val="22"/>
          <w:lang w:eastAsia="en-AU"/>
        </w:rPr>
        <w:tab/>
      </w:r>
      <w:r w:rsidRPr="00C05A15">
        <w:t>The Climate Change Authority and its Special Review</w:t>
      </w:r>
      <w:r>
        <w:rPr>
          <w:webHidden/>
        </w:rPr>
        <w:tab/>
        <w:t>13</w:t>
      </w:r>
    </w:p>
    <w:p w:rsidR="00CA762C" w:rsidRDefault="00CA762C">
      <w:pPr>
        <w:pStyle w:val="TOC2"/>
        <w:rPr>
          <w:rFonts w:asciiTheme="minorHAnsi" w:eastAsiaTheme="minorEastAsia" w:hAnsiTheme="minorHAnsi"/>
          <w:color w:val="auto"/>
          <w:sz w:val="22"/>
          <w:lang w:eastAsia="en-AU"/>
        </w:rPr>
      </w:pPr>
      <w:r w:rsidRPr="00C05A15">
        <w:t>1.4.</w:t>
      </w:r>
      <w:r>
        <w:rPr>
          <w:rFonts w:asciiTheme="minorHAnsi" w:eastAsiaTheme="minorEastAsia" w:hAnsiTheme="minorHAnsi"/>
          <w:color w:val="auto"/>
          <w:sz w:val="22"/>
          <w:lang w:eastAsia="en-AU"/>
        </w:rPr>
        <w:tab/>
      </w:r>
      <w:r w:rsidRPr="00C05A15">
        <w:rPr>
          <w:lang w:eastAsia="en-GB"/>
        </w:rPr>
        <w:t>Scope</w:t>
      </w:r>
      <w:r>
        <w:rPr>
          <w:webHidden/>
        </w:rPr>
        <w:tab/>
        <w:t>13</w:t>
      </w:r>
    </w:p>
    <w:p w:rsidR="00CA762C" w:rsidRDefault="00CA762C">
      <w:pPr>
        <w:pStyle w:val="TOC2"/>
        <w:rPr>
          <w:rFonts w:asciiTheme="minorHAnsi" w:eastAsiaTheme="minorEastAsia" w:hAnsiTheme="minorHAnsi"/>
          <w:color w:val="auto"/>
          <w:sz w:val="22"/>
          <w:lang w:eastAsia="en-AU"/>
        </w:rPr>
      </w:pPr>
      <w:r w:rsidRPr="00C05A15">
        <w:t>1.5.</w:t>
      </w:r>
      <w:r>
        <w:rPr>
          <w:rFonts w:asciiTheme="minorHAnsi" w:eastAsiaTheme="minorEastAsia" w:hAnsiTheme="minorHAnsi"/>
          <w:color w:val="auto"/>
          <w:sz w:val="22"/>
          <w:lang w:eastAsia="en-AU"/>
        </w:rPr>
        <w:tab/>
      </w:r>
      <w:r w:rsidRPr="00C05A15">
        <w:t>Structure of this report</w:t>
      </w:r>
      <w:r>
        <w:rPr>
          <w:webHidden/>
        </w:rPr>
        <w:tab/>
        <w:t>14</w:t>
      </w:r>
    </w:p>
    <w:p w:rsidR="00CA762C" w:rsidRDefault="00CA762C" w:rsidP="00487433">
      <w:pPr>
        <w:pStyle w:val="TOC1"/>
        <w:rPr>
          <w:rFonts w:asciiTheme="minorHAnsi" w:eastAsiaTheme="minorEastAsia" w:hAnsiTheme="minorHAnsi"/>
          <w:caps/>
          <w:color w:val="auto"/>
          <w:sz w:val="22"/>
          <w:lang w:eastAsia="en-AU"/>
        </w:rPr>
      </w:pPr>
      <w:r w:rsidRPr="00C05A15">
        <w:t>Chapter 2.</w:t>
      </w:r>
      <w:r>
        <w:rPr>
          <w:rFonts w:asciiTheme="minorHAnsi" w:eastAsiaTheme="minorEastAsia" w:hAnsiTheme="minorHAnsi"/>
          <w:caps/>
          <w:color w:val="auto"/>
          <w:sz w:val="22"/>
          <w:lang w:eastAsia="en-AU"/>
        </w:rPr>
        <w:tab/>
      </w:r>
      <w:r w:rsidRPr="00C05A15">
        <w:t>The electricity sector and Australia’s emissions reduction goals</w:t>
      </w:r>
      <w:r>
        <w:rPr>
          <w:webHidden/>
        </w:rPr>
        <w:tab/>
        <w:t>15</w:t>
      </w:r>
    </w:p>
    <w:p w:rsidR="00CA762C" w:rsidRDefault="00CA762C">
      <w:pPr>
        <w:pStyle w:val="TOC2"/>
        <w:rPr>
          <w:rFonts w:asciiTheme="minorHAnsi" w:eastAsiaTheme="minorEastAsia" w:hAnsiTheme="minorHAnsi"/>
          <w:color w:val="auto"/>
          <w:sz w:val="22"/>
          <w:lang w:eastAsia="en-AU"/>
        </w:rPr>
      </w:pPr>
      <w:r w:rsidRPr="00C05A15">
        <w:t>2.1.</w:t>
      </w:r>
      <w:r>
        <w:rPr>
          <w:rFonts w:asciiTheme="minorHAnsi" w:eastAsiaTheme="minorEastAsia" w:hAnsiTheme="minorHAnsi"/>
          <w:color w:val="auto"/>
          <w:sz w:val="22"/>
          <w:lang w:eastAsia="en-AU"/>
        </w:rPr>
        <w:tab/>
      </w:r>
      <w:r w:rsidRPr="00C05A15">
        <w:t>Electricity, emissions and climate policy</w:t>
      </w:r>
      <w:r>
        <w:rPr>
          <w:webHidden/>
        </w:rPr>
        <w:tab/>
        <w:t>15</w:t>
      </w:r>
    </w:p>
    <w:p w:rsidR="00CA762C" w:rsidRDefault="00CA762C">
      <w:pPr>
        <w:pStyle w:val="TOC2"/>
        <w:rPr>
          <w:rFonts w:asciiTheme="minorHAnsi" w:eastAsiaTheme="minorEastAsia" w:hAnsiTheme="minorHAnsi"/>
          <w:color w:val="auto"/>
          <w:sz w:val="22"/>
          <w:lang w:eastAsia="en-AU"/>
        </w:rPr>
      </w:pPr>
      <w:r w:rsidRPr="00C05A15">
        <w:t>2.2.</w:t>
      </w:r>
      <w:r>
        <w:rPr>
          <w:rFonts w:asciiTheme="minorHAnsi" w:eastAsiaTheme="minorEastAsia" w:hAnsiTheme="minorHAnsi"/>
          <w:color w:val="auto"/>
          <w:sz w:val="22"/>
          <w:lang w:eastAsia="en-AU"/>
        </w:rPr>
        <w:tab/>
      </w:r>
      <w:r w:rsidRPr="00C05A15">
        <w:t>Current climate policies and near-term emissions outlook</w:t>
      </w:r>
      <w:r>
        <w:rPr>
          <w:webHidden/>
        </w:rPr>
        <w:tab/>
        <w:t>18</w:t>
      </w:r>
    </w:p>
    <w:p w:rsidR="00CA762C" w:rsidRDefault="00CA762C">
      <w:pPr>
        <w:pStyle w:val="TOC2"/>
        <w:rPr>
          <w:rFonts w:asciiTheme="minorHAnsi" w:eastAsiaTheme="minorEastAsia" w:hAnsiTheme="minorHAnsi"/>
          <w:color w:val="auto"/>
          <w:sz w:val="22"/>
          <w:lang w:eastAsia="en-AU"/>
        </w:rPr>
      </w:pPr>
      <w:r w:rsidRPr="00C05A15">
        <w:t>2.3.</w:t>
      </w:r>
      <w:r>
        <w:rPr>
          <w:rFonts w:asciiTheme="minorHAnsi" w:eastAsiaTheme="minorEastAsia" w:hAnsiTheme="minorHAnsi"/>
          <w:color w:val="auto"/>
          <w:sz w:val="22"/>
          <w:lang w:eastAsia="en-AU"/>
        </w:rPr>
        <w:tab/>
      </w:r>
      <w:r w:rsidRPr="00C05A15">
        <w:t>The role of the electricity sector in Australia’s emissions reduction goals</w:t>
      </w:r>
      <w:r>
        <w:rPr>
          <w:webHidden/>
        </w:rPr>
        <w:tab/>
        <w:t>19</w:t>
      </w:r>
    </w:p>
    <w:p w:rsidR="00CA762C" w:rsidRDefault="00CA762C">
      <w:pPr>
        <w:pStyle w:val="TOC2"/>
        <w:rPr>
          <w:rFonts w:asciiTheme="minorHAnsi" w:eastAsiaTheme="minorEastAsia" w:hAnsiTheme="minorHAnsi"/>
          <w:color w:val="auto"/>
          <w:sz w:val="22"/>
          <w:lang w:eastAsia="en-AU"/>
        </w:rPr>
      </w:pPr>
      <w:r w:rsidRPr="00C05A15">
        <w:t>2.4.</w:t>
      </w:r>
      <w:r>
        <w:rPr>
          <w:rFonts w:asciiTheme="minorHAnsi" w:eastAsiaTheme="minorEastAsia" w:hAnsiTheme="minorHAnsi"/>
          <w:color w:val="auto"/>
          <w:sz w:val="22"/>
          <w:lang w:eastAsia="en-AU"/>
        </w:rPr>
        <w:tab/>
      </w:r>
      <w:r w:rsidRPr="00C05A15">
        <w:t>Opportunities for reducing electricity emissions</w:t>
      </w:r>
      <w:r>
        <w:rPr>
          <w:webHidden/>
        </w:rPr>
        <w:tab/>
        <w:t>23</w:t>
      </w:r>
    </w:p>
    <w:p w:rsidR="00CA762C" w:rsidRDefault="00CA762C">
      <w:pPr>
        <w:pStyle w:val="TOC2"/>
        <w:rPr>
          <w:rFonts w:asciiTheme="minorHAnsi" w:eastAsiaTheme="minorEastAsia" w:hAnsiTheme="minorHAnsi"/>
          <w:color w:val="auto"/>
          <w:sz w:val="22"/>
          <w:lang w:eastAsia="en-AU"/>
        </w:rPr>
      </w:pPr>
      <w:r w:rsidRPr="00C05A15">
        <w:t>2.5.</w:t>
      </w:r>
      <w:r>
        <w:rPr>
          <w:rFonts w:asciiTheme="minorHAnsi" w:eastAsiaTheme="minorEastAsia" w:hAnsiTheme="minorHAnsi"/>
          <w:color w:val="auto"/>
          <w:sz w:val="22"/>
          <w:lang w:eastAsia="en-AU"/>
        </w:rPr>
        <w:tab/>
      </w:r>
      <w:r w:rsidRPr="00C05A15">
        <w:t>Electricity markets: key background</w:t>
      </w:r>
      <w:r>
        <w:rPr>
          <w:webHidden/>
        </w:rPr>
        <w:tab/>
        <w:t>24</w:t>
      </w:r>
    </w:p>
    <w:p w:rsidR="00CA762C" w:rsidRDefault="00CA762C">
      <w:pPr>
        <w:pStyle w:val="TOC3"/>
        <w:rPr>
          <w:rFonts w:asciiTheme="minorHAnsi" w:eastAsiaTheme="minorEastAsia" w:hAnsiTheme="minorHAnsi"/>
          <w:noProof/>
          <w:color w:val="auto"/>
          <w:sz w:val="22"/>
          <w:lang w:eastAsia="en-AU"/>
        </w:rPr>
      </w:pPr>
      <w:r w:rsidRPr="00C05A15">
        <w:rPr>
          <w:noProof/>
        </w:rPr>
        <w:t>2.5.1.</w:t>
      </w:r>
      <w:r>
        <w:rPr>
          <w:rFonts w:asciiTheme="minorHAnsi" w:eastAsiaTheme="minorEastAsia" w:hAnsiTheme="minorHAnsi"/>
          <w:noProof/>
          <w:color w:val="auto"/>
          <w:sz w:val="22"/>
          <w:lang w:eastAsia="en-AU"/>
        </w:rPr>
        <w:tab/>
      </w:r>
      <w:r w:rsidRPr="00C05A15">
        <w:rPr>
          <w:noProof/>
        </w:rPr>
        <w:t>Market structure and wholesale markets</w:t>
      </w:r>
      <w:r>
        <w:rPr>
          <w:noProof/>
          <w:webHidden/>
        </w:rPr>
        <w:tab/>
        <w:t>24</w:t>
      </w:r>
    </w:p>
    <w:p w:rsidR="00CA762C" w:rsidRDefault="00CA762C">
      <w:pPr>
        <w:pStyle w:val="TOC3"/>
        <w:rPr>
          <w:rFonts w:asciiTheme="minorHAnsi" w:eastAsiaTheme="minorEastAsia" w:hAnsiTheme="minorHAnsi"/>
          <w:noProof/>
          <w:color w:val="auto"/>
          <w:sz w:val="22"/>
          <w:lang w:eastAsia="en-AU"/>
        </w:rPr>
      </w:pPr>
      <w:r w:rsidRPr="00C05A15">
        <w:rPr>
          <w:noProof/>
        </w:rPr>
        <w:t>2.5.2.</w:t>
      </w:r>
      <w:r>
        <w:rPr>
          <w:rFonts w:asciiTheme="minorHAnsi" w:eastAsiaTheme="minorEastAsia" w:hAnsiTheme="minorHAnsi"/>
          <w:noProof/>
          <w:color w:val="auto"/>
          <w:sz w:val="22"/>
          <w:lang w:eastAsia="en-AU"/>
        </w:rPr>
        <w:tab/>
      </w:r>
      <w:r w:rsidRPr="00C05A15">
        <w:rPr>
          <w:noProof/>
        </w:rPr>
        <w:t>Retail electricity prices</w:t>
      </w:r>
      <w:r>
        <w:rPr>
          <w:noProof/>
          <w:webHidden/>
        </w:rPr>
        <w:tab/>
        <w:t>25</w:t>
      </w:r>
    </w:p>
    <w:p w:rsidR="00CA762C" w:rsidRDefault="00CA762C">
      <w:pPr>
        <w:pStyle w:val="TOC3"/>
        <w:rPr>
          <w:rFonts w:asciiTheme="minorHAnsi" w:eastAsiaTheme="minorEastAsia" w:hAnsiTheme="minorHAnsi"/>
          <w:noProof/>
          <w:color w:val="auto"/>
          <w:sz w:val="22"/>
          <w:lang w:eastAsia="en-AU"/>
        </w:rPr>
      </w:pPr>
      <w:r w:rsidRPr="00C05A15">
        <w:rPr>
          <w:noProof/>
        </w:rPr>
        <w:t>2.5.3.</w:t>
      </w:r>
      <w:r>
        <w:rPr>
          <w:rFonts w:asciiTheme="minorHAnsi" w:eastAsiaTheme="minorEastAsia" w:hAnsiTheme="minorHAnsi"/>
          <w:noProof/>
          <w:color w:val="auto"/>
          <w:sz w:val="22"/>
          <w:lang w:eastAsia="en-AU"/>
        </w:rPr>
        <w:tab/>
      </w:r>
      <w:r w:rsidRPr="00C05A15">
        <w:rPr>
          <w:noProof/>
        </w:rPr>
        <w:t>Electricity demand</w:t>
      </w:r>
      <w:r>
        <w:rPr>
          <w:noProof/>
          <w:webHidden/>
        </w:rPr>
        <w:tab/>
        <w:t>27</w:t>
      </w:r>
    </w:p>
    <w:p w:rsidR="00CA762C" w:rsidRDefault="00CA762C">
      <w:pPr>
        <w:pStyle w:val="TOC3"/>
        <w:rPr>
          <w:rFonts w:asciiTheme="minorHAnsi" w:eastAsiaTheme="minorEastAsia" w:hAnsiTheme="minorHAnsi"/>
          <w:noProof/>
          <w:color w:val="auto"/>
          <w:sz w:val="22"/>
          <w:lang w:eastAsia="en-AU"/>
        </w:rPr>
      </w:pPr>
      <w:r w:rsidRPr="00C05A15">
        <w:rPr>
          <w:noProof/>
        </w:rPr>
        <w:t>2.5.4.</w:t>
      </w:r>
      <w:r>
        <w:rPr>
          <w:rFonts w:asciiTheme="minorHAnsi" w:eastAsiaTheme="minorEastAsia" w:hAnsiTheme="minorHAnsi"/>
          <w:noProof/>
          <w:color w:val="auto"/>
          <w:sz w:val="22"/>
          <w:lang w:eastAsia="en-AU"/>
        </w:rPr>
        <w:tab/>
      </w:r>
      <w:r w:rsidRPr="00C05A15">
        <w:rPr>
          <w:noProof/>
        </w:rPr>
        <w:t>Capacity</w:t>
      </w:r>
      <w:r>
        <w:rPr>
          <w:noProof/>
          <w:webHidden/>
        </w:rPr>
        <w:tab/>
        <w:t>29</w:t>
      </w:r>
    </w:p>
    <w:p w:rsidR="00CA762C" w:rsidRDefault="00CA762C" w:rsidP="00487433">
      <w:pPr>
        <w:pStyle w:val="TOC1"/>
        <w:rPr>
          <w:rFonts w:asciiTheme="minorHAnsi" w:eastAsiaTheme="minorEastAsia" w:hAnsiTheme="minorHAnsi"/>
          <w:caps/>
          <w:color w:val="auto"/>
          <w:sz w:val="22"/>
          <w:lang w:eastAsia="en-AU"/>
        </w:rPr>
      </w:pPr>
      <w:r w:rsidRPr="00C05A15">
        <w:t>Chapter 3.</w:t>
      </w:r>
      <w:r>
        <w:rPr>
          <w:rFonts w:asciiTheme="minorHAnsi" w:eastAsiaTheme="minorEastAsia" w:hAnsiTheme="minorHAnsi"/>
          <w:caps/>
          <w:color w:val="auto"/>
          <w:sz w:val="22"/>
          <w:lang w:eastAsia="en-AU"/>
        </w:rPr>
        <w:tab/>
      </w:r>
      <w:r w:rsidRPr="00C05A15">
        <w:t>Possible policies and approach to assessment</w:t>
      </w:r>
      <w:r>
        <w:rPr>
          <w:webHidden/>
        </w:rPr>
        <w:tab/>
        <w:t>31</w:t>
      </w:r>
    </w:p>
    <w:p w:rsidR="00CA762C" w:rsidRDefault="00CA762C">
      <w:pPr>
        <w:pStyle w:val="TOC2"/>
        <w:rPr>
          <w:rFonts w:asciiTheme="minorHAnsi" w:eastAsiaTheme="minorEastAsia" w:hAnsiTheme="minorHAnsi"/>
          <w:color w:val="auto"/>
          <w:sz w:val="22"/>
          <w:lang w:eastAsia="en-AU"/>
        </w:rPr>
      </w:pPr>
      <w:r w:rsidRPr="00C05A15">
        <w:t>3.1.</w:t>
      </w:r>
      <w:r>
        <w:rPr>
          <w:rFonts w:asciiTheme="minorHAnsi" w:eastAsiaTheme="minorEastAsia" w:hAnsiTheme="minorHAnsi"/>
          <w:color w:val="auto"/>
          <w:sz w:val="22"/>
          <w:lang w:eastAsia="en-AU"/>
        </w:rPr>
        <w:tab/>
      </w:r>
      <w:r w:rsidRPr="00C05A15">
        <w:t>Policy options to reduce Australia’s electricity sector emissions</w:t>
      </w:r>
      <w:r>
        <w:rPr>
          <w:webHidden/>
        </w:rPr>
        <w:tab/>
        <w:t>31</w:t>
      </w:r>
    </w:p>
    <w:p w:rsidR="00CA762C" w:rsidRDefault="00CA762C">
      <w:pPr>
        <w:pStyle w:val="TOC2"/>
        <w:rPr>
          <w:rFonts w:asciiTheme="minorHAnsi" w:eastAsiaTheme="minorEastAsia" w:hAnsiTheme="minorHAnsi"/>
          <w:color w:val="auto"/>
          <w:sz w:val="22"/>
          <w:lang w:eastAsia="en-AU"/>
        </w:rPr>
      </w:pPr>
      <w:r w:rsidRPr="00C05A15">
        <w:t>3.2.</w:t>
      </w:r>
      <w:r>
        <w:rPr>
          <w:rFonts w:asciiTheme="minorHAnsi" w:eastAsiaTheme="minorEastAsia" w:hAnsiTheme="minorHAnsi"/>
          <w:color w:val="auto"/>
          <w:sz w:val="22"/>
          <w:lang w:eastAsia="en-AU"/>
        </w:rPr>
        <w:tab/>
      </w:r>
      <w:r w:rsidRPr="00C05A15">
        <w:t>The Authority’s approach to comparing policies</w:t>
      </w:r>
      <w:r>
        <w:rPr>
          <w:webHidden/>
        </w:rPr>
        <w:tab/>
        <w:t>34</w:t>
      </w:r>
    </w:p>
    <w:p w:rsidR="00CA762C" w:rsidRDefault="00CA762C">
      <w:pPr>
        <w:pStyle w:val="TOC2"/>
        <w:rPr>
          <w:rFonts w:asciiTheme="minorHAnsi" w:eastAsiaTheme="minorEastAsia" w:hAnsiTheme="minorHAnsi"/>
          <w:color w:val="auto"/>
          <w:sz w:val="22"/>
          <w:lang w:eastAsia="en-AU"/>
        </w:rPr>
      </w:pPr>
      <w:r w:rsidRPr="00C05A15">
        <w:t>3.3.</w:t>
      </w:r>
      <w:r>
        <w:rPr>
          <w:rFonts w:asciiTheme="minorHAnsi" w:eastAsiaTheme="minorEastAsia" w:hAnsiTheme="minorHAnsi"/>
          <w:color w:val="auto"/>
          <w:sz w:val="22"/>
          <w:lang w:eastAsia="en-AU"/>
        </w:rPr>
        <w:tab/>
      </w:r>
      <w:r w:rsidRPr="00C05A15">
        <w:t>Modelling commissioned for this Review</w:t>
      </w:r>
      <w:r>
        <w:rPr>
          <w:webHidden/>
        </w:rPr>
        <w:tab/>
        <w:t>37</w:t>
      </w:r>
    </w:p>
    <w:p w:rsidR="00CA762C" w:rsidRDefault="00CA762C" w:rsidP="00487433">
      <w:pPr>
        <w:pStyle w:val="TOC1"/>
        <w:rPr>
          <w:rFonts w:asciiTheme="minorHAnsi" w:eastAsiaTheme="minorEastAsia" w:hAnsiTheme="minorHAnsi"/>
          <w:caps/>
          <w:color w:val="auto"/>
          <w:sz w:val="22"/>
          <w:lang w:eastAsia="en-AU"/>
        </w:rPr>
      </w:pPr>
      <w:r w:rsidRPr="00C05A15">
        <w:t>Chapter 4.</w:t>
      </w:r>
      <w:r>
        <w:rPr>
          <w:rFonts w:asciiTheme="minorHAnsi" w:eastAsiaTheme="minorEastAsia" w:hAnsiTheme="minorHAnsi"/>
          <w:caps/>
          <w:color w:val="auto"/>
          <w:sz w:val="22"/>
          <w:lang w:eastAsia="en-AU"/>
        </w:rPr>
        <w:tab/>
      </w:r>
      <w:r w:rsidRPr="00C05A15">
        <w:t>Assessing policy options for Australia’s electricity supply sector</w:t>
      </w:r>
      <w:r>
        <w:rPr>
          <w:webHidden/>
        </w:rPr>
        <w:tab/>
        <w:t>43</w:t>
      </w:r>
    </w:p>
    <w:p w:rsidR="00CA762C" w:rsidRDefault="00CA762C">
      <w:pPr>
        <w:pStyle w:val="TOC2"/>
        <w:rPr>
          <w:rFonts w:asciiTheme="minorHAnsi" w:eastAsiaTheme="minorEastAsia" w:hAnsiTheme="minorHAnsi"/>
          <w:color w:val="auto"/>
          <w:sz w:val="22"/>
          <w:lang w:eastAsia="en-AU"/>
        </w:rPr>
      </w:pPr>
      <w:r w:rsidRPr="00C05A15">
        <w:t>4.1.</w:t>
      </w:r>
      <w:r>
        <w:rPr>
          <w:rFonts w:asciiTheme="minorHAnsi" w:eastAsiaTheme="minorEastAsia" w:hAnsiTheme="minorHAnsi"/>
          <w:color w:val="auto"/>
          <w:sz w:val="22"/>
          <w:lang w:eastAsia="en-AU"/>
        </w:rPr>
        <w:tab/>
      </w:r>
      <w:r w:rsidRPr="00C05A15">
        <w:t>Comparing the performance of policies to reduce electricity emissions</w:t>
      </w:r>
      <w:r>
        <w:rPr>
          <w:webHidden/>
        </w:rPr>
        <w:tab/>
        <w:t>43</w:t>
      </w:r>
    </w:p>
    <w:p w:rsidR="00CA762C" w:rsidRDefault="00CA762C">
      <w:pPr>
        <w:pStyle w:val="TOC3"/>
        <w:rPr>
          <w:rFonts w:asciiTheme="minorHAnsi" w:eastAsiaTheme="minorEastAsia" w:hAnsiTheme="minorHAnsi"/>
          <w:noProof/>
          <w:color w:val="auto"/>
          <w:sz w:val="22"/>
          <w:lang w:eastAsia="en-AU"/>
        </w:rPr>
      </w:pPr>
      <w:r w:rsidRPr="00C05A15">
        <w:rPr>
          <w:noProof/>
        </w:rPr>
        <w:t>4.1.1.</w:t>
      </w:r>
      <w:r>
        <w:rPr>
          <w:rFonts w:asciiTheme="minorHAnsi" w:eastAsiaTheme="minorEastAsia" w:hAnsiTheme="minorHAnsi"/>
          <w:noProof/>
          <w:color w:val="auto"/>
          <w:sz w:val="22"/>
          <w:lang w:eastAsia="en-AU"/>
        </w:rPr>
        <w:tab/>
      </w:r>
      <w:r w:rsidRPr="00C05A15">
        <w:rPr>
          <w:noProof/>
        </w:rPr>
        <w:t>Environmental effectiveness</w:t>
      </w:r>
      <w:r>
        <w:rPr>
          <w:noProof/>
          <w:webHidden/>
        </w:rPr>
        <w:tab/>
        <w:t>44</w:t>
      </w:r>
    </w:p>
    <w:p w:rsidR="00CA762C" w:rsidRDefault="00CA762C">
      <w:pPr>
        <w:pStyle w:val="TOC3"/>
        <w:rPr>
          <w:rFonts w:asciiTheme="minorHAnsi" w:eastAsiaTheme="minorEastAsia" w:hAnsiTheme="minorHAnsi"/>
          <w:noProof/>
          <w:color w:val="auto"/>
          <w:sz w:val="22"/>
          <w:lang w:eastAsia="en-AU"/>
        </w:rPr>
      </w:pPr>
      <w:r w:rsidRPr="00C05A15">
        <w:rPr>
          <w:noProof/>
        </w:rPr>
        <w:t>4.1.2.</w:t>
      </w:r>
      <w:r>
        <w:rPr>
          <w:rFonts w:asciiTheme="minorHAnsi" w:eastAsiaTheme="minorEastAsia" w:hAnsiTheme="minorHAnsi"/>
          <w:noProof/>
          <w:color w:val="auto"/>
          <w:sz w:val="22"/>
          <w:lang w:eastAsia="en-AU"/>
        </w:rPr>
        <w:tab/>
      </w:r>
      <w:r w:rsidRPr="00C05A15">
        <w:rPr>
          <w:noProof/>
        </w:rPr>
        <w:t>Cost effectiveness</w:t>
      </w:r>
      <w:r>
        <w:rPr>
          <w:noProof/>
          <w:webHidden/>
        </w:rPr>
        <w:tab/>
        <w:t>46</w:t>
      </w:r>
    </w:p>
    <w:p w:rsidR="00CA762C" w:rsidRDefault="00CA762C">
      <w:pPr>
        <w:pStyle w:val="TOC3"/>
        <w:rPr>
          <w:rFonts w:asciiTheme="minorHAnsi" w:eastAsiaTheme="minorEastAsia" w:hAnsiTheme="minorHAnsi"/>
          <w:noProof/>
          <w:color w:val="auto"/>
          <w:sz w:val="22"/>
          <w:lang w:eastAsia="en-AU"/>
        </w:rPr>
      </w:pPr>
      <w:r w:rsidRPr="00C05A15">
        <w:rPr>
          <w:noProof/>
        </w:rPr>
        <w:t>4.1.3.</w:t>
      </w:r>
      <w:r>
        <w:rPr>
          <w:rFonts w:asciiTheme="minorHAnsi" w:eastAsiaTheme="minorEastAsia" w:hAnsiTheme="minorHAnsi"/>
          <w:noProof/>
          <w:color w:val="auto"/>
          <w:sz w:val="22"/>
          <w:lang w:eastAsia="en-AU"/>
        </w:rPr>
        <w:tab/>
      </w:r>
      <w:r w:rsidRPr="00C05A15">
        <w:rPr>
          <w:noProof/>
        </w:rPr>
        <w:t>Equity</w:t>
      </w:r>
      <w:r>
        <w:rPr>
          <w:noProof/>
          <w:webHidden/>
        </w:rPr>
        <w:tab/>
        <w:t>48</w:t>
      </w:r>
    </w:p>
    <w:p w:rsidR="00CA762C" w:rsidRDefault="00CA762C">
      <w:pPr>
        <w:pStyle w:val="TOC2"/>
        <w:rPr>
          <w:rFonts w:asciiTheme="minorHAnsi" w:eastAsiaTheme="minorEastAsia" w:hAnsiTheme="minorHAnsi"/>
          <w:color w:val="auto"/>
          <w:sz w:val="22"/>
          <w:lang w:eastAsia="en-AU"/>
        </w:rPr>
      </w:pPr>
      <w:r w:rsidRPr="00C05A15">
        <w:t>4.2.</w:t>
      </w:r>
      <w:r>
        <w:rPr>
          <w:rFonts w:asciiTheme="minorHAnsi" w:eastAsiaTheme="minorEastAsia" w:hAnsiTheme="minorHAnsi"/>
          <w:color w:val="auto"/>
          <w:sz w:val="22"/>
          <w:lang w:eastAsia="en-AU"/>
        </w:rPr>
        <w:tab/>
      </w:r>
      <w:r w:rsidRPr="00C05A15">
        <w:t>The Authority’s view: a market mechanism</w:t>
      </w:r>
      <w:r>
        <w:rPr>
          <w:webHidden/>
        </w:rPr>
        <w:tab/>
        <w:t>52</w:t>
      </w:r>
    </w:p>
    <w:p w:rsidR="00CA762C" w:rsidRDefault="00CA762C">
      <w:pPr>
        <w:pStyle w:val="TOC2"/>
        <w:rPr>
          <w:rFonts w:asciiTheme="minorHAnsi" w:eastAsiaTheme="minorEastAsia" w:hAnsiTheme="minorHAnsi"/>
          <w:color w:val="auto"/>
          <w:sz w:val="22"/>
          <w:lang w:eastAsia="en-AU"/>
        </w:rPr>
      </w:pPr>
      <w:r w:rsidRPr="00C05A15">
        <w:t>4.3.</w:t>
      </w:r>
      <w:r>
        <w:rPr>
          <w:rFonts w:asciiTheme="minorHAnsi" w:eastAsiaTheme="minorEastAsia" w:hAnsiTheme="minorHAnsi"/>
          <w:color w:val="auto"/>
          <w:sz w:val="22"/>
          <w:lang w:eastAsia="en-AU"/>
        </w:rPr>
        <w:tab/>
      </w:r>
      <w:r w:rsidRPr="00C05A15">
        <w:t>What type of market mechanism?</w:t>
      </w:r>
      <w:r>
        <w:rPr>
          <w:webHidden/>
        </w:rPr>
        <w:tab/>
        <w:t>52</w:t>
      </w:r>
    </w:p>
    <w:p w:rsidR="00CA762C" w:rsidRDefault="00CA762C">
      <w:pPr>
        <w:pStyle w:val="TOC3"/>
        <w:rPr>
          <w:rFonts w:asciiTheme="minorHAnsi" w:eastAsiaTheme="minorEastAsia" w:hAnsiTheme="minorHAnsi"/>
          <w:noProof/>
          <w:color w:val="auto"/>
          <w:sz w:val="22"/>
          <w:lang w:eastAsia="en-AU"/>
        </w:rPr>
      </w:pPr>
      <w:r w:rsidRPr="00C05A15">
        <w:rPr>
          <w:noProof/>
        </w:rPr>
        <w:t>4.3.1.</w:t>
      </w:r>
      <w:r>
        <w:rPr>
          <w:rFonts w:asciiTheme="minorHAnsi" w:eastAsiaTheme="minorEastAsia" w:hAnsiTheme="minorHAnsi"/>
          <w:noProof/>
          <w:color w:val="auto"/>
          <w:sz w:val="22"/>
          <w:lang w:eastAsia="en-AU"/>
        </w:rPr>
        <w:tab/>
      </w:r>
      <w:r w:rsidRPr="00C05A15">
        <w:rPr>
          <w:noProof/>
        </w:rPr>
        <w:t>Environmental effectiveness</w:t>
      </w:r>
      <w:r>
        <w:rPr>
          <w:noProof/>
          <w:webHidden/>
        </w:rPr>
        <w:tab/>
        <w:t>53</w:t>
      </w:r>
    </w:p>
    <w:p w:rsidR="00CA762C" w:rsidRDefault="00CA762C">
      <w:pPr>
        <w:pStyle w:val="TOC3"/>
        <w:rPr>
          <w:rFonts w:asciiTheme="minorHAnsi" w:eastAsiaTheme="minorEastAsia" w:hAnsiTheme="minorHAnsi"/>
          <w:noProof/>
          <w:color w:val="auto"/>
          <w:sz w:val="22"/>
          <w:lang w:eastAsia="en-AU"/>
        </w:rPr>
      </w:pPr>
      <w:r w:rsidRPr="00C05A15">
        <w:rPr>
          <w:noProof/>
        </w:rPr>
        <w:t>4.3.2.</w:t>
      </w:r>
      <w:r>
        <w:rPr>
          <w:rFonts w:asciiTheme="minorHAnsi" w:eastAsiaTheme="minorEastAsia" w:hAnsiTheme="minorHAnsi"/>
          <w:noProof/>
          <w:color w:val="auto"/>
          <w:sz w:val="22"/>
          <w:lang w:eastAsia="en-AU"/>
        </w:rPr>
        <w:tab/>
      </w:r>
      <w:r w:rsidRPr="00C05A15">
        <w:rPr>
          <w:noProof/>
        </w:rPr>
        <w:t>Cost effectiveness</w:t>
      </w:r>
      <w:r>
        <w:rPr>
          <w:noProof/>
          <w:webHidden/>
        </w:rPr>
        <w:tab/>
        <w:t>55</w:t>
      </w:r>
    </w:p>
    <w:p w:rsidR="00CA762C" w:rsidRDefault="00CA762C">
      <w:pPr>
        <w:pStyle w:val="TOC3"/>
        <w:rPr>
          <w:rFonts w:asciiTheme="minorHAnsi" w:eastAsiaTheme="minorEastAsia" w:hAnsiTheme="minorHAnsi"/>
          <w:noProof/>
          <w:color w:val="auto"/>
          <w:sz w:val="22"/>
          <w:lang w:eastAsia="en-AU"/>
        </w:rPr>
      </w:pPr>
      <w:r w:rsidRPr="00C05A15">
        <w:rPr>
          <w:noProof/>
        </w:rPr>
        <w:t>4.3.3.</w:t>
      </w:r>
      <w:r>
        <w:rPr>
          <w:rFonts w:asciiTheme="minorHAnsi" w:eastAsiaTheme="minorEastAsia" w:hAnsiTheme="minorHAnsi"/>
          <w:noProof/>
          <w:color w:val="auto"/>
          <w:sz w:val="22"/>
          <w:lang w:eastAsia="en-AU"/>
        </w:rPr>
        <w:tab/>
      </w:r>
      <w:r w:rsidRPr="00C05A15">
        <w:rPr>
          <w:noProof/>
        </w:rPr>
        <w:t>Equity</w:t>
      </w:r>
      <w:r>
        <w:rPr>
          <w:noProof/>
          <w:webHidden/>
        </w:rPr>
        <w:tab/>
        <w:t>57</w:t>
      </w:r>
    </w:p>
    <w:p w:rsidR="00CA762C" w:rsidRDefault="00CA762C">
      <w:pPr>
        <w:pStyle w:val="TOC3"/>
        <w:rPr>
          <w:rFonts w:asciiTheme="minorHAnsi" w:eastAsiaTheme="minorEastAsia" w:hAnsiTheme="minorHAnsi"/>
          <w:noProof/>
          <w:color w:val="auto"/>
          <w:sz w:val="22"/>
          <w:lang w:eastAsia="en-AU"/>
        </w:rPr>
      </w:pPr>
      <w:r w:rsidRPr="00C05A15">
        <w:rPr>
          <w:noProof/>
        </w:rPr>
        <w:t>4.3.4.</w:t>
      </w:r>
      <w:r>
        <w:rPr>
          <w:rFonts w:asciiTheme="minorHAnsi" w:eastAsiaTheme="minorEastAsia" w:hAnsiTheme="minorHAnsi"/>
          <w:noProof/>
          <w:color w:val="auto"/>
          <w:sz w:val="22"/>
          <w:lang w:eastAsia="en-AU"/>
        </w:rPr>
        <w:tab/>
      </w:r>
      <w:r w:rsidRPr="00C05A15">
        <w:rPr>
          <w:noProof/>
        </w:rPr>
        <w:t>Options for market mechanisms: summary</w:t>
      </w:r>
      <w:r>
        <w:rPr>
          <w:noProof/>
          <w:webHidden/>
        </w:rPr>
        <w:tab/>
        <w:t>58</w:t>
      </w:r>
    </w:p>
    <w:p w:rsidR="00CA762C" w:rsidRDefault="00CA762C" w:rsidP="00487433">
      <w:pPr>
        <w:pStyle w:val="TOC1"/>
        <w:rPr>
          <w:rFonts w:asciiTheme="minorHAnsi" w:eastAsiaTheme="minorEastAsia" w:hAnsiTheme="minorHAnsi"/>
          <w:caps/>
          <w:color w:val="auto"/>
          <w:sz w:val="22"/>
          <w:lang w:eastAsia="en-AU"/>
        </w:rPr>
      </w:pPr>
      <w:r w:rsidRPr="00C05A15">
        <w:lastRenderedPageBreak/>
        <w:t>Chapter 5.</w:t>
      </w:r>
      <w:r>
        <w:rPr>
          <w:rFonts w:asciiTheme="minorHAnsi" w:eastAsiaTheme="minorEastAsia" w:hAnsiTheme="minorHAnsi"/>
          <w:caps/>
          <w:color w:val="auto"/>
          <w:sz w:val="22"/>
          <w:lang w:eastAsia="en-AU"/>
        </w:rPr>
        <w:tab/>
      </w:r>
      <w:r w:rsidRPr="00C05A15">
        <w:t>Should there be additional policies in the sector?</w:t>
      </w:r>
      <w:r>
        <w:rPr>
          <w:webHidden/>
        </w:rPr>
        <w:tab/>
        <w:t>59</w:t>
      </w:r>
    </w:p>
    <w:p w:rsidR="00CA762C" w:rsidRDefault="00CA762C">
      <w:pPr>
        <w:pStyle w:val="TOC2"/>
        <w:rPr>
          <w:rFonts w:asciiTheme="minorHAnsi" w:eastAsiaTheme="minorEastAsia" w:hAnsiTheme="minorHAnsi"/>
          <w:color w:val="auto"/>
          <w:sz w:val="22"/>
          <w:lang w:eastAsia="en-AU"/>
        </w:rPr>
      </w:pPr>
      <w:r w:rsidRPr="00C05A15">
        <w:t>5.1.</w:t>
      </w:r>
      <w:r>
        <w:rPr>
          <w:rFonts w:asciiTheme="minorHAnsi" w:eastAsiaTheme="minorEastAsia" w:hAnsiTheme="minorHAnsi"/>
          <w:color w:val="auto"/>
          <w:sz w:val="22"/>
          <w:lang w:eastAsia="en-AU"/>
        </w:rPr>
        <w:tab/>
      </w:r>
      <w:r w:rsidRPr="00C05A15">
        <w:t>Is there a case for policies in addition to a market mechanism?</w:t>
      </w:r>
      <w:r>
        <w:rPr>
          <w:webHidden/>
        </w:rPr>
        <w:tab/>
        <w:t>59</w:t>
      </w:r>
    </w:p>
    <w:p w:rsidR="00CA762C" w:rsidRDefault="00CA762C">
      <w:pPr>
        <w:pStyle w:val="TOC2"/>
        <w:rPr>
          <w:rFonts w:asciiTheme="minorHAnsi" w:eastAsiaTheme="minorEastAsia" w:hAnsiTheme="minorHAnsi"/>
          <w:color w:val="auto"/>
          <w:sz w:val="22"/>
          <w:lang w:eastAsia="en-AU"/>
        </w:rPr>
      </w:pPr>
      <w:r w:rsidRPr="00C05A15">
        <w:t>5.2.</w:t>
      </w:r>
      <w:r>
        <w:rPr>
          <w:rFonts w:asciiTheme="minorHAnsi" w:eastAsiaTheme="minorEastAsia" w:hAnsiTheme="minorHAnsi"/>
          <w:color w:val="auto"/>
          <w:sz w:val="22"/>
          <w:lang w:eastAsia="en-AU"/>
        </w:rPr>
        <w:tab/>
      </w:r>
      <w:r w:rsidRPr="00C05A15">
        <w:t>Possible additional policies</w:t>
      </w:r>
      <w:r>
        <w:rPr>
          <w:webHidden/>
        </w:rPr>
        <w:tab/>
        <w:t>60</w:t>
      </w:r>
    </w:p>
    <w:p w:rsidR="00CA762C" w:rsidRDefault="00CA762C">
      <w:pPr>
        <w:pStyle w:val="TOC3"/>
        <w:rPr>
          <w:rFonts w:asciiTheme="minorHAnsi" w:eastAsiaTheme="minorEastAsia" w:hAnsiTheme="minorHAnsi"/>
          <w:noProof/>
          <w:color w:val="auto"/>
          <w:sz w:val="22"/>
          <w:lang w:eastAsia="en-AU"/>
        </w:rPr>
      </w:pPr>
      <w:r w:rsidRPr="00C05A15">
        <w:rPr>
          <w:noProof/>
        </w:rPr>
        <w:t>5.2.1.</w:t>
      </w:r>
      <w:r>
        <w:rPr>
          <w:rFonts w:asciiTheme="minorHAnsi" w:eastAsiaTheme="minorEastAsia" w:hAnsiTheme="minorHAnsi"/>
          <w:noProof/>
          <w:color w:val="auto"/>
          <w:sz w:val="22"/>
          <w:lang w:eastAsia="en-AU"/>
        </w:rPr>
        <w:tab/>
      </w:r>
      <w:r w:rsidRPr="00C05A15">
        <w:rPr>
          <w:noProof/>
        </w:rPr>
        <w:t>Exit and technology pull policies</w:t>
      </w:r>
      <w:r>
        <w:rPr>
          <w:noProof/>
          <w:webHidden/>
        </w:rPr>
        <w:tab/>
        <w:t>61</w:t>
      </w:r>
    </w:p>
    <w:p w:rsidR="00CA762C" w:rsidRDefault="00CA762C">
      <w:pPr>
        <w:pStyle w:val="TOC3"/>
        <w:rPr>
          <w:rFonts w:asciiTheme="minorHAnsi" w:eastAsiaTheme="minorEastAsia" w:hAnsiTheme="minorHAnsi"/>
          <w:noProof/>
          <w:color w:val="auto"/>
          <w:sz w:val="22"/>
          <w:lang w:eastAsia="en-AU"/>
        </w:rPr>
      </w:pPr>
      <w:r w:rsidRPr="00C05A15">
        <w:rPr>
          <w:noProof/>
        </w:rPr>
        <w:t>5.2.2.</w:t>
      </w:r>
      <w:r>
        <w:rPr>
          <w:rFonts w:asciiTheme="minorHAnsi" w:eastAsiaTheme="minorEastAsia" w:hAnsiTheme="minorHAnsi"/>
          <w:noProof/>
          <w:color w:val="auto"/>
          <w:sz w:val="22"/>
          <w:lang w:eastAsia="en-AU"/>
        </w:rPr>
        <w:tab/>
      </w:r>
      <w:r w:rsidRPr="00C05A15">
        <w:rPr>
          <w:noProof/>
        </w:rPr>
        <w:t>Emissions standards for new generators</w:t>
      </w:r>
      <w:r>
        <w:rPr>
          <w:noProof/>
          <w:webHidden/>
        </w:rPr>
        <w:tab/>
        <w:t>65</w:t>
      </w:r>
    </w:p>
    <w:p w:rsidR="00CA762C" w:rsidRDefault="00CA762C" w:rsidP="00487433">
      <w:pPr>
        <w:pStyle w:val="TOC1"/>
        <w:rPr>
          <w:rFonts w:asciiTheme="minorHAnsi" w:eastAsiaTheme="minorEastAsia" w:hAnsiTheme="minorHAnsi"/>
          <w:caps/>
          <w:color w:val="auto"/>
          <w:sz w:val="22"/>
          <w:lang w:eastAsia="en-AU"/>
        </w:rPr>
      </w:pPr>
      <w:r w:rsidRPr="00C05A15">
        <w:t>Appendix A</w:t>
      </w:r>
      <w:r>
        <w:rPr>
          <w:rFonts w:asciiTheme="minorHAnsi" w:eastAsiaTheme="minorEastAsia" w:hAnsiTheme="minorHAnsi"/>
          <w:caps/>
          <w:color w:val="auto"/>
          <w:sz w:val="22"/>
          <w:lang w:eastAsia="en-AU"/>
        </w:rPr>
        <w:tab/>
      </w:r>
      <w:r w:rsidRPr="00C05A15">
        <w:t>Terms of reference</w:t>
      </w:r>
      <w:r>
        <w:rPr>
          <w:webHidden/>
        </w:rPr>
        <w:tab/>
        <w:t>67</w:t>
      </w:r>
    </w:p>
    <w:p w:rsidR="00CA762C" w:rsidRDefault="00CA762C" w:rsidP="00487433">
      <w:pPr>
        <w:pStyle w:val="TOC1"/>
        <w:rPr>
          <w:rFonts w:asciiTheme="minorHAnsi" w:eastAsiaTheme="minorEastAsia" w:hAnsiTheme="minorHAnsi"/>
          <w:caps/>
          <w:color w:val="auto"/>
          <w:sz w:val="22"/>
          <w:lang w:eastAsia="en-AU"/>
        </w:rPr>
      </w:pPr>
      <w:r w:rsidRPr="00C05A15">
        <w:t>Appendix B</w:t>
      </w:r>
      <w:r>
        <w:rPr>
          <w:rFonts w:asciiTheme="minorHAnsi" w:eastAsiaTheme="minorEastAsia" w:hAnsiTheme="minorHAnsi"/>
          <w:caps/>
          <w:color w:val="auto"/>
          <w:sz w:val="22"/>
          <w:lang w:eastAsia="en-AU"/>
        </w:rPr>
        <w:tab/>
      </w:r>
      <w:r w:rsidRPr="00C05A15">
        <w:t>Framework for evaluating electricity sector policies</w:t>
      </w:r>
      <w:r>
        <w:rPr>
          <w:webHidden/>
        </w:rPr>
        <w:tab/>
        <w:t>68</w:t>
      </w:r>
    </w:p>
    <w:p w:rsidR="00CA762C" w:rsidRDefault="00CA762C" w:rsidP="00487433">
      <w:pPr>
        <w:pStyle w:val="TOC1"/>
        <w:rPr>
          <w:rFonts w:asciiTheme="minorHAnsi" w:eastAsiaTheme="minorEastAsia" w:hAnsiTheme="minorHAnsi"/>
          <w:caps/>
          <w:color w:val="auto"/>
          <w:sz w:val="22"/>
          <w:lang w:eastAsia="en-AU"/>
        </w:rPr>
      </w:pPr>
      <w:r w:rsidRPr="00C05A15">
        <w:t>Appendix C</w:t>
      </w:r>
      <w:r>
        <w:rPr>
          <w:rFonts w:asciiTheme="minorHAnsi" w:eastAsiaTheme="minorEastAsia" w:hAnsiTheme="minorHAnsi"/>
          <w:caps/>
          <w:color w:val="auto"/>
          <w:sz w:val="22"/>
          <w:lang w:eastAsia="en-AU"/>
        </w:rPr>
        <w:tab/>
      </w:r>
      <w:r w:rsidRPr="00C05A15">
        <w:t>Modelling commissioned for this review</w:t>
      </w:r>
      <w:r>
        <w:rPr>
          <w:webHidden/>
        </w:rPr>
        <w:tab/>
        <w:t>70</w:t>
      </w:r>
    </w:p>
    <w:p w:rsidR="00CA762C" w:rsidRDefault="00CA762C">
      <w:pPr>
        <w:pStyle w:val="TOC2"/>
        <w:rPr>
          <w:rFonts w:asciiTheme="minorHAnsi" w:eastAsiaTheme="minorEastAsia" w:hAnsiTheme="minorHAnsi"/>
          <w:color w:val="auto"/>
          <w:sz w:val="22"/>
          <w:lang w:eastAsia="en-AU"/>
        </w:rPr>
      </w:pPr>
      <w:r w:rsidRPr="00C05A15">
        <w:t>Appendix C.1</w:t>
      </w:r>
      <w:r>
        <w:rPr>
          <w:rFonts w:asciiTheme="minorHAnsi" w:eastAsiaTheme="minorEastAsia" w:hAnsiTheme="minorHAnsi"/>
          <w:color w:val="auto"/>
          <w:sz w:val="22"/>
          <w:lang w:eastAsia="en-AU"/>
        </w:rPr>
        <w:tab/>
      </w:r>
      <w:r w:rsidRPr="00C05A15">
        <w:t>Electricity sector modelling</w:t>
      </w:r>
      <w:r>
        <w:rPr>
          <w:webHidden/>
        </w:rPr>
        <w:tab/>
        <w:t>70</w:t>
      </w:r>
    </w:p>
    <w:p w:rsidR="00CA762C" w:rsidRDefault="00CA762C">
      <w:pPr>
        <w:pStyle w:val="TOC3"/>
        <w:rPr>
          <w:rFonts w:asciiTheme="minorHAnsi" w:eastAsiaTheme="minorEastAsia" w:hAnsiTheme="minorHAnsi"/>
          <w:noProof/>
          <w:color w:val="auto"/>
          <w:sz w:val="22"/>
          <w:lang w:eastAsia="en-AU"/>
        </w:rPr>
      </w:pPr>
      <w:r w:rsidRPr="00C05A15">
        <w:rPr>
          <w:noProof/>
          <w:lang w:val="en-GB"/>
        </w:rPr>
        <w:t>Modelling approach</w:t>
      </w:r>
      <w:r>
        <w:rPr>
          <w:noProof/>
          <w:webHidden/>
        </w:rPr>
        <w:tab/>
        <w:t>70</w:t>
      </w:r>
    </w:p>
    <w:p w:rsidR="00CA762C" w:rsidRDefault="00CA762C">
      <w:pPr>
        <w:pStyle w:val="TOC3"/>
        <w:rPr>
          <w:rFonts w:asciiTheme="minorHAnsi" w:eastAsiaTheme="minorEastAsia" w:hAnsiTheme="minorHAnsi"/>
          <w:noProof/>
          <w:color w:val="auto"/>
          <w:sz w:val="22"/>
          <w:lang w:eastAsia="en-AU"/>
        </w:rPr>
      </w:pPr>
      <w:r w:rsidRPr="00C05A15">
        <w:rPr>
          <w:noProof/>
        </w:rPr>
        <w:t>Scenarios and sensitivities</w:t>
      </w:r>
      <w:r>
        <w:rPr>
          <w:noProof/>
          <w:webHidden/>
        </w:rPr>
        <w:tab/>
        <w:t>71</w:t>
      </w:r>
    </w:p>
    <w:p w:rsidR="00CA762C" w:rsidRDefault="00CA762C">
      <w:pPr>
        <w:pStyle w:val="TOC3"/>
        <w:rPr>
          <w:rFonts w:asciiTheme="minorHAnsi" w:eastAsiaTheme="minorEastAsia" w:hAnsiTheme="minorHAnsi"/>
          <w:noProof/>
          <w:color w:val="auto"/>
          <w:sz w:val="22"/>
          <w:lang w:eastAsia="en-AU"/>
        </w:rPr>
      </w:pPr>
      <w:r w:rsidRPr="00C05A15">
        <w:rPr>
          <w:noProof/>
        </w:rPr>
        <w:t>Key inputs and assumptions</w:t>
      </w:r>
      <w:r>
        <w:rPr>
          <w:noProof/>
          <w:webHidden/>
        </w:rPr>
        <w:tab/>
        <w:t>73</w:t>
      </w:r>
    </w:p>
    <w:p w:rsidR="00CA762C" w:rsidRDefault="00CA762C">
      <w:pPr>
        <w:pStyle w:val="TOC3"/>
        <w:rPr>
          <w:rFonts w:asciiTheme="minorHAnsi" w:eastAsiaTheme="minorEastAsia" w:hAnsiTheme="minorHAnsi"/>
          <w:noProof/>
          <w:color w:val="auto"/>
          <w:sz w:val="22"/>
          <w:lang w:eastAsia="en-AU"/>
        </w:rPr>
      </w:pPr>
      <w:r w:rsidRPr="00C05A15">
        <w:rPr>
          <w:noProof/>
        </w:rPr>
        <w:t>Technology costs</w:t>
      </w:r>
      <w:r>
        <w:rPr>
          <w:noProof/>
          <w:webHidden/>
        </w:rPr>
        <w:tab/>
        <w:t>73</w:t>
      </w:r>
    </w:p>
    <w:p w:rsidR="00CA762C" w:rsidRDefault="00CA762C">
      <w:pPr>
        <w:pStyle w:val="TOC3"/>
        <w:rPr>
          <w:rFonts w:asciiTheme="minorHAnsi" w:eastAsiaTheme="minorEastAsia" w:hAnsiTheme="minorHAnsi"/>
          <w:noProof/>
          <w:color w:val="auto"/>
          <w:sz w:val="22"/>
          <w:lang w:eastAsia="en-AU"/>
        </w:rPr>
      </w:pPr>
      <w:r w:rsidRPr="00C05A15">
        <w:rPr>
          <w:noProof/>
        </w:rPr>
        <w:t>Key estimated impacts</w:t>
      </w:r>
      <w:r>
        <w:rPr>
          <w:noProof/>
          <w:webHidden/>
        </w:rPr>
        <w:tab/>
        <w:t>74</w:t>
      </w:r>
    </w:p>
    <w:p w:rsidR="00CA762C" w:rsidRDefault="00CA762C">
      <w:pPr>
        <w:pStyle w:val="TOC3"/>
        <w:rPr>
          <w:rFonts w:asciiTheme="minorHAnsi" w:eastAsiaTheme="minorEastAsia" w:hAnsiTheme="minorHAnsi"/>
          <w:noProof/>
          <w:color w:val="auto"/>
          <w:sz w:val="22"/>
          <w:lang w:eastAsia="en-AU"/>
        </w:rPr>
      </w:pPr>
      <w:r w:rsidRPr="00C05A15">
        <w:rPr>
          <w:noProof/>
        </w:rPr>
        <w:t>Generation mix</w:t>
      </w:r>
      <w:r>
        <w:rPr>
          <w:noProof/>
          <w:webHidden/>
        </w:rPr>
        <w:tab/>
        <w:t>75</w:t>
      </w:r>
    </w:p>
    <w:p w:rsidR="00CA762C" w:rsidRDefault="00CA762C">
      <w:pPr>
        <w:pStyle w:val="TOC3"/>
        <w:rPr>
          <w:rFonts w:asciiTheme="minorHAnsi" w:eastAsiaTheme="minorEastAsia" w:hAnsiTheme="minorHAnsi"/>
          <w:noProof/>
          <w:color w:val="auto"/>
          <w:sz w:val="22"/>
          <w:lang w:eastAsia="en-AU"/>
        </w:rPr>
      </w:pPr>
      <w:r w:rsidRPr="00C05A15">
        <w:rPr>
          <w:noProof/>
        </w:rPr>
        <w:t>Emissions</w:t>
      </w:r>
      <w:r>
        <w:rPr>
          <w:noProof/>
          <w:webHidden/>
        </w:rPr>
        <w:tab/>
        <w:t>76</w:t>
      </w:r>
    </w:p>
    <w:p w:rsidR="00CA762C" w:rsidRDefault="00CA762C">
      <w:pPr>
        <w:pStyle w:val="TOC3"/>
        <w:rPr>
          <w:rFonts w:asciiTheme="minorHAnsi" w:eastAsiaTheme="minorEastAsia" w:hAnsiTheme="minorHAnsi"/>
          <w:noProof/>
          <w:color w:val="auto"/>
          <w:sz w:val="22"/>
          <w:lang w:eastAsia="en-AU"/>
        </w:rPr>
      </w:pPr>
      <w:r w:rsidRPr="00C05A15">
        <w:rPr>
          <w:noProof/>
        </w:rPr>
        <w:t>Prices</w:t>
      </w:r>
      <w:r>
        <w:rPr>
          <w:noProof/>
          <w:webHidden/>
        </w:rPr>
        <w:tab/>
      </w:r>
      <w:r w:rsidR="00487433">
        <w:rPr>
          <w:noProof/>
          <w:webHidden/>
        </w:rPr>
        <w:tab/>
      </w:r>
      <w:r w:rsidR="00487433">
        <w:rPr>
          <w:noProof/>
          <w:webHidden/>
        </w:rPr>
        <w:tab/>
      </w:r>
      <w:r>
        <w:rPr>
          <w:noProof/>
          <w:webHidden/>
        </w:rPr>
        <w:t>77</w:t>
      </w:r>
    </w:p>
    <w:p w:rsidR="00CA762C" w:rsidRDefault="00CA762C">
      <w:pPr>
        <w:pStyle w:val="TOC3"/>
        <w:rPr>
          <w:rFonts w:asciiTheme="minorHAnsi" w:eastAsiaTheme="minorEastAsia" w:hAnsiTheme="minorHAnsi"/>
          <w:noProof/>
          <w:color w:val="auto"/>
          <w:sz w:val="22"/>
          <w:lang w:eastAsia="en-AU"/>
        </w:rPr>
      </w:pPr>
      <w:r w:rsidRPr="00C05A15">
        <w:rPr>
          <w:noProof/>
        </w:rPr>
        <w:t>Generator profits</w:t>
      </w:r>
      <w:r>
        <w:rPr>
          <w:noProof/>
          <w:webHidden/>
        </w:rPr>
        <w:tab/>
        <w:t>80</w:t>
      </w:r>
    </w:p>
    <w:p w:rsidR="00CA762C" w:rsidRDefault="00CA762C">
      <w:pPr>
        <w:pStyle w:val="TOC3"/>
        <w:rPr>
          <w:rFonts w:asciiTheme="minorHAnsi" w:eastAsiaTheme="minorEastAsia" w:hAnsiTheme="minorHAnsi"/>
          <w:noProof/>
          <w:color w:val="auto"/>
          <w:sz w:val="22"/>
          <w:lang w:eastAsia="en-AU"/>
        </w:rPr>
      </w:pPr>
      <w:r w:rsidRPr="00C05A15">
        <w:rPr>
          <w:noProof/>
        </w:rPr>
        <w:t>Resource cost and cost of abatement</w:t>
      </w:r>
      <w:r>
        <w:rPr>
          <w:noProof/>
          <w:webHidden/>
        </w:rPr>
        <w:tab/>
        <w:t>81</w:t>
      </w:r>
    </w:p>
    <w:p w:rsidR="00CA762C" w:rsidRDefault="00CA762C">
      <w:pPr>
        <w:pStyle w:val="TOC2"/>
        <w:rPr>
          <w:rFonts w:asciiTheme="minorHAnsi" w:eastAsiaTheme="minorEastAsia" w:hAnsiTheme="minorHAnsi"/>
          <w:color w:val="auto"/>
          <w:sz w:val="22"/>
          <w:lang w:eastAsia="en-AU"/>
        </w:rPr>
      </w:pPr>
      <w:r w:rsidRPr="00C05A15">
        <w:t>Appendix C.2</w:t>
      </w:r>
      <w:r>
        <w:rPr>
          <w:rFonts w:asciiTheme="minorHAnsi" w:eastAsiaTheme="minorEastAsia" w:hAnsiTheme="minorHAnsi"/>
          <w:color w:val="auto"/>
          <w:sz w:val="22"/>
          <w:lang w:eastAsia="en-AU"/>
        </w:rPr>
        <w:tab/>
      </w:r>
      <w:r w:rsidRPr="00C05A15">
        <w:t>Peer review of modelling</w:t>
      </w:r>
      <w:r>
        <w:rPr>
          <w:webHidden/>
        </w:rPr>
        <w:tab/>
        <w:t>83</w:t>
      </w:r>
    </w:p>
    <w:p w:rsidR="00CA762C" w:rsidRDefault="00CA762C">
      <w:pPr>
        <w:pStyle w:val="TOC2"/>
        <w:rPr>
          <w:rFonts w:asciiTheme="minorHAnsi" w:eastAsiaTheme="minorEastAsia" w:hAnsiTheme="minorHAnsi"/>
          <w:color w:val="auto"/>
          <w:sz w:val="22"/>
          <w:lang w:eastAsia="en-AU"/>
        </w:rPr>
      </w:pPr>
      <w:r w:rsidRPr="00C05A15">
        <w:t>Appendix C.3</w:t>
      </w:r>
      <w:r>
        <w:rPr>
          <w:rFonts w:asciiTheme="minorHAnsi" w:eastAsiaTheme="minorEastAsia" w:hAnsiTheme="minorHAnsi"/>
          <w:color w:val="auto"/>
          <w:sz w:val="22"/>
          <w:lang w:eastAsia="en-AU"/>
        </w:rPr>
        <w:tab/>
      </w:r>
      <w:r w:rsidRPr="00C05A15">
        <w:t>Economy-wide modelling</w:t>
      </w:r>
      <w:r>
        <w:rPr>
          <w:webHidden/>
        </w:rPr>
        <w:tab/>
        <w:t>84</w:t>
      </w:r>
    </w:p>
    <w:p w:rsidR="00CA762C" w:rsidRDefault="00CA762C">
      <w:pPr>
        <w:pStyle w:val="TOC3"/>
        <w:rPr>
          <w:rFonts w:asciiTheme="minorHAnsi" w:eastAsiaTheme="minorEastAsia" w:hAnsiTheme="minorHAnsi"/>
          <w:noProof/>
          <w:color w:val="auto"/>
          <w:sz w:val="22"/>
          <w:lang w:eastAsia="en-AU"/>
        </w:rPr>
      </w:pPr>
      <w:r w:rsidRPr="00C05A15">
        <w:rPr>
          <w:noProof/>
          <w:lang w:val="en-GB"/>
        </w:rPr>
        <w:t>Modelling approach</w:t>
      </w:r>
      <w:r>
        <w:rPr>
          <w:noProof/>
          <w:webHidden/>
        </w:rPr>
        <w:tab/>
        <w:t>84</w:t>
      </w:r>
    </w:p>
    <w:p w:rsidR="00CA762C" w:rsidRDefault="00CA762C">
      <w:pPr>
        <w:pStyle w:val="TOC3"/>
        <w:rPr>
          <w:rFonts w:asciiTheme="minorHAnsi" w:eastAsiaTheme="minorEastAsia" w:hAnsiTheme="minorHAnsi"/>
          <w:noProof/>
          <w:color w:val="auto"/>
          <w:sz w:val="22"/>
          <w:lang w:eastAsia="en-AU"/>
        </w:rPr>
      </w:pPr>
      <w:r w:rsidRPr="00C05A15">
        <w:rPr>
          <w:noProof/>
          <w:lang w:val="en-GB"/>
        </w:rPr>
        <w:t>Scenarios</w:t>
      </w:r>
      <w:r>
        <w:rPr>
          <w:noProof/>
          <w:webHidden/>
        </w:rPr>
        <w:tab/>
        <w:t>85</w:t>
      </w:r>
    </w:p>
    <w:p w:rsidR="00CA762C" w:rsidRDefault="00CA762C">
      <w:pPr>
        <w:pStyle w:val="TOC3"/>
        <w:rPr>
          <w:rFonts w:asciiTheme="minorHAnsi" w:eastAsiaTheme="minorEastAsia" w:hAnsiTheme="minorHAnsi"/>
          <w:noProof/>
          <w:color w:val="auto"/>
          <w:sz w:val="22"/>
          <w:lang w:eastAsia="en-AU"/>
        </w:rPr>
      </w:pPr>
      <w:r w:rsidRPr="00C05A15">
        <w:rPr>
          <w:noProof/>
          <w:lang w:val="en-GB"/>
        </w:rPr>
        <w:t>Key inputs and assumptions</w:t>
      </w:r>
      <w:r>
        <w:rPr>
          <w:noProof/>
          <w:webHidden/>
        </w:rPr>
        <w:tab/>
        <w:t>86</w:t>
      </w:r>
    </w:p>
    <w:p w:rsidR="00CA762C" w:rsidRDefault="00CA762C">
      <w:pPr>
        <w:pStyle w:val="TOC3"/>
        <w:rPr>
          <w:rFonts w:asciiTheme="minorHAnsi" w:eastAsiaTheme="minorEastAsia" w:hAnsiTheme="minorHAnsi"/>
          <w:noProof/>
          <w:color w:val="auto"/>
          <w:sz w:val="22"/>
          <w:lang w:eastAsia="en-AU"/>
        </w:rPr>
      </w:pPr>
      <w:r w:rsidRPr="00C05A15">
        <w:rPr>
          <w:noProof/>
          <w:lang w:val="en-GB"/>
        </w:rPr>
        <w:t>Electricity modelling inputs to economy-wide modelling</w:t>
      </w:r>
      <w:r>
        <w:rPr>
          <w:noProof/>
          <w:webHidden/>
        </w:rPr>
        <w:tab/>
        <w:t>87</w:t>
      </w:r>
    </w:p>
    <w:p w:rsidR="00CA762C" w:rsidRDefault="00CA762C">
      <w:pPr>
        <w:pStyle w:val="TOC3"/>
        <w:rPr>
          <w:rFonts w:asciiTheme="minorHAnsi" w:eastAsiaTheme="minorEastAsia" w:hAnsiTheme="minorHAnsi"/>
          <w:noProof/>
          <w:color w:val="auto"/>
          <w:sz w:val="22"/>
          <w:lang w:eastAsia="en-AU"/>
        </w:rPr>
      </w:pPr>
      <w:r w:rsidRPr="00C05A15">
        <w:rPr>
          <w:noProof/>
          <w:lang w:val="en-GB"/>
        </w:rPr>
        <w:t>Economy-wide modelling results</w:t>
      </w:r>
      <w:r>
        <w:rPr>
          <w:noProof/>
          <w:webHidden/>
        </w:rPr>
        <w:tab/>
        <w:t>89</w:t>
      </w:r>
    </w:p>
    <w:p w:rsidR="00CA762C" w:rsidRDefault="00CA762C" w:rsidP="00487433">
      <w:pPr>
        <w:pStyle w:val="TOC1"/>
        <w:rPr>
          <w:rFonts w:asciiTheme="minorHAnsi" w:eastAsiaTheme="minorEastAsia" w:hAnsiTheme="minorHAnsi"/>
          <w:caps/>
          <w:color w:val="auto"/>
          <w:sz w:val="22"/>
          <w:lang w:eastAsia="en-AU"/>
        </w:rPr>
      </w:pPr>
      <w:r w:rsidRPr="00C05A15">
        <w:t>Glossary of Terms</w:t>
      </w:r>
      <w:r>
        <w:rPr>
          <w:webHidden/>
        </w:rPr>
        <w:tab/>
        <w:t>96</w:t>
      </w:r>
    </w:p>
    <w:p w:rsidR="00CA762C" w:rsidRDefault="00CA762C" w:rsidP="00487433">
      <w:pPr>
        <w:pStyle w:val="TOC1"/>
        <w:rPr>
          <w:rFonts w:asciiTheme="minorHAnsi" w:eastAsiaTheme="minorEastAsia" w:hAnsiTheme="minorHAnsi"/>
          <w:caps/>
          <w:color w:val="auto"/>
          <w:sz w:val="22"/>
          <w:lang w:eastAsia="en-AU"/>
        </w:rPr>
      </w:pPr>
      <w:r w:rsidRPr="00C05A15">
        <w:t>Abbreviations and Acronyms</w:t>
      </w:r>
      <w:r>
        <w:rPr>
          <w:webHidden/>
        </w:rPr>
        <w:tab/>
        <w:t>101</w:t>
      </w:r>
    </w:p>
    <w:p w:rsidR="008B6AC6" w:rsidRPr="00487433" w:rsidRDefault="00487433" w:rsidP="00487433">
      <w:pPr>
        <w:pStyle w:val="TOC1"/>
      </w:pPr>
      <w:r>
        <w:t>References …….</w:t>
      </w:r>
      <w:r>
        <w:tab/>
        <w:t>104</w:t>
      </w:r>
    </w:p>
    <w:p w:rsidR="00A757D6" w:rsidRDefault="00A757D6" w:rsidP="00A757D6">
      <w:pPr>
        <w:pStyle w:val="TOCHeading"/>
      </w:pPr>
      <w:bookmarkStart w:id="2" w:name="_Toc447182742"/>
      <w:r>
        <w:t>Figures</w:t>
      </w:r>
      <w:bookmarkEnd w:id="2"/>
    </w:p>
    <w:p w:rsidR="00CA762C" w:rsidRDefault="00CA762C">
      <w:pPr>
        <w:pStyle w:val="TableofFigures"/>
        <w:rPr>
          <w:rFonts w:asciiTheme="minorHAnsi" w:eastAsiaTheme="minorEastAsia" w:hAnsiTheme="minorHAnsi"/>
          <w:noProof/>
          <w:color w:val="auto"/>
          <w:sz w:val="22"/>
          <w:lang w:eastAsia="en-AU"/>
        </w:rPr>
      </w:pPr>
      <w:r w:rsidRPr="00C05A15">
        <w:rPr>
          <w:noProof/>
        </w:rPr>
        <w:t>Figure 1</w:t>
      </w:r>
      <w:r>
        <w:rPr>
          <w:rFonts w:asciiTheme="minorHAnsi" w:eastAsiaTheme="minorEastAsia" w:hAnsiTheme="minorHAnsi"/>
          <w:noProof/>
          <w:color w:val="auto"/>
          <w:sz w:val="22"/>
          <w:lang w:eastAsia="en-AU"/>
        </w:rPr>
        <w:tab/>
      </w:r>
      <w:r w:rsidRPr="00C05A15">
        <w:rPr>
          <w:noProof/>
        </w:rPr>
        <w:t>Average cost of abatement by policy, 2 degrees, 2020–2050</w:t>
      </w:r>
      <w:r>
        <w:rPr>
          <w:noProof/>
          <w:webHidden/>
        </w:rPr>
        <w:tab/>
        <w:t>10</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w:t>
      </w:r>
      <w:r>
        <w:rPr>
          <w:rFonts w:asciiTheme="minorHAnsi" w:eastAsiaTheme="minorEastAsia" w:hAnsiTheme="minorHAnsi"/>
          <w:noProof/>
          <w:color w:val="auto"/>
          <w:sz w:val="22"/>
          <w:lang w:eastAsia="en-AU"/>
        </w:rPr>
        <w:tab/>
      </w:r>
      <w:r w:rsidRPr="00C05A15">
        <w:rPr>
          <w:noProof/>
        </w:rPr>
        <w:t>Australian electricity generation by source, 2000–2014</w:t>
      </w:r>
      <w:r>
        <w:rPr>
          <w:noProof/>
          <w:webHidden/>
        </w:rPr>
        <w:tab/>
        <w:t>16</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w:t>
      </w:r>
      <w:r>
        <w:rPr>
          <w:rFonts w:asciiTheme="minorHAnsi" w:eastAsiaTheme="minorEastAsia" w:hAnsiTheme="minorHAnsi"/>
          <w:noProof/>
          <w:color w:val="auto"/>
          <w:sz w:val="22"/>
          <w:lang w:eastAsia="en-AU"/>
        </w:rPr>
        <w:tab/>
      </w:r>
      <w:r w:rsidRPr="00C05A15">
        <w:rPr>
          <w:noProof/>
        </w:rPr>
        <w:t>Emissions and emissions intensity by generator type, 2014–15</w:t>
      </w:r>
      <w:r>
        <w:rPr>
          <w:noProof/>
          <w:webHidden/>
        </w:rPr>
        <w:tab/>
        <w:t>16</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4</w:t>
      </w:r>
      <w:r>
        <w:rPr>
          <w:rFonts w:asciiTheme="minorHAnsi" w:eastAsiaTheme="minorEastAsia" w:hAnsiTheme="minorHAnsi"/>
          <w:noProof/>
          <w:color w:val="auto"/>
          <w:sz w:val="22"/>
          <w:lang w:eastAsia="en-AU"/>
        </w:rPr>
        <w:tab/>
      </w:r>
      <w:r w:rsidRPr="00C05A15">
        <w:rPr>
          <w:noProof/>
        </w:rPr>
        <w:t>Australian renewable electricity generation by type, 2000–2014</w:t>
      </w:r>
      <w:r>
        <w:rPr>
          <w:noProof/>
          <w:webHidden/>
        </w:rPr>
        <w:tab/>
        <w:t>17</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5</w:t>
      </w:r>
      <w:r>
        <w:rPr>
          <w:rFonts w:asciiTheme="minorHAnsi" w:eastAsiaTheme="minorEastAsia" w:hAnsiTheme="minorHAnsi"/>
          <w:noProof/>
          <w:color w:val="auto"/>
          <w:sz w:val="22"/>
          <w:lang w:eastAsia="en-AU"/>
        </w:rPr>
        <w:tab/>
      </w:r>
      <w:r w:rsidRPr="00C05A15">
        <w:rPr>
          <w:noProof/>
        </w:rPr>
        <w:t>Emissions intensity of electricity generation, 2 degree pathways</w:t>
      </w:r>
      <w:r>
        <w:rPr>
          <w:noProof/>
          <w:webHidden/>
        </w:rPr>
        <w:tab/>
        <w:t>22</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6</w:t>
      </w:r>
      <w:r>
        <w:rPr>
          <w:rFonts w:asciiTheme="minorHAnsi" w:eastAsiaTheme="minorEastAsia" w:hAnsiTheme="minorHAnsi"/>
          <w:noProof/>
          <w:color w:val="auto"/>
          <w:sz w:val="22"/>
          <w:lang w:eastAsia="en-AU"/>
        </w:rPr>
        <w:tab/>
      </w:r>
      <w:r w:rsidRPr="00C05A15">
        <w:rPr>
          <w:noProof/>
        </w:rPr>
        <w:t>Australia’s electricity system</w:t>
      </w:r>
      <w:r>
        <w:rPr>
          <w:noProof/>
          <w:webHidden/>
        </w:rPr>
        <w:tab/>
        <w:t>24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7</w:t>
      </w:r>
      <w:r>
        <w:rPr>
          <w:rFonts w:asciiTheme="minorHAnsi" w:eastAsiaTheme="minorEastAsia" w:hAnsiTheme="minorHAnsi"/>
          <w:noProof/>
          <w:color w:val="auto"/>
          <w:sz w:val="22"/>
          <w:lang w:eastAsia="en-AU"/>
        </w:rPr>
        <w:tab/>
      </w:r>
      <w:r w:rsidRPr="00C05A15">
        <w:rPr>
          <w:noProof/>
        </w:rPr>
        <w:t>Price setting in the wholesale market</w:t>
      </w:r>
      <w:r>
        <w:rPr>
          <w:noProof/>
          <w:webHidden/>
        </w:rPr>
        <w:tab/>
        <w:t>26</w:t>
      </w:r>
    </w:p>
    <w:p w:rsidR="00CA762C" w:rsidRDefault="00CA762C">
      <w:pPr>
        <w:pStyle w:val="TableofFigures"/>
        <w:rPr>
          <w:rFonts w:asciiTheme="minorHAnsi" w:eastAsiaTheme="minorEastAsia" w:hAnsiTheme="minorHAnsi"/>
          <w:noProof/>
          <w:color w:val="auto"/>
          <w:sz w:val="22"/>
          <w:lang w:eastAsia="en-AU"/>
        </w:rPr>
      </w:pPr>
      <w:r w:rsidRPr="00C05A15">
        <w:rPr>
          <w:noProof/>
        </w:rPr>
        <w:lastRenderedPageBreak/>
        <w:t>Figure 8</w:t>
      </w:r>
      <w:r>
        <w:rPr>
          <w:rFonts w:asciiTheme="minorHAnsi" w:eastAsiaTheme="minorEastAsia" w:hAnsiTheme="minorHAnsi"/>
          <w:noProof/>
          <w:color w:val="auto"/>
          <w:sz w:val="22"/>
          <w:lang w:eastAsia="en-AU"/>
        </w:rPr>
        <w:tab/>
      </w:r>
      <w:r w:rsidRPr="00C05A15">
        <w:rPr>
          <w:noProof/>
        </w:rPr>
        <w:t>Breakdown of average national residential electricity price, 2014–15</w:t>
      </w:r>
      <w:r>
        <w:rPr>
          <w:noProof/>
          <w:webHidden/>
        </w:rPr>
        <w:tab/>
        <w:t>27</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9</w:t>
      </w:r>
      <w:r>
        <w:rPr>
          <w:rFonts w:asciiTheme="minorHAnsi" w:eastAsiaTheme="minorEastAsia" w:hAnsiTheme="minorHAnsi"/>
          <w:noProof/>
          <w:color w:val="auto"/>
          <w:sz w:val="22"/>
          <w:lang w:eastAsia="en-AU"/>
        </w:rPr>
        <w:tab/>
      </w:r>
      <w:r w:rsidRPr="00C05A15">
        <w:rPr>
          <w:noProof/>
        </w:rPr>
        <w:t>Operational electricity demand, NEM and WEM, 2006–2016</w:t>
      </w:r>
      <w:r>
        <w:rPr>
          <w:noProof/>
          <w:webHidden/>
        </w:rPr>
        <w:tab/>
        <w:t>28</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10</w:t>
      </w:r>
      <w:r>
        <w:rPr>
          <w:rFonts w:asciiTheme="minorHAnsi" w:eastAsiaTheme="minorEastAsia" w:hAnsiTheme="minorHAnsi"/>
          <w:noProof/>
          <w:color w:val="auto"/>
          <w:sz w:val="22"/>
          <w:lang w:eastAsia="en-AU"/>
        </w:rPr>
        <w:tab/>
      </w:r>
      <w:r w:rsidRPr="00C05A15">
        <w:rPr>
          <w:noProof/>
        </w:rPr>
        <w:t>Emissions intensity scheme: baseline, credit and liabilities</w:t>
      </w:r>
      <w:r>
        <w:rPr>
          <w:noProof/>
          <w:webHidden/>
        </w:rPr>
        <w:tab/>
        <w:t>34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11</w:t>
      </w:r>
      <w:r>
        <w:rPr>
          <w:rFonts w:asciiTheme="minorHAnsi" w:eastAsiaTheme="minorEastAsia" w:hAnsiTheme="minorHAnsi"/>
          <w:noProof/>
          <w:color w:val="auto"/>
          <w:sz w:val="22"/>
          <w:lang w:eastAsia="en-AU"/>
        </w:rPr>
        <w:tab/>
      </w:r>
      <w:r w:rsidRPr="00C05A15">
        <w:rPr>
          <w:noProof/>
        </w:rPr>
        <w:t>Emissions by policy, 2 degrees, 2020–2050</w:t>
      </w:r>
      <w:r>
        <w:rPr>
          <w:noProof/>
          <w:webHidden/>
        </w:rPr>
        <w:tab/>
        <w:t>44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12</w:t>
      </w:r>
      <w:r>
        <w:rPr>
          <w:rFonts w:asciiTheme="minorHAnsi" w:eastAsiaTheme="minorEastAsia" w:hAnsiTheme="minorHAnsi"/>
          <w:noProof/>
          <w:color w:val="auto"/>
          <w:sz w:val="22"/>
          <w:lang w:eastAsia="en-AU"/>
        </w:rPr>
        <w:tab/>
      </w:r>
      <w:r w:rsidRPr="00C05A15">
        <w:rPr>
          <w:noProof/>
        </w:rPr>
        <w:t>Emissions by policy, high demand sensitivity, 2020–2050</w:t>
      </w:r>
      <w:r>
        <w:rPr>
          <w:noProof/>
          <w:webHidden/>
        </w:rPr>
        <w:tab/>
        <w:t>45</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13</w:t>
      </w:r>
      <w:r>
        <w:rPr>
          <w:rFonts w:asciiTheme="minorHAnsi" w:eastAsiaTheme="minorEastAsia" w:hAnsiTheme="minorHAnsi"/>
          <w:noProof/>
          <w:color w:val="auto"/>
          <w:sz w:val="22"/>
          <w:lang w:eastAsia="en-AU"/>
        </w:rPr>
        <w:tab/>
      </w:r>
      <w:r w:rsidRPr="00C05A15">
        <w:rPr>
          <w:noProof/>
        </w:rPr>
        <w:t>Average cost of abatement by policy, 2 degrees, 2020–2050</w:t>
      </w:r>
      <w:r>
        <w:rPr>
          <w:noProof/>
          <w:webHidden/>
        </w:rPr>
        <w:tab/>
        <w:t>47</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14</w:t>
      </w:r>
      <w:r>
        <w:rPr>
          <w:rFonts w:asciiTheme="minorHAnsi" w:eastAsiaTheme="minorEastAsia" w:hAnsiTheme="minorHAnsi"/>
          <w:noProof/>
          <w:color w:val="auto"/>
          <w:sz w:val="22"/>
          <w:lang w:eastAsia="en-AU"/>
        </w:rPr>
        <w:tab/>
      </w:r>
      <w:r w:rsidRPr="00C05A15">
        <w:rPr>
          <w:noProof/>
        </w:rPr>
        <w:t>Average residential retail price by policy, 2 degrees, 2020–2050</w:t>
      </w:r>
      <w:r>
        <w:rPr>
          <w:noProof/>
          <w:webHidden/>
        </w:rPr>
        <w:tab/>
        <w:t>49</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15</w:t>
      </w:r>
      <w:r>
        <w:rPr>
          <w:rFonts w:asciiTheme="minorHAnsi" w:eastAsiaTheme="minorEastAsia" w:hAnsiTheme="minorHAnsi"/>
          <w:noProof/>
          <w:color w:val="auto"/>
          <w:sz w:val="22"/>
          <w:lang w:eastAsia="en-AU"/>
        </w:rPr>
        <w:tab/>
      </w:r>
      <w:r w:rsidRPr="00C05A15">
        <w:rPr>
          <w:noProof/>
        </w:rPr>
        <w:t>Average wholesale electricity price by policy, 2 degrees, 2020–2050</w:t>
      </w:r>
      <w:r>
        <w:rPr>
          <w:noProof/>
          <w:webHidden/>
        </w:rPr>
        <w:tab/>
        <w:t>50</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16</w:t>
      </w:r>
      <w:r>
        <w:rPr>
          <w:rFonts w:asciiTheme="minorHAnsi" w:eastAsiaTheme="minorEastAsia" w:hAnsiTheme="minorHAnsi"/>
          <w:noProof/>
          <w:color w:val="auto"/>
          <w:sz w:val="22"/>
          <w:lang w:eastAsia="en-AU"/>
        </w:rPr>
        <w:tab/>
      </w:r>
      <w:r w:rsidRPr="00C05A15">
        <w:rPr>
          <w:noProof/>
        </w:rPr>
        <w:t>Difference in NPV of gross profits for incumbent coal generators from reference case, 2 degrees, 2020–2050</w:t>
      </w:r>
      <w:r>
        <w:rPr>
          <w:noProof/>
          <w:webHidden/>
        </w:rPr>
        <w:tab/>
        <w:t>51</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17</w:t>
      </w:r>
      <w:r>
        <w:rPr>
          <w:rFonts w:asciiTheme="minorHAnsi" w:eastAsiaTheme="minorEastAsia" w:hAnsiTheme="minorHAnsi"/>
          <w:noProof/>
          <w:color w:val="auto"/>
          <w:sz w:val="22"/>
          <w:lang w:eastAsia="en-AU"/>
        </w:rPr>
        <w:tab/>
      </w:r>
      <w:r w:rsidRPr="00C05A15">
        <w:rPr>
          <w:noProof/>
        </w:rPr>
        <w:t>Change in capacity of large-scale renewable and low</w:t>
      </w:r>
      <w:r w:rsidRPr="00C05A15">
        <w:rPr>
          <w:noProof/>
        </w:rPr>
        <w:noBreakHyphen/>
        <w:t>emissions technologies, 2 degrees, 2020–2050</w:t>
      </w:r>
      <w:r>
        <w:rPr>
          <w:noProof/>
          <w:webHidden/>
        </w:rPr>
        <w:tab/>
        <w:t>52</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18</w:t>
      </w:r>
      <w:r>
        <w:rPr>
          <w:rFonts w:asciiTheme="minorHAnsi" w:eastAsiaTheme="minorEastAsia" w:hAnsiTheme="minorHAnsi"/>
          <w:noProof/>
          <w:color w:val="auto"/>
          <w:sz w:val="22"/>
          <w:lang w:eastAsia="en-AU"/>
        </w:rPr>
        <w:tab/>
      </w:r>
      <w:r w:rsidRPr="00C05A15">
        <w:rPr>
          <w:noProof/>
        </w:rPr>
        <w:t>Total supply-side and demand-side emissions reductions by policy, 2 degrees, 2020–2050</w:t>
      </w:r>
      <w:r>
        <w:rPr>
          <w:noProof/>
          <w:webHidden/>
        </w:rPr>
        <w:tab/>
        <w:t>54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19</w:t>
      </w:r>
      <w:r>
        <w:rPr>
          <w:rFonts w:asciiTheme="minorHAnsi" w:eastAsiaTheme="minorEastAsia" w:hAnsiTheme="minorHAnsi"/>
          <w:noProof/>
          <w:color w:val="auto"/>
          <w:sz w:val="22"/>
          <w:lang w:eastAsia="en-AU"/>
        </w:rPr>
        <w:tab/>
      </w:r>
      <w:r w:rsidRPr="00C05A15">
        <w:rPr>
          <w:noProof/>
        </w:rPr>
        <w:t>Percentage change in various economic metrics, economy-wide modelling, relative to cap and trade (lump sum) scenario, 2020–2050</w:t>
      </w:r>
      <w:r>
        <w:rPr>
          <w:noProof/>
          <w:webHidden/>
        </w:rPr>
        <w:tab/>
        <w:t>56</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20</w:t>
      </w:r>
      <w:r>
        <w:rPr>
          <w:rFonts w:asciiTheme="minorHAnsi" w:eastAsiaTheme="minorEastAsia" w:hAnsiTheme="minorHAnsi"/>
          <w:noProof/>
          <w:color w:val="auto"/>
          <w:sz w:val="22"/>
          <w:lang w:eastAsia="en-AU"/>
        </w:rPr>
        <w:tab/>
      </w:r>
      <w:r w:rsidRPr="00C05A15">
        <w:rPr>
          <w:noProof/>
        </w:rPr>
        <w:t>Average cost of abatement, policy options and combinations, 2 degrees, 2020–2050</w:t>
      </w:r>
      <w:r>
        <w:rPr>
          <w:noProof/>
          <w:webHidden/>
        </w:rPr>
        <w:tab/>
        <w:t>62</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21</w:t>
      </w:r>
      <w:r>
        <w:rPr>
          <w:rFonts w:asciiTheme="minorHAnsi" w:eastAsiaTheme="minorEastAsia" w:hAnsiTheme="minorHAnsi"/>
          <w:noProof/>
          <w:color w:val="auto"/>
          <w:sz w:val="22"/>
          <w:lang w:eastAsia="en-AU"/>
        </w:rPr>
        <w:tab/>
      </w:r>
      <w:r w:rsidRPr="00C05A15">
        <w:rPr>
          <w:noProof/>
        </w:rPr>
        <w:t>Resource costs of technology pull policies relative to reference case, 2 degrees, 2020–2050</w:t>
      </w:r>
      <w:r>
        <w:rPr>
          <w:noProof/>
          <w:webHidden/>
        </w:rPr>
        <w:tab/>
        <w:t>64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22</w:t>
      </w:r>
      <w:r>
        <w:rPr>
          <w:rFonts w:asciiTheme="minorHAnsi" w:eastAsiaTheme="minorEastAsia" w:hAnsiTheme="minorHAnsi"/>
          <w:noProof/>
          <w:color w:val="auto"/>
          <w:sz w:val="22"/>
          <w:lang w:eastAsia="en-AU"/>
        </w:rPr>
        <w:tab/>
      </w:r>
      <w:r w:rsidRPr="00C05A15">
        <w:rPr>
          <w:noProof/>
        </w:rPr>
        <w:t>Average emissions intensity of new generators, by type</w:t>
      </w:r>
      <w:r>
        <w:rPr>
          <w:noProof/>
          <w:webHidden/>
        </w:rPr>
        <w:tab/>
        <w:t>66</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23</w:t>
      </w:r>
      <w:r>
        <w:rPr>
          <w:rFonts w:asciiTheme="minorHAnsi" w:eastAsiaTheme="minorEastAsia" w:hAnsiTheme="minorHAnsi"/>
          <w:noProof/>
          <w:color w:val="auto"/>
          <w:sz w:val="22"/>
          <w:lang w:eastAsia="en-AU"/>
        </w:rPr>
        <w:tab/>
      </w:r>
      <w:r w:rsidRPr="00C05A15">
        <w:rPr>
          <w:noProof/>
        </w:rPr>
        <w:t>Technology capital cost comparison</w:t>
      </w:r>
      <w:r>
        <w:rPr>
          <w:noProof/>
          <w:webHidden/>
        </w:rPr>
        <w:tab/>
        <w:t>74</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24</w:t>
      </w:r>
      <w:r>
        <w:rPr>
          <w:rFonts w:asciiTheme="minorHAnsi" w:eastAsiaTheme="minorEastAsia" w:hAnsiTheme="minorHAnsi"/>
          <w:noProof/>
          <w:color w:val="auto"/>
          <w:sz w:val="22"/>
          <w:lang w:eastAsia="en-AU"/>
        </w:rPr>
        <w:tab/>
      </w:r>
      <w:r w:rsidRPr="00C05A15">
        <w:rPr>
          <w:noProof/>
        </w:rPr>
        <w:t>Emissions by policy scenario, 2 degrees, 2020–2050</w:t>
      </w:r>
      <w:r>
        <w:rPr>
          <w:noProof/>
          <w:webHidden/>
        </w:rPr>
        <w:tab/>
        <w:t>76</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25</w:t>
      </w:r>
      <w:r>
        <w:rPr>
          <w:rFonts w:asciiTheme="minorHAnsi" w:eastAsiaTheme="minorEastAsia" w:hAnsiTheme="minorHAnsi"/>
          <w:noProof/>
          <w:color w:val="auto"/>
          <w:sz w:val="22"/>
          <w:lang w:eastAsia="en-AU"/>
        </w:rPr>
        <w:tab/>
      </w:r>
      <w:r w:rsidRPr="00C05A15">
        <w:rPr>
          <w:noProof/>
        </w:rPr>
        <w:t>Emissions intensity by policy scenario, 2 degrees, 2020–2050</w:t>
      </w:r>
      <w:r>
        <w:rPr>
          <w:noProof/>
          <w:webHidden/>
        </w:rPr>
        <w:tab/>
        <w:t>77</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26</w:t>
      </w:r>
      <w:r>
        <w:rPr>
          <w:rFonts w:asciiTheme="minorHAnsi" w:eastAsiaTheme="minorEastAsia" w:hAnsiTheme="minorHAnsi"/>
          <w:noProof/>
          <w:color w:val="auto"/>
          <w:sz w:val="22"/>
          <w:lang w:eastAsia="en-AU"/>
        </w:rPr>
        <w:tab/>
      </w:r>
      <w:r w:rsidRPr="00C05A15">
        <w:rPr>
          <w:noProof/>
        </w:rPr>
        <w:t>Average wholesale electricity price by policy, 2 degrees, 2020–2050</w:t>
      </w:r>
      <w:r>
        <w:rPr>
          <w:noProof/>
          <w:webHidden/>
        </w:rPr>
        <w:tab/>
        <w:t>78</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27</w:t>
      </w:r>
      <w:r>
        <w:rPr>
          <w:rFonts w:asciiTheme="minorHAnsi" w:eastAsiaTheme="minorEastAsia" w:hAnsiTheme="minorHAnsi"/>
          <w:noProof/>
          <w:color w:val="auto"/>
          <w:sz w:val="22"/>
          <w:lang w:eastAsia="en-AU"/>
        </w:rPr>
        <w:tab/>
      </w:r>
      <w:r w:rsidRPr="00C05A15">
        <w:rPr>
          <w:noProof/>
        </w:rPr>
        <w:t>Average residential retail price by policy, 2 degrees, 2020–2050</w:t>
      </w:r>
      <w:r>
        <w:rPr>
          <w:noProof/>
          <w:webHidden/>
        </w:rPr>
        <w:tab/>
        <w:t>79</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28</w:t>
      </w:r>
      <w:r>
        <w:rPr>
          <w:rFonts w:asciiTheme="minorHAnsi" w:eastAsiaTheme="minorEastAsia" w:hAnsiTheme="minorHAnsi"/>
          <w:noProof/>
          <w:color w:val="auto"/>
          <w:sz w:val="22"/>
          <w:lang w:eastAsia="en-AU"/>
        </w:rPr>
        <w:tab/>
      </w:r>
      <w:r w:rsidRPr="00C05A15">
        <w:rPr>
          <w:noProof/>
        </w:rPr>
        <w:t>Average annual residential customer spending, relative to reference, 2 degrees, 2020–2050</w:t>
      </w:r>
      <w:r>
        <w:rPr>
          <w:noProof/>
          <w:webHidden/>
        </w:rPr>
        <w:tab/>
        <w:t>79</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29</w:t>
      </w:r>
      <w:r>
        <w:rPr>
          <w:rFonts w:asciiTheme="minorHAnsi" w:eastAsiaTheme="minorEastAsia" w:hAnsiTheme="minorHAnsi"/>
          <w:noProof/>
          <w:color w:val="auto"/>
          <w:sz w:val="22"/>
          <w:lang w:eastAsia="en-AU"/>
        </w:rPr>
        <w:tab/>
      </w:r>
      <w:r w:rsidRPr="00C05A15">
        <w:rPr>
          <w:noProof/>
        </w:rPr>
        <w:t>Difference in NPV of gross profits for incumbent coal generators, relative to reference, 2 degrees, 2020–2050</w:t>
      </w:r>
      <w:r>
        <w:rPr>
          <w:noProof/>
          <w:webHidden/>
        </w:rPr>
        <w:tab/>
        <w:t>80</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30</w:t>
      </w:r>
      <w:r>
        <w:rPr>
          <w:rFonts w:asciiTheme="minorHAnsi" w:eastAsiaTheme="minorEastAsia" w:hAnsiTheme="minorHAnsi"/>
          <w:noProof/>
          <w:color w:val="auto"/>
          <w:sz w:val="22"/>
          <w:lang w:eastAsia="en-AU"/>
        </w:rPr>
        <w:tab/>
      </w:r>
      <w:r w:rsidRPr="00C05A15">
        <w:rPr>
          <w:noProof/>
        </w:rPr>
        <w:t>Resource costs relative to the reference scenario, 2 degrees, 2020–2050</w:t>
      </w:r>
      <w:r>
        <w:rPr>
          <w:noProof/>
          <w:webHidden/>
        </w:rPr>
        <w:tab/>
        <w:t>82</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31</w:t>
      </w:r>
      <w:r>
        <w:rPr>
          <w:rFonts w:asciiTheme="minorHAnsi" w:eastAsiaTheme="minorEastAsia" w:hAnsiTheme="minorHAnsi"/>
          <w:noProof/>
          <w:color w:val="auto"/>
          <w:sz w:val="22"/>
          <w:lang w:eastAsia="en-AU"/>
        </w:rPr>
        <w:tab/>
      </w:r>
      <w:r w:rsidRPr="00C05A15">
        <w:rPr>
          <w:noProof/>
        </w:rPr>
        <w:t>Average cost of abatement by policy, 2 degrees, 2020–2050</w:t>
      </w:r>
      <w:r>
        <w:rPr>
          <w:noProof/>
          <w:webHidden/>
        </w:rPr>
        <w:tab/>
        <w:t>83</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32</w:t>
      </w:r>
      <w:r>
        <w:rPr>
          <w:rFonts w:asciiTheme="minorHAnsi" w:eastAsiaTheme="minorEastAsia" w:hAnsiTheme="minorHAnsi"/>
          <w:noProof/>
          <w:color w:val="auto"/>
          <w:sz w:val="22"/>
          <w:lang w:eastAsia="en-AU"/>
        </w:rPr>
        <w:tab/>
      </w:r>
      <w:r w:rsidRPr="00C05A15">
        <w:rPr>
          <w:noProof/>
        </w:rPr>
        <w:t>Iterative modelling using CGE and electricity sector models</w:t>
      </w:r>
      <w:r>
        <w:rPr>
          <w:noProof/>
          <w:webHidden/>
        </w:rPr>
        <w:tab/>
        <w:t>85</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33</w:t>
      </w:r>
      <w:r>
        <w:rPr>
          <w:rFonts w:asciiTheme="minorHAnsi" w:eastAsiaTheme="minorEastAsia" w:hAnsiTheme="minorHAnsi"/>
          <w:noProof/>
          <w:color w:val="auto"/>
          <w:sz w:val="22"/>
          <w:lang w:eastAsia="en-AU"/>
        </w:rPr>
        <w:tab/>
      </w:r>
      <w:r w:rsidRPr="00C05A15">
        <w:rPr>
          <w:noProof/>
        </w:rPr>
        <w:t>Average residential electricity prices by scenario, economy-wide modelling, 2020–2050</w:t>
      </w:r>
      <w:r>
        <w:rPr>
          <w:noProof/>
          <w:webHidden/>
        </w:rPr>
        <w:tab/>
        <w:t>88</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34</w:t>
      </w:r>
      <w:r>
        <w:rPr>
          <w:rFonts w:asciiTheme="minorHAnsi" w:eastAsiaTheme="minorEastAsia" w:hAnsiTheme="minorHAnsi"/>
          <w:noProof/>
          <w:color w:val="auto"/>
          <w:sz w:val="22"/>
          <w:lang w:eastAsia="en-AU"/>
        </w:rPr>
        <w:tab/>
      </w:r>
      <w:r w:rsidRPr="00C05A15">
        <w:rPr>
          <w:noProof/>
        </w:rPr>
        <w:t>Change in electricity demand, economy-wide modelling, relative to cap and trade (lump sum) scenario, 2020–2050</w:t>
      </w:r>
      <w:r>
        <w:rPr>
          <w:noProof/>
          <w:webHidden/>
        </w:rPr>
        <w:tab/>
        <w:t>89</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35</w:t>
      </w:r>
      <w:r>
        <w:rPr>
          <w:rFonts w:asciiTheme="minorHAnsi" w:eastAsiaTheme="minorEastAsia" w:hAnsiTheme="minorHAnsi"/>
          <w:noProof/>
          <w:color w:val="auto"/>
          <w:sz w:val="22"/>
          <w:lang w:eastAsia="en-AU"/>
        </w:rPr>
        <w:tab/>
      </w:r>
      <w:r w:rsidRPr="00C05A15">
        <w:rPr>
          <w:noProof/>
        </w:rPr>
        <w:t>Change in Australian domestic emissions, economy-wide modelling, relative to cap and trade (lump sum) scenario, 2020–2050</w:t>
      </w:r>
      <w:r>
        <w:rPr>
          <w:noProof/>
          <w:webHidden/>
        </w:rPr>
        <w:tab/>
        <w:t>90</w:t>
      </w:r>
    </w:p>
    <w:p w:rsidR="00CA762C" w:rsidRDefault="00CA762C">
      <w:pPr>
        <w:pStyle w:val="TableofFigures"/>
        <w:rPr>
          <w:rFonts w:asciiTheme="minorHAnsi" w:eastAsiaTheme="minorEastAsia" w:hAnsiTheme="minorHAnsi"/>
          <w:noProof/>
          <w:color w:val="auto"/>
          <w:sz w:val="22"/>
          <w:lang w:eastAsia="en-AU"/>
        </w:rPr>
      </w:pPr>
      <w:r w:rsidRPr="00C05A15">
        <w:rPr>
          <w:noProof/>
        </w:rPr>
        <w:t>Figure 36</w:t>
      </w:r>
      <w:r>
        <w:rPr>
          <w:rFonts w:asciiTheme="minorHAnsi" w:eastAsiaTheme="minorEastAsia" w:hAnsiTheme="minorHAnsi"/>
          <w:noProof/>
          <w:color w:val="auto"/>
          <w:sz w:val="22"/>
          <w:lang w:eastAsia="en-AU"/>
        </w:rPr>
        <w:tab/>
      </w:r>
      <w:r w:rsidRPr="00C05A15">
        <w:rPr>
          <w:noProof/>
        </w:rPr>
        <w:t>Personal and company income tax rates by scenario, economy-wide modelling</w:t>
      </w:r>
      <w:r>
        <w:rPr>
          <w:noProof/>
          <w:webHidden/>
        </w:rPr>
        <w:tab/>
        <w:t>91</w:t>
      </w:r>
    </w:p>
    <w:p w:rsidR="00CA762C" w:rsidRDefault="00CA762C">
      <w:pPr>
        <w:pStyle w:val="TableofFigures"/>
        <w:rPr>
          <w:rFonts w:asciiTheme="minorHAnsi" w:eastAsiaTheme="minorEastAsia" w:hAnsiTheme="minorHAnsi"/>
          <w:noProof/>
          <w:color w:val="auto"/>
          <w:sz w:val="22"/>
          <w:lang w:eastAsia="en-AU"/>
        </w:rPr>
      </w:pPr>
      <w:r w:rsidRPr="00C05A15">
        <w:rPr>
          <w:noProof/>
        </w:rPr>
        <w:lastRenderedPageBreak/>
        <w:t>Figure 37</w:t>
      </w:r>
      <w:r>
        <w:rPr>
          <w:rFonts w:asciiTheme="minorHAnsi" w:eastAsiaTheme="minorEastAsia" w:hAnsiTheme="minorHAnsi"/>
          <w:noProof/>
          <w:color w:val="auto"/>
          <w:sz w:val="22"/>
          <w:lang w:eastAsia="en-AU"/>
        </w:rPr>
        <w:tab/>
      </w:r>
      <w:r w:rsidRPr="00C05A15">
        <w:rPr>
          <w:noProof/>
        </w:rPr>
        <w:t>Percentage change in various economic metrics, economy-wide modelling, relative to cap and trade (lump sum) scenario, 2020–2050</w:t>
      </w:r>
      <w:r>
        <w:rPr>
          <w:noProof/>
          <w:webHidden/>
        </w:rPr>
        <w:tab/>
        <w:t>93</w:t>
      </w:r>
    </w:p>
    <w:p w:rsidR="008B6AC6" w:rsidRDefault="008B6AC6" w:rsidP="00A757D6"/>
    <w:p w:rsidR="007A6CE7" w:rsidRDefault="007A6CE7" w:rsidP="00C54EAA">
      <w:pPr>
        <w:pStyle w:val="TOCHeading"/>
      </w:pPr>
      <w:bookmarkStart w:id="3" w:name="_Toc447182743"/>
      <w:r>
        <w:t>Tables</w:t>
      </w:r>
      <w:bookmarkEnd w:id="3"/>
    </w:p>
    <w:p w:rsidR="00CA762C" w:rsidRDefault="00CA762C">
      <w:pPr>
        <w:pStyle w:val="TableofFigures"/>
        <w:rPr>
          <w:rFonts w:asciiTheme="minorHAnsi" w:eastAsiaTheme="minorEastAsia" w:hAnsiTheme="minorHAnsi"/>
          <w:noProof/>
          <w:color w:val="auto"/>
          <w:sz w:val="22"/>
          <w:lang w:eastAsia="en-AU"/>
        </w:rPr>
      </w:pPr>
      <w:r w:rsidRPr="00C05A15">
        <w:rPr>
          <w:noProof/>
        </w:rPr>
        <w:t>Table 1</w:t>
      </w:r>
      <w:r>
        <w:rPr>
          <w:rFonts w:asciiTheme="minorHAnsi" w:eastAsiaTheme="minorEastAsia" w:hAnsiTheme="minorHAnsi"/>
          <w:noProof/>
          <w:color w:val="auto"/>
          <w:sz w:val="22"/>
          <w:lang w:eastAsia="en-AU"/>
        </w:rPr>
        <w:tab/>
      </w:r>
      <w:r w:rsidRPr="00C05A15">
        <w:rPr>
          <w:noProof/>
        </w:rPr>
        <w:t>Major climate change policies—large-scale electricity supply sector</w:t>
      </w:r>
      <w:r>
        <w:rPr>
          <w:noProof/>
          <w:webHidden/>
        </w:rPr>
        <w:tab/>
        <w:t>20</w:t>
      </w:r>
    </w:p>
    <w:p w:rsidR="00CA762C" w:rsidRDefault="00CA762C">
      <w:pPr>
        <w:pStyle w:val="TableofFigures"/>
        <w:rPr>
          <w:rFonts w:asciiTheme="minorHAnsi" w:eastAsiaTheme="minorEastAsia" w:hAnsiTheme="minorHAnsi"/>
          <w:noProof/>
          <w:color w:val="auto"/>
          <w:sz w:val="22"/>
          <w:lang w:eastAsia="en-AU"/>
        </w:rPr>
      </w:pPr>
      <w:r w:rsidRPr="00C05A15">
        <w:rPr>
          <w:noProof/>
        </w:rPr>
        <w:t>Table 2</w:t>
      </w:r>
      <w:r>
        <w:rPr>
          <w:rFonts w:asciiTheme="minorHAnsi" w:eastAsiaTheme="minorEastAsia" w:hAnsiTheme="minorHAnsi"/>
          <w:noProof/>
          <w:color w:val="auto"/>
          <w:sz w:val="22"/>
          <w:lang w:eastAsia="en-AU"/>
        </w:rPr>
        <w:tab/>
      </w:r>
      <w:r w:rsidRPr="00C05A15">
        <w:rPr>
          <w:noProof/>
        </w:rPr>
        <w:t>Electricity sector policies analysed, by category</w:t>
      </w:r>
      <w:r>
        <w:rPr>
          <w:noProof/>
          <w:webHidden/>
        </w:rPr>
        <w:tab/>
        <w:t>31</w:t>
      </w:r>
    </w:p>
    <w:p w:rsidR="00CA762C" w:rsidRDefault="00CA762C">
      <w:pPr>
        <w:pStyle w:val="TableofFigures"/>
        <w:rPr>
          <w:rFonts w:asciiTheme="minorHAnsi" w:eastAsiaTheme="minorEastAsia" w:hAnsiTheme="minorHAnsi"/>
          <w:noProof/>
          <w:color w:val="auto"/>
          <w:sz w:val="22"/>
          <w:lang w:eastAsia="en-AU"/>
        </w:rPr>
      </w:pPr>
      <w:r w:rsidRPr="00C05A15">
        <w:rPr>
          <w:noProof/>
        </w:rPr>
        <w:t>Table 3</w:t>
      </w:r>
      <w:r>
        <w:rPr>
          <w:rFonts w:asciiTheme="minorHAnsi" w:eastAsiaTheme="minorEastAsia" w:hAnsiTheme="minorHAnsi"/>
          <w:noProof/>
          <w:color w:val="auto"/>
          <w:sz w:val="22"/>
          <w:lang w:eastAsia="en-AU"/>
        </w:rPr>
        <w:tab/>
      </w:r>
      <w:r w:rsidRPr="00C05A15">
        <w:rPr>
          <w:noProof/>
        </w:rPr>
        <w:t>Description of electricity sector policies</w:t>
      </w:r>
      <w:r>
        <w:rPr>
          <w:noProof/>
          <w:webHidden/>
        </w:rPr>
        <w:tab/>
        <w:t>33</w:t>
      </w:r>
    </w:p>
    <w:p w:rsidR="00CA762C" w:rsidRDefault="00CA762C">
      <w:pPr>
        <w:pStyle w:val="TableofFigures"/>
        <w:rPr>
          <w:rFonts w:asciiTheme="minorHAnsi" w:eastAsiaTheme="minorEastAsia" w:hAnsiTheme="minorHAnsi"/>
          <w:noProof/>
          <w:color w:val="auto"/>
          <w:sz w:val="22"/>
          <w:lang w:eastAsia="en-AU"/>
        </w:rPr>
      </w:pPr>
      <w:r w:rsidRPr="00C05A15">
        <w:rPr>
          <w:noProof/>
        </w:rPr>
        <w:t>Table 4</w:t>
      </w:r>
      <w:r>
        <w:rPr>
          <w:rFonts w:asciiTheme="minorHAnsi" w:eastAsiaTheme="minorEastAsia" w:hAnsiTheme="minorHAnsi"/>
          <w:noProof/>
          <w:color w:val="auto"/>
          <w:sz w:val="22"/>
          <w:lang w:eastAsia="en-AU"/>
        </w:rPr>
        <w:tab/>
      </w:r>
      <w:r w:rsidRPr="00C05A15">
        <w:rPr>
          <w:noProof/>
        </w:rPr>
        <w:t>Summary of CGE modelling policy scenarios</w:t>
      </w:r>
      <w:r>
        <w:rPr>
          <w:noProof/>
          <w:webHidden/>
        </w:rPr>
        <w:tab/>
        <w:t>40</w:t>
      </w:r>
    </w:p>
    <w:p w:rsidR="00CA762C" w:rsidRDefault="00CA762C">
      <w:pPr>
        <w:pStyle w:val="TableofFigures"/>
        <w:rPr>
          <w:rFonts w:asciiTheme="minorHAnsi" w:eastAsiaTheme="minorEastAsia" w:hAnsiTheme="minorHAnsi"/>
          <w:noProof/>
          <w:color w:val="auto"/>
          <w:sz w:val="22"/>
          <w:lang w:eastAsia="en-AU"/>
        </w:rPr>
      </w:pPr>
      <w:r w:rsidRPr="00C05A15">
        <w:rPr>
          <w:noProof/>
        </w:rPr>
        <w:t>Table 5</w:t>
      </w:r>
      <w:r>
        <w:rPr>
          <w:rFonts w:asciiTheme="minorHAnsi" w:eastAsiaTheme="minorEastAsia" w:hAnsiTheme="minorHAnsi"/>
          <w:noProof/>
          <w:color w:val="auto"/>
          <w:sz w:val="22"/>
          <w:lang w:eastAsia="en-AU"/>
        </w:rPr>
        <w:tab/>
      </w:r>
      <w:r w:rsidRPr="00C05A15">
        <w:rPr>
          <w:noProof/>
        </w:rPr>
        <w:t>Related modelling studies overview</w:t>
      </w:r>
      <w:r>
        <w:rPr>
          <w:noProof/>
          <w:webHidden/>
        </w:rPr>
        <w:tab/>
        <w:t>41</w:t>
      </w:r>
    </w:p>
    <w:p w:rsidR="00CA762C" w:rsidRDefault="00CA762C">
      <w:pPr>
        <w:pStyle w:val="TableofFigures"/>
        <w:rPr>
          <w:rFonts w:asciiTheme="minorHAnsi" w:eastAsiaTheme="minorEastAsia" w:hAnsiTheme="minorHAnsi"/>
          <w:noProof/>
          <w:color w:val="auto"/>
          <w:sz w:val="22"/>
          <w:lang w:eastAsia="en-AU"/>
        </w:rPr>
      </w:pPr>
      <w:r w:rsidRPr="00C05A15">
        <w:rPr>
          <w:noProof/>
        </w:rPr>
        <w:t>Table 6</w:t>
      </w:r>
      <w:r>
        <w:rPr>
          <w:rFonts w:asciiTheme="minorHAnsi" w:eastAsiaTheme="minorEastAsia" w:hAnsiTheme="minorHAnsi"/>
          <w:noProof/>
          <w:color w:val="auto"/>
          <w:sz w:val="22"/>
          <w:lang w:eastAsia="en-AU"/>
        </w:rPr>
        <w:tab/>
      </w:r>
      <w:r w:rsidRPr="00C05A15">
        <w:rPr>
          <w:noProof/>
        </w:rPr>
        <w:t>Projections of gross national income, economy-wide modelling, relative to cap and trade (lump sum), 2020–2050</w:t>
      </w:r>
      <w:r>
        <w:rPr>
          <w:noProof/>
          <w:webHidden/>
        </w:rPr>
        <w:tab/>
        <w:t>56</w:t>
      </w:r>
    </w:p>
    <w:p w:rsidR="00CA762C" w:rsidRDefault="00CA762C">
      <w:pPr>
        <w:pStyle w:val="TableofFigures"/>
        <w:rPr>
          <w:rFonts w:asciiTheme="minorHAnsi" w:eastAsiaTheme="minorEastAsia" w:hAnsiTheme="minorHAnsi"/>
          <w:noProof/>
          <w:color w:val="auto"/>
          <w:sz w:val="22"/>
          <w:lang w:eastAsia="en-AU"/>
        </w:rPr>
      </w:pPr>
      <w:r w:rsidRPr="00C05A15">
        <w:rPr>
          <w:noProof/>
        </w:rPr>
        <w:t>Table 7</w:t>
      </w:r>
      <w:r>
        <w:rPr>
          <w:rFonts w:asciiTheme="minorHAnsi" w:eastAsiaTheme="minorEastAsia" w:hAnsiTheme="minorHAnsi"/>
          <w:noProof/>
          <w:color w:val="auto"/>
          <w:sz w:val="22"/>
          <w:lang w:eastAsia="en-AU"/>
        </w:rPr>
        <w:tab/>
      </w:r>
      <w:r w:rsidRPr="00C05A15">
        <w:rPr>
          <w:noProof/>
        </w:rPr>
        <w:t>Relationship between modelling questions, sensitivities and policies</w:t>
      </w:r>
      <w:r>
        <w:rPr>
          <w:noProof/>
          <w:webHidden/>
        </w:rPr>
        <w:tab/>
        <w:t>72</w:t>
      </w:r>
    </w:p>
    <w:p w:rsidR="00CA762C" w:rsidRDefault="00CA762C">
      <w:pPr>
        <w:pStyle w:val="TableofFigures"/>
        <w:rPr>
          <w:rFonts w:asciiTheme="minorHAnsi" w:eastAsiaTheme="minorEastAsia" w:hAnsiTheme="minorHAnsi"/>
          <w:noProof/>
          <w:color w:val="auto"/>
          <w:sz w:val="22"/>
          <w:lang w:eastAsia="en-AU"/>
        </w:rPr>
      </w:pPr>
      <w:r w:rsidRPr="00C05A15">
        <w:rPr>
          <w:noProof/>
        </w:rPr>
        <w:t>Table 8</w:t>
      </w:r>
      <w:r>
        <w:rPr>
          <w:rFonts w:asciiTheme="minorHAnsi" w:eastAsiaTheme="minorEastAsia" w:hAnsiTheme="minorHAnsi"/>
          <w:noProof/>
          <w:color w:val="auto"/>
          <w:sz w:val="22"/>
          <w:lang w:eastAsia="en-AU"/>
        </w:rPr>
        <w:tab/>
      </w:r>
      <w:r w:rsidRPr="00C05A15">
        <w:rPr>
          <w:noProof/>
        </w:rPr>
        <w:t>Key modelling assumptions for core scenarios</w:t>
      </w:r>
      <w:r>
        <w:rPr>
          <w:noProof/>
          <w:webHidden/>
        </w:rPr>
        <w:tab/>
        <w:t>73</w:t>
      </w:r>
    </w:p>
    <w:p w:rsidR="00CA762C" w:rsidRDefault="00CA762C">
      <w:pPr>
        <w:pStyle w:val="TableofFigures"/>
        <w:rPr>
          <w:rFonts w:asciiTheme="minorHAnsi" w:eastAsiaTheme="minorEastAsia" w:hAnsiTheme="minorHAnsi"/>
          <w:noProof/>
          <w:color w:val="auto"/>
          <w:sz w:val="22"/>
          <w:lang w:eastAsia="en-AU"/>
        </w:rPr>
      </w:pPr>
      <w:r w:rsidRPr="00C05A15">
        <w:rPr>
          <w:noProof/>
        </w:rPr>
        <w:t>Table 9</w:t>
      </w:r>
      <w:r>
        <w:rPr>
          <w:rFonts w:asciiTheme="minorHAnsi" w:eastAsiaTheme="minorEastAsia" w:hAnsiTheme="minorHAnsi"/>
          <w:noProof/>
          <w:color w:val="auto"/>
          <w:sz w:val="22"/>
          <w:lang w:eastAsia="en-AU"/>
        </w:rPr>
        <w:tab/>
      </w:r>
      <w:r w:rsidRPr="00C05A15">
        <w:rPr>
          <w:noProof/>
        </w:rPr>
        <w:t>Share of generation by technology type, 2 degrees, 2030 and 2050</w:t>
      </w:r>
      <w:r>
        <w:rPr>
          <w:noProof/>
          <w:webHidden/>
        </w:rPr>
        <w:tab/>
        <w:t>75</w:t>
      </w:r>
    </w:p>
    <w:p w:rsidR="00CA762C" w:rsidRDefault="00CA762C">
      <w:pPr>
        <w:pStyle w:val="TableofFigures"/>
        <w:rPr>
          <w:rFonts w:asciiTheme="minorHAnsi" w:eastAsiaTheme="minorEastAsia" w:hAnsiTheme="minorHAnsi"/>
          <w:noProof/>
          <w:color w:val="auto"/>
          <w:sz w:val="22"/>
          <w:lang w:eastAsia="en-AU"/>
        </w:rPr>
      </w:pPr>
      <w:r w:rsidRPr="00C05A15">
        <w:rPr>
          <w:noProof/>
        </w:rPr>
        <w:t>Table 10</w:t>
      </w:r>
      <w:r>
        <w:rPr>
          <w:rFonts w:asciiTheme="minorHAnsi" w:eastAsiaTheme="minorEastAsia" w:hAnsiTheme="minorHAnsi"/>
          <w:noProof/>
          <w:color w:val="auto"/>
          <w:sz w:val="22"/>
          <w:lang w:eastAsia="en-AU"/>
        </w:rPr>
        <w:tab/>
      </w:r>
      <w:r w:rsidRPr="00C05A15">
        <w:rPr>
          <w:noProof/>
        </w:rPr>
        <w:t>Overview of macroeconomic assumptions, economy-wide modelling</w:t>
      </w:r>
      <w:r>
        <w:rPr>
          <w:noProof/>
          <w:webHidden/>
        </w:rPr>
        <w:tab/>
        <w:t>87</w:t>
      </w:r>
    </w:p>
    <w:p w:rsidR="00CA762C" w:rsidRDefault="00CA762C">
      <w:pPr>
        <w:pStyle w:val="TableofFigures"/>
        <w:rPr>
          <w:rFonts w:asciiTheme="minorHAnsi" w:eastAsiaTheme="minorEastAsia" w:hAnsiTheme="minorHAnsi"/>
          <w:noProof/>
          <w:color w:val="auto"/>
          <w:sz w:val="22"/>
          <w:lang w:eastAsia="en-AU"/>
        </w:rPr>
      </w:pPr>
      <w:r w:rsidRPr="00C05A15">
        <w:rPr>
          <w:noProof/>
        </w:rPr>
        <w:t>Table 11</w:t>
      </w:r>
      <w:r>
        <w:rPr>
          <w:rFonts w:asciiTheme="minorHAnsi" w:eastAsiaTheme="minorEastAsia" w:hAnsiTheme="minorHAnsi"/>
          <w:noProof/>
          <w:color w:val="auto"/>
          <w:sz w:val="22"/>
          <w:lang w:eastAsia="en-AU"/>
        </w:rPr>
        <w:tab/>
      </w:r>
      <w:r w:rsidRPr="00C05A15">
        <w:rPr>
          <w:noProof/>
        </w:rPr>
        <w:t>Share of generation by technology type by scenario, economy-wide modelling, 2030 and 2050</w:t>
      </w:r>
      <w:r>
        <w:rPr>
          <w:noProof/>
          <w:webHidden/>
        </w:rPr>
        <w:tab/>
        <w:t>89</w:t>
      </w:r>
    </w:p>
    <w:p w:rsidR="00CA762C" w:rsidRDefault="00CA762C">
      <w:pPr>
        <w:pStyle w:val="TableofFigures"/>
        <w:rPr>
          <w:rFonts w:asciiTheme="minorHAnsi" w:eastAsiaTheme="minorEastAsia" w:hAnsiTheme="minorHAnsi"/>
          <w:noProof/>
          <w:color w:val="auto"/>
          <w:sz w:val="22"/>
          <w:lang w:eastAsia="en-AU"/>
        </w:rPr>
      </w:pPr>
      <w:r w:rsidRPr="00C05A15">
        <w:rPr>
          <w:noProof/>
        </w:rPr>
        <w:t>Table 12</w:t>
      </w:r>
      <w:r>
        <w:rPr>
          <w:rFonts w:asciiTheme="minorHAnsi" w:eastAsiaTheme="minorEastAsia" w:hAnsiTheme="minorHAnsi"/>
          <w:noProof/>
          <w:color w:val="auto"/>
          <w:sz w:val="22"/>
          <w:lang w:eastAsia="en-AU"/>
        </w:rPr>
        <w:tab/>
      </w:r>
      <w:r w:rsidRPr="00C05A15">
        <w:rPr>
          <w:noProof/>
        </w:rPr>
        <w:t>Projections of gross national income, economy-wide modelling, relative to cap and trade (lump sum), 2020–2050</w:t>
      </w:r>
      <w:r>
        <w:rPr>
          <w:noProof/>
          <w:webHidden/>
        </w:rPr>
        <w:tab/>
        <w:t>92</w:t>
      </w:r>
    </w:p>
    <w:p w:rsidR="00CA762C" w:rsidRDefault="00CA762C">
      <w:pPr>
        <w:pStyle w:val="TableofFigures"/>
        <w:rPr>
          <w:rFonts w:asciiTheme="minorHAnsi" w:eastAsiaTheme="minorEastAsia" w:hAnsiTheme="minorHAnsi"/>
          <w:noProof/>
          <w:color w:val="auto"/>
          <w:sz w:val="22"/>
          <w:lang w:eastAsia="en-AU"/>
        </w:rPr>
      </w:pPr>
      <w:r w:rsidRPr="00C05A15">
        <w:rPr>
          <w:noProof/>
        </w:rPr>
        <w:t>Table 13</w:t>
      </w:r>
      <w:r>
        <w:rPr>
          <w:rFonts w:asciiTheme="minorHAnsi" w:eastAsiaTheme="minorEastAsia" w:hAnsiTheme="minorHAnsi"/>
          <w:noProof/>
          <w:color w:val="auto"/>
          <w:sz w:val="22"/>
          <w:lang w:eastAsia="en-AU"/>
        </w:rPr>
        <w:tab/>
      </w:r>
      <w:r w:rsidRPr="00C05A15">
        <w:rPr>
          <w:noProof/>
        </w:rPr>
        <w:t>Change in sectoral gross value added, economy</w:t>
      </w:r>
      <w:r w:rsidRPr="00C05A15">
        <w:rPr>
          <w:noProof/>
        </w:rPr>
        <w:noBreakHyphen/>
        <w:t>wide modelling, relative to cap and trade (lump sum) scenario, 2020–2050</w:t>
      </w:r>
      <w:r>
        <w:rPr>
          <w:noProof/>
          <w:webHidden/>
        </w:rPr>
        <w:tab/>
        <w:t>94</w:t>
      </w:r>
    </w:p>
    <w:p w:rsidR="008B6AC6" w:rsidRDefault="008B6AC6" w:rsidP="008B6AC6"/>
    <w:p w:rsidR="008B6AC6" w:rsidRDefault="008B6AC6" w:rsidP="008B6AC6">
      <w:pPr>
        <w:pStyle w:val="NoSpacing"/>
      </w:pPr>
    </w:p>
    <w:p w:rsidR="00AB0FD2" w:rsidRDefault="00AB0FD2" w:rsidP="001344B4">
      <w:pPr>
        <w:pStyle w:val="TOCHeading"/>
        <w:tabs>
          <w:tab w:val="left" w:pos="4290"/>
        </w:tabs>
      </w:pPr>
      <w:bookmarkStart w:id="4" w:name="_Toc447182744"/>
      <w:r>
        <w:t>Boxes</w:t>
      </w:r>
      <w:bookmarkEnd w:id="4"/>
      <w:r w:rsidR="001344B4">
        <w:tab/>
      </w:r>
    </w:p>
    <w:p w:rsidR="00CA762C" w:rsidRDefault="00CA762C" w:rsidP="00487433">
      <w:pPr>
        <w:pStyle w:val="TOC4"/>
        <w:rPr>
          <w:rFonts w:asciiTheme="minorHAnsi" w:eastAsiaTheme="minorEastAsia" w:hAnsiTheme="minorHAnsi"/>
          <w:color w:val="auto"/>
          <w:sz w:val="22"/>
          <w:lang w:eastAsia="en-AU"/>
        </w:rPr>
      </w:pPr>
      <w:r w:rsidRPr="00C05A15">
        <w:t>Box 1</w:t>
      </w:r>
      <w:r>
        <w:rPr>
          <w:rFonts w:asciiTheme="minorHAnsi" w:eastAsiaTheme="minorEastAsia" w:hAnsiTheme="minorHAnsi"/>
          <w:color w:val="auto"/>
          <w:sz w:val="22"/>
          <w:lang w:eastAsia="en-AU"/>
        </w:rPr>
        <w:tab/>
      </w:r>
      <w:r w:rsidRPr="00C05A15">
        <w:t>Electricity reliability, security and intermittent renewable generation</w:t>
      </w:r>
      <w:r>
        <w:rPr>
          <w:webHidden/>
        </w:rPr>
        <w:tab/>
        <w:t>21</w:t>
      </w:r>
    </w:p>
    <w:p w:rsidR="00CA762C" w:rsidRDefault="00CA762C" w:rsidP="00487433">
      <w:pPr>
        <w:pStyle w:val="TOC4"/>
        <w:rPr>
          <w:rFonts w:asciiTheme="minorHAnsi" w:eastAsiaTheme="minorEastAsia" w:hAnsiTheme="minorHAnsi"/>
          <w:color w:val="auto"/>
          <w:sz w:val="22"/>
          <w:lang w:eastAsia="en-AU"/>
        </w:rPr>
      </w:pPr>
      <w:r w:rsidRPr="00C05A15">
        <w:t>Box 2</w:t>
      </w:r>
      <w:r>
        <w:rPr>
          <w:rFonts w:asciiTheme="minorHAnsi" w:eastAsiaTheme="minorEastAsia" w:hAnsiTheme="minorHAnsi"/>
          <w:color w:val="auto"/>
          <w:sz w:val="22"/>
          <w:lang w:eastAsia="en-AU"/>
        </w:rPr>
        <w:tab/>
      </w:r>
      <w:r w:rsidRPr="00C05A15">
        <w:t>Wholesale electricity markets and interaction with climate policies</w:t>
      </w:r>
      <w:r>
        <w:rPr>
          <w:webHidden/>
        </w:rPr>
        <w:tab/>
        <w:t>26</w:t>
      </w:r>
    </w:p>
    <w:p w:rsidR="00CA762C" w:rsidRDefault="00CA762C" w:rsidP="00487433">
      <w:pPr>
        <w:pStyle w:val="TOC4"/>
        <w:rPr>
          <w:rFonts w:asciiTheme="minorHAnsi" w:eastAsiaTheme="minorEastAsia" w:hAnsiTheme="minorHAnsi"/>
          <w:color w:val="auto"/>
          <w:sz w:val="22"/>
          <w:lang w:eastAsia="en-AU"/>
        </w:rPr>
      </w:pPr>
      <w:r w:rsidRPr="00C05A15">
        <w:t>Box 3</w:t>
      </w:r>
      <w:r>
        <w:rPr>
          <w:rFonts w:asciiTheme="minorHAnsi" w:eastAsiaTheme="minorEastAsia" w:hAnsiTheme="minorHAnsi"/>
          <w:color w:val="auto"/>
          <w:sz w:val="22"/>
          <w:lang w:eastAsia="en-AU"/>
        </w:rPr>
        <w:tab/>
      </w:r>
      <w:r w:rsidRPr="00C05A15">
        <w:t>Important electricity terms</w:t>
      </w:r>
      <w:r>
        <w:rPr>
          <w:webHidden/>
        </w:rPr>
        <w:tab/>
        <w:t>29</w:t>
      </w:r>
    </w:p>
    <w:p w:rsidR="00CA762C" w:rsidRDefault="00CA762C" w:rsidP="00487433">
      <w:pPr>
        <w:pStyle w:val="TOC4"/>
        <w:rPr>
          <w:rFonts w:asciiTheme="minorHAnsi" w:eastAsiaTheme="minorEastAsia" w:hAnsiTheme="minorHAnsi"/>
          <w:color w:val="auto"/>
          <w:sz w:val="22"/>
          <w:lang w:eastAsia="en-AU"/>
        </w:rPr>
      </w:pPr>
      <w:r w:rsidRPr="00C05A15">
        <w:t>Box 4</w:t>
      </w:r>
      <w:r>
        <w:rPr>
          <w:rFonts w:asciiTheme="minorHAnsi" w:eastAsiaTheme="minorEastAsia" w:hAnsiTheme="minorHAnsi"/>
          <w:color w:val="auto"/>
          <w:sz w:val="22"/>
          <w:lang w:eastAsia="en-AU"/>
        </w:rPr>
        <w:tab/>
      </w:r>
      <w:r w:rsidRPr="00C05A15">
        <w:t>Small-scale technologies: drivers of uptake and implications for climate policy</w:t>
      </w:r>
      <w:r>
        <w:rPr>
          <w:webHidden/>
        </w:rPr>
        <w:tab/>
        <w:t>32</w:t>
      </w:r>
    </w:p>
    <w:p w:rsidR="00CA762C" w:rsidRDefault="00CA762C" w:rsidP="00487433">
      <w:pPr>
        <w:pStyle w:val="TOC4"/>
        <w:rPr>
          <w:rFonts w:asciiTheme="minorHAnsi" w:eastAsiaTheme="minorEastAsia" w:hAnsiTheme="minorHAnsi"/>
          <w:color w:val="auto"/>
          <w:sz w:val="22"/>
          <w:lang w:eastAsia="en-AU"/>
        </w:rPr>
      </w:pPr>
      <w:r w:rsidRPr="00C05A15">
        <w:t>Box 5</w:t>
      </w:r>
      <w:r>
        <w:rPr>
          <w:rFonts w:asciiTheme="minorHAnsi" w:eastAsiaTheme="minorEastAsia" w:hAnsiTheme="minorHAnsi"/>
          <w:color w:val="auto"/>
          <w:sz w:val="22"/>
          <w:lang w:eastAsia="en-AU"/>
        </w:rPr>
        <w:tab/>
      </w:r>
      <w:r w:rsidRPr="00C05A15">
        <w:t>Emissions intensity scheme: overview</w:t>
      </w:r>
      <w:r>
        <w:rPr>
          <w:webHidden/>
        </w:rPr>
        <w:tab/>
        <w:t>34</w:t>
      </w:r>
    </w:p>
    <w:p w:rsidR="00CA762C" w:rsidRDefault="00CA762C" w:rsidP="00487433">
      <w:pPr>
        <w:pStyle w:val="TOC4"/>
        <w:rPr>
          <w:rFonts w:asciiTheme="minorHAnsi" w:eastAsiaTheme="minorEastAsia" w:hAnsiTheme="minorHAnsi"/>
          <w:color w:val="auto"/>
          <w:sz w:val="22"/>
          <w:lang w:eastAsia="en-AU"/>
        </w:rPr>
      </w:pPr>
      <w:r w:rsidRPr="00C05A15">
        <w:t>Box 6</w:t>
      </w:r>
      <w:r>
        <w:rPr>
          <w:rFonts w:asciiTheme="minorHAnsi" w:eastAsiaTheme="minorEastAsia" w:hAnsiTheme="minorHAnsi"/>
          <w:color w:val="auto"/>
          <w:sz w:val="22"/>
          <w:lang w:eastAsia="en-AU"/>
        </w:rPr>
        <w:tab/>
      </w:r>
      <w:r w:rsidRPr="00C05A15">
        <w:t>Supply- and demand-side emissions reductions from supply-side policies</w:t>
      </w:r>
      <w:r>
        <w:rPr>
          <w:webHidden/>
        </w:rPr>
        <w:tab/>
        <w:t>54</w:t>
      </w:r>
    </w:p>
    <w:p w:rsidR="00CA762C" w:rsidRDefault="00CA762C" w:rsidP="00487433">
      <w:pPr>
        <w:pStyle w:val="TOC4"/>
        <w:rPr>
          <w:rFonts w:asciiTheme="minorHAnsi" w:eastAsiaTheme="minorEastAsia" w:hAnsiTheme="minorHAnsi"/>
          <w:color w:val="auto"/>
          <w:sz w:val="22"/>
          <w:lang w:eastAsia="en-AU"/>
        </w:rPr>
      </w:pPr>
      <w:r w:rsidRPr="00C05A15">
        <w:t>Box 7</w:t>
      </w:r>
      <w:r>
        <w:rPr>
          <w:rFonts w:asciiTheme="minorHAnsi" w:eastAsiaTheme="minorEastAsia" w:hAnsiTheme="minorHAnsi"/>
          <w:color w:val="auto"/>
          <w:sz w:val="22"/>
          <w:lang w:eastAsia="en-AU"/>
        </w:rPr>
        <w:tab/>
      </w:r>
      <w:r w:rsidRPr="00C05A15">
        <w:t>Renewable energy targets, low emissions targets, and contracts for difference: exploring technology pull policies</w:t>
      </w:r>
      <w:r>
        <w:rPr>
          <w:webHidden/>
        </w:rPr>
        <w:tab/>
        <w:t>64</w:t>
      </w:r>
    </w:p>
    <w:p w:rsidR="006D2AC1" w:rsidRDefault="006D2AC1" w:rsidP="006D2AC1"/>
    <w:p w:rsidR="006D2AC1" w:rsidRDefault="006D2AC1" w:rsidP="006D2AC1">
      <w:pPr>
        <w:pStyle w:val="NoSpacing"/>
      </w:pPr>
    </w:p>
    <w:p w:rsidR="002A737B" w:rsidRDefault="002A737B" w:rsidP="00BB19C8">
      <w:pPr>
        <w:pStyle w:val="InstructionalText"/>
      </w:pPr>
    </w:p>
    <w:p w:rsidR="008B6AC6" w:rsidRDefault="008B6AC6" w:rsidP="008B6AC6">
      <w:pPr>
        <w:sectPr w:rsidR="008B6AC6" w:rsidSect="00165111">
          <w:headerReference w:type="even" r:id="rId19"/>
          <w:headerReference w:type="default" r:id="rId20"/>
          <w:footerReference w:type="default" r:id="rId21"/>
          <w:headerReference w:type="first" r:id="rId22"/>
          <w:pgSz w:w="11907" w:h="16839" w:code="9"/>
          <w:pgMar w:top="1134" w:right="1134" w:bottom="1134" w:left="1134" w:header="720" w:footer="720" w:gutter="0"/>
          <w:pgNumType w:fmt="lowerRoman" w:start="1"/>
          <w:cols w:space="720"/>
          <w:docGrid w:linePitch="360"/>
        </w:sectPr>
      </w:pPr>
    </w:p>
    <w:p w:rsidR="00CD484A" w:rsidRDefault="000A700B" w:rsidP="00CD484A">
      <w:pPr>
        <w:pStyle w:val="Headingnon-numbered"/>
      </w:pPr>
      <w:bookmarkStart w:id="5" w:name="_Toc460317971"/>
      <w:bookmarkStart w:id="6" w:name="_Toc447183378"/>
      <w:bookmarkStart w:id="7" w:name="_Toc447183466"/>
      <w:bookmarkStart w:id="8" w:name="_Toc447183525"/>
      <w:r>
        <w:lastRenderedPageBreak/>
        <w:t>Chair’s foreword</w:t>
      </w:r>
      <w:bookmarkEnd w:id="5"/>
    </w:p>
    <w:p w:rsidR="00941E4B" w:rsidRDefault="006F061A" w:rsidP="009D0F88">
      <w:pPr>
        <w:pStyle w:val="BodyText"/>
      </w:pPr>
      <w:r w:rsidRPr="00F21C61">
        <w:t>The Climate Change</w:t>
      </w:r>
      <w:r>
        <w:t xml:space="preserve"> Authority has today released a</w:t>
      </w:r>
      <w:r w:rsidR="00CD1628">
        <w:t xml:space="preserve"> </w:t>
      </w:r>
      <w:r w:rsidR="00AD11F0">
        <w:t>research report</w:t>
      </w:r>
      <w:r>
        <w:t xml:space="preserve"> on options to reduce emissions from the electricity generation supply sector as part of the Authority’s Special Review into Australia’s climate policy. </w:t>
      </w:r>
      <w:r w:rsidR="00471206">
        <w:t>The analysis in this report has informed the Authority’s final recommendations on policies for the electricity sector outlined in ‘Report Three’ of the Special Review (</w:t>
      </w:r>
      <w:r w:rsidR="00471206">
        <w:rPr>
          <w:i/>
        </w:rPr>
        <w:t>Towards a climate policy toolkit: Special Review on Australia’s climate goals and policies</w:t>
      </w:r>
      <w:r w:rsidR="00471206">
        <w:t>).</w:t>
      </w:r>
      <w:r w:rsidR="007F4CAF">
        <w:t xml:space="preserve"> </w:t>
      </w:r>
      <w:r w:rsidR="00941E4B">
        <w:t xml:space="preserve">This report was originally intended for consultation and is now being released as a research report alongside Report Three. </w:t>
      </w:r>
    </w:p>
    <w:p w:rsidR="006F061A" w:rsidRDefault="006F061A" w:rsidP="009D0F88">
      <w:pPr>
        <w:pStyle w:val="BodyText"/>
      </w:pPr>
      <w:r>
        <w:t xml:space="preserve">This </w:t>
      </w:r>
      <w:r w:rsidR="00AD11F0">
        <w:t xml:space="preserve">report </w:t>
      </w:r>
      <w:r>
        <w:t xml:space="preserve">focuses on the key sector of electricity which accounts around one-third of Australia’s emissions and is a key driver of our economic growth and prosperity. Of course, electricity is only one part of the climate change challenge—other sectors will need to play their part. Significant emissions reductions opportunities elsewhere in the economy will need to be realised and the Authority </w:t>
      </w:r>
      <w:r w:rsidR="00231E0C">
        <w:t>has</w:t>
      </w:r>
      <w:r>
        <w:t xml:space="preserve"> consider</w:t>
      </w:r>
      <w:r w:rsidR="00231E0C">
        <w:t>ed</w:t>
      </w:r>
      <w:r>
        <w:t xml:space="preserve"> electricity emissions reductions as part of a toolkit of policies to achieve economy wide emissions reductions. </w:t>
      </w:r>
    </w:p>
    <w:p w:rsidR="006F061A" w:rsidRDefault="006F061A" w:rsidP="009D0F88">
      <w:pPr>
        <w:pStyle w:val="BodyText"/>
      </w:pPr>
      <w:proofErr w:type="gramStart"/>
      <w:r w:rsidRPr="009D0F88">
        <w:rPr>
          <w:i/>
        </w:rPr>
        <w:t xml:space="preserve">Policy </w:t>
      </w:r>
      <w:r w:rsidR="00CA762C">
        <w:rPr>
          <w:i/>
        </w:rPr>
        <w:t>o</w:t>
      </w:r>
      <w:r w:rsidRPr="009D0F88">
        <w:rPr>
          <w:i/>
        </w:rPr>
        <w:t xml:space="preserve">ptions for </w:t>
      </w:r>
      <w:r>
        <w:rPr>
          <w:i/>
        </w:rPr>
        <w:t>Australia’s</w:t>
      </w:r>
      <w:r w:rsidRPr="009D0F88">
        <w:rPr>
          <w:i/>
        </w:rPr>
        <w:t xml:space="preserve"> </w:t>
      </w:r>
      <w:r w:rsidR="00CA762C">
        <w:rPr>
          <w:i/>
        </w:rPr>
        <w:t>e</w:t>
      </w:r>
      <w:r w:rsidRPr="009D0F88">
        <w:rPr>
          <w:i/>
        </w:rPr>
        <w:t xml:space="preserve">lectricity </w:t>
      </w:r>
      <w:r w:rsidR="00CA762C">
        <w:rPr>
          <w:i/>
        </w:rPr>
        <w:t>s</w:t>
      </w:r>
      <w:r>
        <w:rPr>
          <w:i/>
        </w:rPr>
        <w:t xml:space="preserve">upply </w:t>
      </w:r>
      <w:r w:rsidR="00CA762C">
        <w:rPr>
          <w:i/>
        </w:rPr>
        <w:t>s</w:t>
      </w:r>
      <w:r w:rsidRPr="0057470D">
        <w:rPr>
          <w:i/>
        </w:rPr>
        <w:t xml:space="preserve">ector </w:t>
      </w:r>
      <w:r>
        <w:t>compares</w:t>
      </w:r>
      <w:proofErr w:type="gramEnd"/>
      <w:r>
        <w:t xml:space="preserve"> the performance of different policies that could be applied to the electricity sector to meet a demanding emissions reduction constraint consistent with limiting warming to 2 degrees</w:t>
      </w:r>
      <w:r w:rsidRPr="00071BA5">
        <w:t>.</w:t>
      </w:r>
      <w:r>
        <w:t xml:space="preserve">  </w:t>
      </w:r>
    </w:p>
    <w:p w:rsidR="006F061A" w:rsidRDefault="006F061A" w:rsidP="009D0F88">
      <w:pPr>
        <w:pStyle w:val="BodyText"/>
      </w:pPr>
      <w:r>
        <w:t>The Authority is of the view that Australia cannot make the transition to a lower emissions economy without taking strong action over coming decades to decarbonise the electricity sector.</w:t>
      </w:r>
    </w:p>
    <w:p w:rsidR="006F061A" w:rsidRPr="00471206" w:rsidRDefault="006F061A" w:rsidP="009D0F88">
      <w:pPr>
        <w:pStyle w:val="BodyText"/>
      </w:pPr>
      <w:r>
        <w:t xml:space="preserve">With this in mind, the Authority has indicated in this </w:t>
      </w:r>
      <w:r w:rsidR="00AD11F0">
        <w:t xml:space="preserve">report </w:t>
      </w:r>
      <w:r w:rsidR="00471206">
        <w:t>its view that</w:t>
      </w:r>
      <w:r>
        <w:t xml:space="preserve"> a </w:t>
      </w:r>
      <w:r w:rsidR="0057470D">
        <w:t>market mechanism</w:t>
      </w:r>
      <w:r>
        <w:t xml:space="preserve"> of some sort </w:t>
      </w:r>
      <w:r w:rsidR="00471206">
        <w:t>should be implemented in</w:t>
      </w:r>
      <w:r>
        <w:t xml:space="preserve"> the electricity sector. </w:t>
      </w:r>
      <w:r w:rsidRPr="002474EA">
        <w:t xml:space="preserve">Economic analysis, including the Authority’s modelling, suggests that a </w:t>
      </w:r>
      <w:r w:rsidR="00C10CAE">
        <w:t>market mechanism</w:t>
      </w:r>
      <w:r w:rsidRPr="002474EA">
        <w:t xml:space="preserve"> for electricity would allow Australia to meet its targets at a lower cost to the community than would be possible without such a policy in the toolkit</w:t>
      </w:r>
      <w:r>
        <w:t>.</w:t>
      </w:r>
      <w:r w:rsidR="00B97C5C">
        <w:t xml:space="preserve"> </w:t>
      </w:r>
    </w:p>
    <w:p w:rsidR="00001C04" w:rsidRDefault="00D373CE" w:rsidP="009D0F88">
      <w:pPr>
        <w:pStyle w:val="BodyText"/>
      </w:pPr>
      <w:r>
        <w:t>M</w:t>
      </w:r>
      <w:r w:rsidR="00C10CAE">
        <w:t>arket mechanisms</w:t>
      </w:r>
      <w:r w:rsidR="006F061A">
        <w:t xml:space="preserve"> can take many forms. In its second report of the Special Review, the Authority characterised carbon taxes, baseline and credit, cap and trade and emissions intensity schemes as options for a </w:t>
      </w:r>
      <w:r w:rsidR="00C10CAE">
        <w:t>market mechanism</w:t>
      </w:r>
      <w:r w:rsidR="006F061A">
        <w:t xml:space="preserve">. </w:t>
      </w:r>
      <w:r w:rsidR="006F061A" w:rsidRPr="0057470D">
        <w:t>In th</w:t>
      </w:r>
      <w:r w:rsidR="005521E0" w:rsidRPr="0057470D">
        <w:t>at report</w:t>
      </w:r>
      <w:r w:rsidR="006F061A">
        <w:t xml:space="preserve">, these policies are compared along with other policies </w:t>
      </w:r>
      <w:r w:rsidR="005521E0">
        <w:t xml:space="preserve">to reduce emissions, for example, </w:t>
      </w:r>
      <w:r w:rsidR="005E610D">
        <w:t xml:space="preserve">‘technology pull’ </w:t>
      </w:r>
      <w:r w:rsidR="005521E0">
        <w:t>policies such as renewable energy targets, voluntary pricing</w:t>
      </w:r>
      <w:r w:rsidR="00F028A8">
        <w:t xml:space="preserve"> or offsets</w:t>
      </w:r>
      <w:r w:rsidR="005521E0">
        <w:t>, regulation, information programs and innovation support.</w:t>
      </w:r>
    </w:p>
    <w:p w:rsidR="006F061A" w:rsidRDefault="00001C04" w:rsidP="009D0F88">
      <w:pPr>
        <w:pStyle w:val="BodyText"/>
      </w:pPr>
      <w:r w:rsidRPr="009D0F88">
        <w:t>The Authority intends for the analysis and modelling in this report to help support and inform the continuing debate on how best to reduce emissions in the key sector of electricity generation. I thank the many organisations and individuals that made submissions on these matters or participated in experts groups that provided invaluable help and guidance on this work.</w:t>
      </w:r>
      <w:r w:rsidR="005521E0">
        <w:t xml:space="preserve"> </w:t>
      </w:r>
      <w:r w:rsidR="006F061A">
        <w:t xml:space="preserve"> </w:t>
      </w:r>
    </w:p>
    <w:p w:rsidR="006F061A" w:rsidRDefault="006F061A" w:rsidP="009D0F88">
      <w:pPr>
        <w:pStyle w:val="BodyText"/>
      </w:pPr>
    </w:p>
    <w:p w:rsidR="005521E0" w:rsidRDefault="005521E0" w:rsidP="00CD484A">
      <w:pPr>
        <w:pStyle w:val="BodyText"/>
        <w:rPr>
          <w:lang w:val="en-GB" w:eastAsia="en-AU"/>
        </w:rPr>
      </w:pPr>
      <w:r>
        <w:rPr>
          <w:lang w:val="en-GB" w:eastAsia="en-AU"/>
        </w:rPr>
        <w:t>Wendy Craik AM</w:t>
      </w:r>
    </w:p>
    <w:p w:rsidR="006F061A" w:rsidRDefault="006F061A" w:rsidP="00CD484A">
      <w:pPr>
        <w:pStyle w:val="BodyText"/>
        <w:rPr>
          <w:lang w:val="en-GB" w:eastAsia="en-AU"/>
        </w:rPr>
        <w:sectPr w:rsidR="006F061A" w:rsidSect="00FD32FE">
          <w:footerReference w:type="even" r:id="rId23"/>
          <w:footerReference w:type="default" r:id="rId24"/>
          <w:pgSz w:w="11907" w:h="16839" w:code="9"/>
          <w:pgMar w:top="1134" w:right="1134" w:bottom="1134" w:left="1134" w:header="720" w:footer="720" w:gutter="0"/>
          <w:cols w:space="720"/>
          <w:docGrid w:linePitch="360"/>
        </w:sectPr>
      </w:pPr>
    </w:p>
    <w:p w:rsidR="007341B2" w:rsidRDefault="007341B2" w:rsidP="00CE5210">
      <w:pPr>
        <w:pStyle w:val="Headingnon-numbered"/>
      </w:pPr>
      <w:bookmarkStart w:id="9" w:name="_Toc460317972"/>
      <w:bookmarkEnd w:id="6"/>
      <w:bookmarkEnd w:id="7"/>
      <w:bookmarkEnd w:id="8"/>
      <w:r>
        <w:lastRenderedPageBreak/>
        <w:t>Summar</w:t>
      </w:r>
      <w:r w:rsidR="00F74402">
        <w:t>y</w:t>
      </w:r>
      <w:bookmarkEnd w:id="9"/>
    </w:p>
    <w:p w:rsidR="001C066D" w:rsidRDefault="001C066D" w:rsidP="001C066D">
      <w:pPr>
        <w:pStyle w:val="ChapterHeading4"/>
        <w:numPr>
          <w:ilvl w:val="3"/>
          <w:numId w:val="15"/>
        </w:numPr>
      </w:pPr>
      <w:r>
        <w:t>Why has the Authority published this report?</w:t>
      </w:r>
    </w:p>
    <w:p w:rsidR="001C066D" w:rsidRPr="00A9299F" w:rsidRDefault="001C066D" w:rsidP="004B3394">
      <w:pPr>
        <w:pStyle w:val="BodyText"/>
      </w:pPr>
      <w:r w:rsidRPr="004B3394">
        <w:t>The Authority has released this report</w:t>
      </w:r>
      <w:r w:rsidR="00F028A8">
        <w:t xml:space="preserve"> as part of the work </w:t>
      </w:r>
      <w:r w:rsidRPr="004B3394">
        <w:t>on emissions reduction policies for Australia’s electricity supply sector for its Special Review into Australia’s post</w:t>
      </w:r>
      <w:r w:rsidRPr="004B3394">
        <w:noBreakHyphen/>
        <w:t xml:space="preserve">2020 climate policy. The Authority’s Special Review comes at an important time. The Paris Agreement means Australia, along with other countries, aims to strengthen the ambition of its emissions reduction goals over time. </w:t>
      </w:r>
    </w:p>
    <w:p w:rsidR="001C066D" w:rsidRDefault="001C066D" w:rsidP="001C066D">
      <w:pPr>
        <w:pStyle w:val="BodyText"/>
        <w:rPr>
          <w:lang w:val="en-GB" w:eastAsia="en-AU"/>
        </w:rPr>
      </w:pPr>
      <w:r>
        <w:rPr>
          <w:lang w:val="en-GB" w:eastAsia="en-AU"/>
        </w:rPr>
        <w:t>This report and Report Three</w:t>
      </w:r>
      <w:r w:rsidR="00231E0C">
        <w:rPr>
          <w:lang w:val="en-GB" w:eastAsia="en-AU"/>
        </w:rPr>
        <w:t xml:space="preserve"> of the Special Review</w:t>
      </w:r>
      <w:r>
        <w:rPr>
          <w:lang w:val="en-GB" w:eastAsia="en-AU"/>
        </w:rPr>
        <w:t xml:space="preserve"> build on the Authority’s </w:t>
      </w:r>
      <w:r w:rsidRPr="00053BA4">
        <w:rPr>
          <w:i/>
          <w:lang w:val="en-GB" w:eastAsia="en-AU"/>
        </w:rPr>
        <w:t xml:space="preserve">Draft </w:t>
      </w:r>
      <w:r w:rsidR="00CA762C">
        <w:rPr>
          <w:i/>
          <w:lang w:val="en-GB" w:eastAsia="en-AU"/>
        </w:rPr>
        <w:t>r</w:t>
      </w:r>
      <w:r w:rsidRPr="00053BA4">
        <w:rPr>
          <w:i/>
          <w:lang w:val="en-GB" w:eastAsia="en-AU"/>
        </w:rPr>
        <w:t xml:space="preserve">eport on Australia’s </w:t>
      </w:r>
      <w:r w:rsidR="00CA762C">
        <w:rPr>
          <w:i/>
          <w:lang w:val="en-GB" w:eastAsia="en-AU"/>
        </w:rPr>
        <w:t>c</w:t>
      </w:r>
      <w:r w:rsidRPr="00053BA4">
        <w:rPr>
          <w:i/>
          <w:lang w:val="en-GB" w:eastAsia="en-AU"/>
        </w:rPr>
        <w:t xml:space="preserve">limate </w:t>
      </w:r>
      <w:r w:rsidR="00CA762C">
        <w:rPr>
          <w:i/>
          <w:lang w:val="en-GB" w:eastAsia="en-AU"/>
        </w:rPr>
        <w:t>p</w:t>
      </w:r>
      <w:r w:rsidRPr="00053BA4">
        <w:rPr>
          <w:i/>
          <w:lang w:val="en-GB" w:eastAsia="en-AU"/>
        </w:rPr>
        <w:t xml:space="preserve">olicy </w:t>
      </w:r>
      <w:r w:rsidR="00CA762C">
        <w:rPr>
          <w:i/>
          <w:lang w:val="en-GB" w:eastAsia="en-AU"/>
        </w:rPr>
        <w:t>o</w:t>
      </w:r>
      <w:r w:rsidRPr="00053BA4">
        <w:rPr>
          <w:i/>
          <w:lang w:val="en-GB" w:eastAsia="en-AU"/>
        </w:rPr>
        <w:t>ptions</w:t>
      </w:r>
      <w:r>
        <w:rPr>
          <w:lang w:val="en-GB" w:eastAsia="en-AU"/>
        </w:rPr>
        <w:t xml:space="preserve"> (‘Report Two</w:t>
      </w:r>
      <w:r w:rsidR="00912824">
        <w:rPr>
          <w:lang w:val="en-GB" w:eastAsia="en-AU"/>
        </w:rPr>
        <w:t>’</w:t>
      </w:r>
      <w:r>
        <w:rPr>
          <w:lang w:val="en-GB" w:eastAsia="en-AU"/>
        </w:rPr>
        <w:t xml:space="preserve"> of the Special Review). That report, released for consultation in November last year, set out possible emissions reduction policies for Australia. </w:t>
      </w:r>
    </w:p>
    <w:p w:rsidR="001C066D" w:rsidRDefault="001C066D" w:rsidP="001C066D">
      <w:pPr>
        <w:pStyle w:val="BodyText"/>
        <w:rPr>
          <w:lang w:val="en-GB" w:eastAsia="en-AU"/>
        </w:rPr>
      </w:pPr>
      <w:r>
        <w:rPr>
          <w:lang w:val="en-GB" w:eastAsia="en-AU"/>
        </w:rPr>
        <w:t xml:space="preserve">More than 65 individuals and organisations made submissions on Report Two. There was strong support for the Authority’s proposed approach to evaluating policies, and support from across the community for clear, stable, long-term climate policy that can be scaled up over time to deliver Australia’s commitments under the Paris Agreement. On the electricity sector, most of the submissions supported a </w:t>
      </w:r>
      <w:r w:rsidR="002E6B4C">
        <w:rPr>
          <w:lang w:val="en-GB" w:eastAsia="en-AU"/>
        </w:rPr>
        <w:t xml:space="preserve">market mechanism of </w:t>
      </w:r>
      <w:r>
        <w:rPr>
          <w:lang w:val="en-GB" w:eastAsia="en-AU"/>
        </w:rPr>
        <w:t xml:space="preserve">some form to reduce emissions. There were some proposals, including from electricity supply businesses, for implementing additional policies—for example, retirement of existing high-emissions coal-fired generation. </w:t>
      </w:r>
    </w:p>
    <w:p w:rsidR="001C066D" w:rsidRDefault="001C066D" w:rsidP="001C066D">
      <w:pPr>
        <w:pStyle w:val="ChapterHeading4"/>
        <w:numPr>
          <w:ilvl w:val="3"/>
          <w:numId w:val="15"/>
        </w:numPr>
      </w:pPr>
      <w:r>
        <w:t>Why the electricity supply sector?</w:t>
      </w:r>
    </w:p>
    <w:p w:rsidR="001C066D" w:rsidRDefault="001C066D" w:rsidP="001C066D">
      <w:pPr>
        <w:pStyle w:val="BodyText"/>
        <w:rPr>
          <w:lang w:val="en-GB" w:eastAsia="en-AU"/>
        </w:rPr>
      </w:pPr>
      <w:r w:rsidRPr="00E86D01">
        <w:rPr>
          <w:lang w:val="en-GB" w:eastAsia="en-AU"/>
        </w:rPr>
        <w:t>As Australia’s largest</w:t>
      </w:r>
      <w:r>
        <w:rPr>
          <w:lang w:val="en-GB" w:eastAsia="en-AU"/>
        </w:rPr>
        <w:t xml:space="preserve"> source of emissions and a significant</w:t>
      </w:r>
      <w:r w:rsidRPr="00E86D01">
        <w:rPr>
          <w:lang w:val="en-GB" w:eastAsia="en-AU"/>
        </w:rPr>
        <w:t xml:space="preserve"> source of emissions reduction opportunities, the sector is important </w:t>
      </w:r>
      <w:r w:rsidR="00F028A8">
        <w:rPr>
          <w:lang w:val="en-GB" w:eastAsia="en-AU"/>
        </w:rPr>
        <w:t>for</w:t>
      </w:r>
      <w:r w:rsidRPr="00E86D01">
        <w:rPr>
          <w:lang w:val="en-GB" w:eastAsia="en-AU"/>
        </w:rPr>
        <w:t xml:space="preserve"> realising Australia’s overall emissions reduction goals. The big opportunities for </w:t>
      </w:r>
      <w:r>
        <w:rPr>
          <w:lang w:val="en-GB" w:eastAsia="en-AU"/>
        </w:rPr>
        <w:t>reducing emissions</w:t>
      </w:r>
      <w:r w:rsidRPr="00E86D01">
        <w:rPr>
          <w:lang w:val="en-GB" w:eastAsia="en-AU"/>
        </w:rPr>
        <w:t xml:space="preserve"> rely on investors having the confidence to take different investment decisions—for example, choosing zero- or low-emissions generation over high-emissions generation. </w:t>
      </w:r>
      <w:r>
        <w:rPr>
          <w:lang w:val="en-GB" w:eastAsia="en-AU"/>
        </w:rPr>
        <w:t>Without climate policy, the lower emissions options</w:t>
      </w:r>
      <w:r w:rsidRPr="00E86D01">
        <w:rPr>
          <w:lang w:val="en-GB" w:eastAsia="en-AU"/>
        </w:rPr>
        <w:t xml:space="preserve"> </w:t>
      </w:r>
      <w:r>
        <w:rPr>
          <w:lang w:val="en-GB" w:eastAsia="en-AU"/>
        </w:rPr>
        <w:t>are often</w:t>
      </w:r>
      <w:r w:rsidRPr="00E86D01">
        <w:rPr>
          <w:lang w:val="en-GB" w:eastAsia="en-AU"/>
        </w:rPr>
        <w:t xml:space="preserve"> more expensive</w:t>
      </w:r>
      <w:r>
        <w:rPr>
          <w:lang w:val="en-GB" w:eastAsia="en-AU"/>
        </w:rPr>
        <w:t xml:space="preserve"> overall</w:t>
      </w:r>
      <w:r w:rsidRPr="00E86D01">
        <w:rPr>
          <w:lang w:val="en-GB" w:eastAsia="en-AU"/>
        </w:rPr>
        <w:t xml:space="preserve"> so</w:t>
      </w:r>
      <w:r w:rsidR="00053BA4">
        <w:rPr>
          <w:lang w:val="en-GB" w:eastAsia="en-AU"/>
        </w:rPr>
        <w:t>,</w:t>
      </w:r>
      <w:r w:rsidRPr="00E86D01">
        <w:rPr>
          <w:lang w:val="en-GB" w:eastAsia="en-AU"/>
        </w:rPr>
        <w:t xml:space="preserve"> </w:t>
      </w:r>
      <w:r>
        <w:rPr>
          <w:lang w:val="en-GB" w:eastAsia="en-AU"/>
        </w:rPr>
        <w:t xml:space="preserve">to change their decisions, </w:t>
      </w:r>
      <w:r w:rsidRPr="00E86D01">
        <w:rPr>
          <w:lang w:val="en-GB" w:eastAsia="en-AU"/>
        </w:rPr>
        <w:t xml:space="preserve">investors need to be confident that climate policy </w:t>
      </w:r>
      <w:r>
        <w:rPr>
          <w:lang w:val="en-GB" w:eastAsia="en-AU"/>
        </w:rPr>
        <w:t>can</w:t>
      </w:r>
      <w:r w:rsidRPr="00E86D01">
        <w:rPr>
          <w:lang w:val="en-GB" w:eastAsia="en-AU"/>
        </w:rPr>
        <w:t xml:space="preserve"> ‘switch’ the economics </w:t>
      </w:r>
      <w:r>
        <w:rPr>
          <w:lang w:val="en-GB" w:eastAsia="en-AU"/>
        </w:rPr>
        <w:t xml:space="preserve">of these types of generation </w:t>
      </w:r>
      <w:r w:rsidRPr="00E86D01">
        <w:rPr>
          <w:lang w:val="en-GB" w:eastAsia="en-AU"/>
        </w:rPr>
        <w:t xml:space="preserve">over the life of the investment, which can be decades. </w:t>
      </w:r>
    </w:p>
    <w:p w:rsidR="001C066D" w:rsidRDefault="001C066D" w:rsidP="001C066D">
      <w:pPr>
        <w:pStyle w:val="BodyText"/>
        <w:rPr>
          <w:lang w:val="en-GB" w:eastAsia="en-AU"/>
        </w:rPr>
      </w:pPr>
      <w:r>
        <w:rPr>
          <w:lang w:val="en-GB" w:eastAsia="en-AU"/>
        </w:rPr>
        <w:t xml:space="preserve">Climate policies should also be flexible enough to perform well in a range of circumstances as the sector and wider economy could change over coming decades. </w:t>
      </w:r>
    </w:p>
    <w:p w:rsidR="001C066D" w:rsidRPr="00E86D01" w:rsidRDefault="001C066D" w:rsidP="001C066D">
      <w:pPr>
        <w:pStyle w:val="ChapterHeading4"/>
        <w:numPr>
          <w:ilvl w:val="3"/>
          <w:numId w:val="15"/>
        </w:numPr>
      </w:pPr>
      <w:r>
        <w:t xml:space="preserve">Where does this report fit in? </w:t>
      </w:r>
    </w:p>
    <w:p w:rsidR="001C066D" w:rsidRDefault="001C066D" w:rsidP="004B3394">
      <w:pPr>
        <w:pStyle w:val="BodyText"/>
      </w:pPr>
      <w:r w:rsidRPr="00E86D01">
        <w:rPr>
          <w:lang w:val="en-GB" w:eastAsia="en-AU"/>
        </w:rPr>
        <w:t xml:space="preserve">This </w:t>
      </w:r>
      <w:r>
        <w:rPr>
          <w:lang w:val="en-GB" w:eastAsia="en-AU"/>
        </w:rPr>
        <w:t>report</w:t>
      </w:r>
      <w:r w:rsidRPr="00E86D01">
        <w:rPr>
          <w:lang w:val="en-GB" w:eastAsia="en-AU"/>
        </w:rPr>
        <w:t xml:space="preserve"> focuses on </w:t>
      </w:r>
      <w:r>
        <w:rPr>
          <w:lang w:val="en-GB" w:eastAsia="en-AU"/>
        </w:rPr>
        <w:t xml:space="preserve">policies in </w:t>
      </w:r>
      <w:r w:rsidRPr="00E86D01">
        <w:rPr>
          <w:lang w:val="en-GB" w:eastAsia="en-AU"/>
        </w:rPr>
        <w:t xml:space="preserve">the </w:t>
      </w:r>
      <w:r>
        <w:rPr>
          <w:lang w:val="en-GB" w:eastAsia="en-AU"/>
        </w:rPr>
        <w:t xml:space="preserve">large-scale </w:t>
      </w:r>
      <w:r w:rsidRPr="00E86D01">
        <w:rPr>
          <w:lang w:val="en-GB" w:eastAsia="en-AU"/>
        </w:rPr>
        <w:t>electricity supply sector</w:t>
      </w:r>
      <w:r>
        <w:rPr>
          <w:lang w:val="en-GB" w:eastAsia="en-AU"/>
        </w:rPr>
        <w:t xml:space="preserve"> (the ‘supply side’)</w:t>
      </w:r>
      <w:r w:rsidRPr="00E86D01">
        <w:rPr>
          <w:lang w:val="en-GB" w:eastAsia="en-AU"/>
        </w:rPr>
        <w:t xml:space="preserve">. </w:t>
      </w:r>
      <w:r>
        <w:rPr>
          <w:lang w:val="en-GB" w:eastAsia="en-AU"/>
        </w:rPr>
        <w:t xml:space="preserve">There are several important, related policy areas—such as electricity demand including energy efficiency and innovation—which are not considered here. </w:t>
      </w:r>
      <w:r w:rsidRPr="0046264F">
        <w:rPr>
          <w:lang w:val="en-GB" w:eastAsia="en-AU"/>
        </w:rPr>
        <w:t xml:space="preserve">These </w:t>
      </w:r>
      <w:r w:rsidRPr="009D0F88">
        <w:rPr>
          <w:lang w:val="en-GB" w:eastAsia="en-AU"/>
        </w:rPr>
        <w:t xml:space="preserve">are </w:t>
      </w:r>
      <w:r w:rsidRPr="0046264F">
        <w:rPr>
          <w:lang w:val="en-GB" w:eastAsia="en-AU"/>
        </w:rPr>
        <w:t xml:space="preserve">considered in Report Three of the Special Review, </w:t>
      </w:r>
      <w:r>
        <w:rPr>
          <w:lang w:val="en-GB" w:eastAsia="en-AU"/>
        </w:rPr>
        <w:t>in addition to the potential impacts on the competitiveness of Australian businesses that could result from emissions reductions policy. This analysis does not assess current policies to reduce emissions, including the current Renewable Energy Target, Emissions Reduction Fund and safeguard mechanism.</w:t>
      </w:r>
    </w:p>
    <w:p w:rsidR="001C066D" w:rsidRDefault="001C066D" w:rsidP="001C066D">
      <w:pPr>
        <w:pStyle w:val="BodyText"/>
        <w:rPr>
          <w:lang w:val="en-GB" w:eastAsia="en-AU"/>
        </w:rPr>
      </w:pPr>
      <w:r>
        <w:rPr>
          <w:lang w:val="en-GB" w:eastAsia="en-AU"/>
        </w:rPr>
        <w:t xml:space="preserve">The terms of reference for the Special Review required the Authority to consider, among other things, whether Australia should introduce an emissions trading scheme. As outlined in Report Three, the Authority has sought to answer this question by comparing the performance of emissions trading </w:t>
      </w:r>
      <w:r>
        <w:rPr>
          <w:lang w:val="en-GB" w:eastAsia="en-AU"/>
        </w:rPr>
        <w:lastRenderedPageBreak/>
        <w:t xml:space="preserve">schemes with other possible policies and considering how policies could interact with each other, particularly in the key sector of electricity generation. </w:t>
      </w:r>
    </w:p>
    <w:p w:rsidR="001C066D" w:rsidRDefault="001C066D" w:rsidP="001C066D">
      <w:pPr>
        <w:pStyle w:val="BodyText"/>
        <w:rPr>
          <w:lang w:val="en-GB" w:eastAsia="en-AU"/>
        </w:rPr>
      </w:pPr>
      <w:r>
        <w:rPr>
          <w:lang w:val="en-GB" w:eastAsia="en-AU"/>
        </w:rPr>
        <w:t>To that end, this report assesses possible emissions reduction policies for the electricity supply sector against the Authority’s evaluation principles. Given the importance of long-term, stable policy architecture in a sector facing other changes and challenges over the coming decades, the Authority has placed particular emphasis on policies being able to respond flexibly to changes and their ability to be scaled up over time.</w:t>
      </w:r>
    </w:p>
    <w:p w:rsidR="001C066D" w:rsidRDefault="001C066D" w:rsidP="001C066D">
      <w:pPr>
        <w:pStyle w:val="BodyText"/>
        <w:rPr>
          <w:lang w:val="en-GB" w:eastAsia="en-AU"/>
        </w:rPr>
      </w:pPr>
      <w:r>
        <w:rPr>
          <w:lang w:val="en-GB" w:eastAsia="en-AU"/>
        </w:rPr>
        <w:t xml:space="preserve">To make this assessment the report draws on analysis—including new modelling of the electricity sector and the Australian economy commissioned for the Special Review—as well as submissions to Report Two. </w:t>
      </w:r>
    </w:p>
    <w:p w:rsidR="001C066D" w:rsidRDefault="001C066D" w:rsidP="001C066D">
      <w:pPr>
        <w:pStyle w:val="ListBullet"/>
        <w:numPr>
          <w:ilvl w:val="0"/>
          <w:numId w:val="0"/>
        </w:numPr>
      </w:pPr>
      <w:r>
        <w:t>The Authority has assessed three broad 'families' of possible electricity sector policies:</w:t>
      </w:r>
    </w:p>
    <w:p w:rsidR="001C066D" w:rsidRDefault="00D222D8" w:rsidP="001C066D">
      <w:pPr>
        <w:pStyle w:val="ListBullet"/>
      </w:pPr>
      <w:r>
        <w:t>‘</w:t>
      </w:r>
      <w:r w:rsidR="00912824">
        <w:t>M</w:t>
      </w:r>
      <w:r w:rsidR="001C066D">
        <w:t>arket mechanisms</w:t>
      </w:r>
      <w:r w:rsidR="001733B9">
        <w:t>’</w:t>
      </w:r>
      <w:r w:rsidR="001C066D">
        <w:t xml:space="preserve">, in particular carbon taxes, cap and trade schemes and emissions intensity schemes. </w:t>
      </w:r>
    </w:p>
    <w:p w:rsidR="001C066D" w:rsidRDefault="001C066D" w:rsidP="001C066D">
      <w:pPr>
        <w:pStyle w:val="ListBullet"/>
      </w:pPr>
      <w:r>
        <w:t xml:space="preserve">‘Technology </w:t>
      </w:r>
      <w:proofErr w:type="gramStart"/>
      <w:r>
        <w:t>pull</w:t>
      </w:r>
      <w:proofErr w:type="gramEnd"/>
      <w:r>
        <w:t xml:space="preserve"> policies’</w:t>
      </w:r>
      <w:r w:rsidR="00F028A8">
        <w:rPr>
          <w:rStyle w:val="CommentReference"/>
          <w:rFonts w:eastAsiaTheme="minorHAnsi" w:cstheme="minorBidi"/>
          <w:lang w:eastAsia="en-US"/>
        </w:rPr>
        <w:t xml:space="preserve"> </w:t>
      </w:r>
      <w:r>
        <w:t>policies that encourage the deployment of additional renewable and/or low</w:t>
      </w:r>
      <w:r>
        <w:noBreakHyphen/>
        <w:t>emissions generation. These policies vary in their technology eligibility (for example whether they support only renewable generation or also allow other zero</w:t>
      </w:r>
      <w:r>
        <w:noBreakHyphen/>
        <w:t xml:space="preserve"> or low</w:t>
      </w:r>
      <w:r>
        <w:noBreakHyphen/>
        <w:t>emissions sources) and their design (for example whether e</w:t>
      </w:r>
      <w:r w:rsidR="00A16422">
        <w:t>ligible generators receive trad</w:t>
      </w:r>
      <w:r>
        <w:t>able certificates or a payment from the government).</w:t>
      </w:r>
    </w:p>
    <w:p w:rsidR="001C066D" w:rsidRDefault="001C066D" w:rsidP="001C066D">
      <w:pPr>
        <w:pStyle w:val="ListBullet"/>
      </w:pPr>
      <w:r>
        <w:t xml:space="preserve">Regulation: on entry and/or exit of generators, such as standards for the emissions performance of new or existing power stations, </w:t>
      </w:r>
      <w:r w:rsidR="004B3394">
        <w:t xml:space="preserve">regulated </w:t>
      </w:r>
      <w:r>
        <w:t>closure of old, emissions-intensive generators, and facility-level absolute emissions baselines for emissions-intensive generators.</w:t>
      </w:r>
    </w:p>
    <w:p w:rsidR="001C066D" w:rsidRDefault="001C066D" w:rsidP="001C066D">
      <w:pPr>
        <w:pStyle w:val="BodyText"/>
        <w:rPr>
          <w:lang w:val="en-GB" w:eastAsia="en-AU"/>
        </w:rPr>
      </w:pPr>
      <w:r>
        <w:rPr>
          <w:lang w:val="en-GB" w:eastAsia="en-AU"/>
        </w:rPr>
        <w:t xml:space="preserve">The Authority’s assessment is structured around the following questions: </w:t>
      </w:r>
    </w:p>
    <w:p w:rsidR="001C066D" w:rsidRDefault="005C6FE9" w:rsidP="001C066D">
      <w:pPr>
        <w:pStyle w:val="ListBullet"/>
        <w:rPr>
          <w:lang w:val="en-GB"/>
        </w:rPr>
      </w:pPr>
      <w:r>
        <w:rPr>
          <w:lang w:val="en-GB"/>
        </w:rPr>
        <w:t xml:space="preserve">Is meeting a 2 degree </w:t>
      </w:r>
      <w:r w:rsidR="001C066D">
        <w:rPr>
          <w:lang w:val="en-GB"/>
        </w:rPr>
        <w:t>consistent emissions budget in the electricity sector feasible and what might this cost?</w:t>
      </w:r>
    </w:p>
    <w:p w:rsidR="001C066D" w:rsidRDefault="001C066D" w:rsidP="001C066D">
      <w:pPr>
        <w:pStyle w:val="ListBullet"/>
        <w:rPr>
          <w:lang w:val="en-GB"/>
        </w:rPr>
      </w:pPr>
      <w:r>
        <w:rPr>
          <w:lang w:val="en-GB"/>
        </w:rPr>
        <w:t>Should there be a market mechanism of some kind in the electricity sector? If not, what policy or policies should be used to reduce emissions?</w:t>
      </w:r>
    </w:p>
    <w:p w:rsidR="001C066D" w:rsidRDefault="001C066D" w:rsidP="001C066D">
      <w:pPr>
        <w:pStyle w:val="ListBullet"/>
        <w:rPr>
          <w:lang w:val="en-GB"/>
        </w:rPr>
      </w:pPr>
      <w:r>
        <w:rPr>
          <w:lang w:val="en-GB"/>
        </w:rPr>
        <w:t>If there is a market mechanism in the sector, what are the relative strengths and weaknesses of different market mechanisms?</w:t>
      </w:r>
    </w:p>
    <w:p w:rsidR="001C066D" w:rsidRDefault="001C066D" w:rsidP="001C066D">
      <w:pPr>
        <w:pStyle w:val="ListBullet"/>
        <w:rPr>
          <w:lang w:val="en-GB"/>
        </w:rPr>
      </w:pPr>
      <w:r>
        <w:rPr>
          <w:lang w:val="en-GB"/>
        </w:rPr>
        <w:t xml:space="preserve">If there is a market mechanism, should there be other climate policies in the electricity supply sector? </w:t>
      </w:r>
    </w:p>
    <w:p w:rsidR="001C066D" w:rsidRDefault="001C066D" w:rsidP="001C066D">
      <w:pPr>
        <w:pStyle w:val="ListBullet"/>
        <w:rPr>
          <w:lang w:val="en-GB"/>
        </w:rPr>
      </w:pPr>
      <w:r>
        <w:rPr>
          <w:lang w:val="en-GB"/>
        </w:rPr>
        <w:t>If so, which policy or policies and why?</w:t>
      </w:r>
    </w:p>
    <w:p w:rsidR="001C066D" w:rsidRDefault="001C066D" w:rsidP="009D0F88">
      <w:pPr>
        <w:pStyle w:val="ChapterHeading4"/>
      </w:pPr>
      <w:r>
        <w:t>A market mechanism should be implemented in the electricity sector</w:t>
      </w:r>
    </w:p>
    <w:p w:rsidR="001C066D" w:rsidRPr="001D0D64" w:rsidRDefault="001C066D" w:rsidP="001C066D">
      <w:pPr>
        <w:pStyle w:val="BodyText"/>
        <w:rPr>
          <w:highlight w:val="yellow"/>
          <w:lang w:val="en-GB" w:eastAsia="en-AU"/>
        </w:rPr>
      </w:pPr>
      <w:r>
        <w:rPr>
          <w:lang w:val="en-GB" w:eastAsia="en-AU"/>
        </w:rPr>
        <w:t xml:space="preserve">The Authority’s </w:t>
      </w:r>
      <w:r w:rsidR="00430B58">
        <w:rPr>
          <w:lang w:val="en-GB" w:eastAsia="en-AU"/>
        </w:rPr>
        <w:t>view is</w:t>
      </w:r>
      <w:r>
        <w:rPr>
          <w:lang w:val="en-GB" w:eastAsia="en-AU"/>
        </w:rPr>
        <w:t xml:space="preserve"> that</w:t>
      </w:r>
      <w:r w:rsidR="00430B58">
        <w:rPr>
          <w:lang w:val="en-GB" w:eastAsia="en-AU"/>
        </w:rPr>
        <w:t xml:space="preserve"> Australia should implement</w:t>
      </w:r>
      <w:r>
        <w:rPr>
          <w:lang w:val="en-GB" w:eastAsia="en-AU"/>
        </w:rPr>
        <w:t xml:space="preserve"> a market mechanism of some form in the electricity sector. </w:t>
      </w:r>
      <w:r w:rsidR="00430B58">
        <w:rPr>
          <w:lang w:val="en-GB" w:eastAsia="en-AU"/>
        </w:rPr>
        <w:t>This</w:t>
      </w:r>
      <w:r w:rsidRPr="001D0D64">
        <w:rPr>
          <w:lang w:val="en-GB" w:eastAsia="en-AU"/>
        </w:rPr>
        <w:t xml:space="preserve"> is based on the assessment of </w:t>
      </w:r>
      <w:r>
        <w:rPr>
          <w:lang w:val="en-GB" w:eastAsia="en-AU"/>
        </w:rPr>
        <w:t>the performance of policies against the three core evaluation principles of cost effectiveness, environmental effectiveness and equity</w:t>
      </w:r>
      <w:r w:rsidRPr="001D0D64">
        <w:rPr>
          <w:lang w:val="en-GB" w:eastAsia="en-AU"/>
        </w:rPr>
        <w:t xml:space="preserve"> (</w:t>
      </w:r>
      <w:r w:rsidR="00CA762C">
        <w:rPr>
          <w:lang w:val="en-GB" w:eastAsia="en-AU"/>
        </w:rPr>
        <w:t>Chapter 4</w:t>
      </w:r>
      <w:r w:rsidRPr="001D0D64">
        <w:rPr>
          <w:lang w:val="en-GB" w:eastAsia="en-AU"/>
        </w:rPr>
        <w:t xml:space="preserve">). </w:t>
      </w:r>
      <w:r w:rsidRPr="001D0D64">
        <w:t>Overall</w:t>
      </w:r>
      <w:r>
        <w:t>, the Authority finds that:</w:t>
      </w:r>
    </w:p>
    <w:p w:rsidR="001C066D" w:rsidRPr="00773AA0" w:rsidRDefault="001C066D" w:rsidP="001C066D">
      <w:pPr>
        <w:pStyle w:val="ListBullet"/>
        <w:rPr>
          <w:rStyle w:val="BodyTextChar"/>
        </w:rPr>
      </w:pPr>
      <w:r>
        <w:t>All policy options are capable of achieving deep emissions reduction</w:t>
      </w:r>
      <w:r w:rsidR="00053BA4">
        <w:t>s</w:t>
      </w:r>
      <w:r>
        <w:t xml:space="preserve"> in the electricity sector, but market mechanisms </w:t>
      </w:r>
      <w:r w:rsidRPr="00773AA0">
        <w:rPr>
          <w:rStyle w:val="BodyTextChar"/>
        </w:rPr>
        <w:t xml:space="preserve">are more flexible and scalable. </w:t>
      </w:r>
    </w:p>
    <w:p w:rsidR="001C066D" w:rsidRDefault="001C066D" w:rsidP="001C066D">
      <w:pPr>
        <w:pStyle w:val="ListBullet"/>
      </w:pPr>
      <w:r>
        <w:t>Among the policies, technology pull and regulatory policies have greater costs and risks than market mechanisms, especially when used alone or to meet demanding targets.</w:t>
      </w:r>
    </w:p>
    <w:p w:rsidR="001C066D" w:rsidRDefault="001C066D" w:rsidP="001C066D">
      <w:pPr>
        <w:pStyle w:val="ListBullet"/>
      </w:pPr>
      <w:r>
        <w:lastRenderedPageBreak/>
        <w:t>Economic analysis, including the Authority’s modelling, suggests that a</w:t>
      </w:r>
      <w:r w:rsidRPr="00DF664B">
        <w:t xml:space="preserve"> </w:t>
      </w:r>
      <w:r>
        <w:t>market mechanism</w:t>
      </w:r>
      <w:r w:rsidRPr="00DF664B">
        <w:t xml:space="preserve"> </w:t>
      </w:r>
      <w:r>
        <w:t xml:space="preserve">for electricity </w:t>
      </w:r>
      <w:r w:rsidRPr="00DF664B">
        <w:t>would allow Australia to meet its targets at a lower cost to the community than would be possible without such a policy in the toolkit.</w:t>
      </w:r>
      <w:r>
        <w:t xml:space="preserve"> For example, </w:t>
      </w:r>
      <w:r>
        <w:rPr>
          <w:lang w:val="en-GB" w:eastAsia="en-AU"/>
        </w:rPr>
        <w:t>based on the direct cost of reducing emissions using each policy</w:t>
      </w:r>
      <w:r>
        <w:t xml:space="preserve">, </w:t>
      </w:r>
      <w:r>
        <w:rPr>
          <w:lang w:val="en-GB" w:eastAsia="en-AU"/>
        </w:rPr>
        <w:t>market mechanisms are projected to have the lowest costs</w:t>
      </w:r>
      <w:r>
        <w:t xml:space="preserve"> (</w:t>
      </w:r>
      <w:r w:rsidR="00CA762C">
        <w:t xml:space="preserve">Figure </w:t>
      </w:r>
      <w:r w:rsidR="00CA762C">
        <w:rPr>
          <w:noProof/>
        </w:rPr>
        <w:t>1</w:t>
      </w:r>
      <w:r>
        <w:rPr>
          <w:lang w:val="en-GB" w:eastAsia="en-AU"/>
        </w:rPr>
        <w:t>).</w:t>
      </w:r>
    </w:p>
    <w:p w:rsidR="008D5403" w:rsidRDefault="001C066D" w:rsidP="001C066D">
      <w:pPr>
        <w:pStyle w:val="ListBullet"/>
      </w:pPr>
      <w:r>
        <w:t>A</w:t>
      </w:r>
      <w:r w:rsidRPr="00E002C9">
        <w:t xml:space="preserve">ll </w:t>
      </w:r>
      <w:r>
        <w:t>supply-side emissions reduction</w:t>
      </w:r>
      <w:r w:rsidRPr="00E002C9">
        <w:t xml:space="preserve"> policies </w:t>
      </w:r>
      <w:r>
        <w:t xml:space="preserve">will affect some </w:t>
      </w:r>
      <w:proofErr w:type="gramStart"/>
      <w:r>
        <w:t>groups,</w:t>
      </w:r>
      <w:proofErr w:type="gramEnd"/>
      <w:r>
        <w:t xml:space="preserve"> however these impacts can be addressed in a number of ways (</w:t>
      </w:r>
      <w:r w:rsidR="00CA762C">
        <w:rPr>
          <w:lang w:val="en-GB" w:eastAsia="en-AU"/>
        </w:rPr>
        <w:t>Chapter 4</w:t>
      </w:r>
      <w:r>
        <w:t>)</w:t>
      </w:r>
      <w:r w:rsidRPr="00E002C9">
        <w:t xml:space="preserve">. For all possible policies, </w:t>
      </w:r>
      <w:r>
        <w:t xml:space="preserve">before any assistance is provided, </w:t>
      </w:r>
      <w:r w:rsidRPr="00E002C9">
        <w:t>achieving Australia’s long</w:t>
      </w:r>
      <w:r w:rsidRPr="00E002C9">
        <w:noBreakHyphen/>
        <w:t xml:space="preserve">term emissions reduction goals </w:t>
      </w:r>
      <w:r>
        <w:t>is</w:t>
      </w:r>
      <w:r w:rsidRPr="00E002C9">
        <w:t xml:space="preserve"> likely to increase electricity prices for consumers</w:t>
      </w:r>
      <w:r w:rsidR="00A20898">
        <w:t xml:space="preserve"> to some extent</w:t>
      </w:r>
      <w:r w:rsidRPr="00E002C9">
        <w:t xml:space="preserve"> and </w:t>
      </w:r>
      <w:r>
        <w:t>change the relative value of generators’ plant</w:t>
      </w:r>
      <w:r w:rsidRPr="00E002C9">
        <w:t>.</w:t>
      </w:r>
    </w:p>
    <w:p w:rsidR="001C066D" w:rsidRDefault="008D5403" w:rsidP="001C066D">
      <w:pPr>
        <w:pStyle w:val="ListBullet"/>
      </w:pPr>
      <w:r w:rsidRPr="008D5403">
        <w:t xml:space="preserve">This analysis and modelling considered action in the electricity sector only. The costs in the electricity sector would likely be lower if </w:t>
      </w:r>
      <w:r w:rsidR="00053BA4">
        <w:t>a</w:t>
      </w:r>
      <w:r w:rsidR="00F028A8">
        <w:t xml:space="preserve"> </w:t>
      </w:r>
      <w:r>
        <w:t>market mechanism</w:t>
      </w:r>
      <w:r w:rsidRPr="008D5403">
        <w:t xml:space="preserve"> </w:t>
      </w:r>
      <w:r w:rsidR="00F028A8">
        <w:t xml:space="preserve">was </w:t>
      </w:r>
      <w:r w:rsidRPr="008D5403">
        <w:t>part of a broader policy toolkit</w:t>
      </w:r>
      <w:r w:rsidR="0095302B">
        <w:t xml:space="preserve"> that</w:t>
      </w:r>
      <w:r w:rsidR="005E610D">
        <w:t xml:space="preserve"> included</w:t>
      </w:r>
      <w:r w:rsidR="0095302B">
        <w:t xml:space="preserve"> other targeted measures to reduce emissions in other</w:t>
      </w:r>
      <w:r w:rsidR="005E610D">
        <w:t xml:space="preserve"> </w:t>
      </w:r>
      <w:r w:rsidRPr="008D5403">
        <w:t>sectors of the economy including measures like energy efficiency, offsets and regulation. Furthermore, in practice, emissions reductions can be lower cost than modelling suggests</w:t>
      </w:r>
      <w:r>
        <w:t>.</w:t>
      </w:r>
    </w:p>
    <w:p w:rsidR="001C066D" w:rsidRDefault="001C066D" w:rsidP="001C066D">
      <w:pPr>
        <w:pStyle w:val="Caption"/>
      </w:pPr>
      <w:bookmarkStart w:id="10" w:name="_Ref447018948"/>
      <w:bookmarkStart w:id="11" w:name="_Toc447099927"/>
      <w:bookmarkStart w:id="12" w:name="_Toc447641369"/>
      <w:bookmarkStart w:id="13" w:name="_Toc449696812"/>
      <w:bookmarkStart w:id="14" w:name="_Toc460318032"/>
      <w:r>
        <w:t xml:space="preserve">Figure </w:t>
      </w:r>
      <w:r w:rsidR="00CA762C">
        <w:rPr>
          <w:noProof/>
        </w:rPr>
        <w:t>1</w:t>
      </w:r>
      <w:bookmarkEnd w:id="10"/>
      <w:r w:rsidR="00A6425D">
        <w:tab/>
      </w:r>
      <w:r>
        <w:t>Average cost of abatement by policy</w:t>
      </w:r>
      <w:bookmarkEnd w:id="11"/>
      <w:bookmarkEnd w:id="12"/>
      <w:r>
        <w:t>, 2 degrees, 2020–2050</w:t>
      </w:r>
      <w:bookmarkEnd w:id="13"/>
      <w:bookmarkEnd w:id="14"/>
    </w:p>
    <w:p w:rsidR="001C066D" w:rsidRPr="00AC5A6C" w:rsidRDefault="001C066D" w:rsidP="001C066D">
      <w:r w:rsidRPr="00940E2A">
        <w:rPr>
          <w:noProof/>
          <w:lang w:eastAsia="en-AU"/>
        </w:rPr>
        <w:drawing>
          <wp:inline distT="0" distB="0" distL="0" distR="0" wp14:anchorId="1F9D8885" wp14:editId="798B17A7">
            <wp:extent cx="6120765" cy="315792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157928"/>
                    </a:xfrm>
                    <a:prstGeom prst="rect">
                      <a:avLst/>
                    </a:prstGeom>
                    <a:noFill/>
                    <a:ln>
                      <a:noFill/>
                    </a:ln>
                  </pic:spPr>
                </pic:pic>
              </a:graphicData>
            </a:graphic>
          </wp:inline>
        </w:drawing>
      </w:r>
    </w:p>
    <w:p w:rsidR="001C066D" w:rsidRDefault="001C066D" w:rsidP="001C066D">
      <w:pPr>
        <w:pStyle w:val="TableNote"/>
      </w:pPr>
      <w:r w:rsidRPr="005524A3">
        <w:rPr>
          <w:b/>
        </w:rPr>
        <w:t>Note:</w:t>
      </w:r>
      <w:r w:rsidRPr="00E13380">
        <w:t xml:space="preserve"> </w:t>
      </w:r>
      <w:r>
        <w:t xml:space="preserve">See </w:t>
      </w:r>
      <w:r w:rsidR="00CA762C">
        <w:t xml:space="preserve">Table </w:t>
      </w:r>
      <w:r w:rsidR="00CA762C">
        <w:rPr>
          <w:noProof/>
        </w:rPr>
        <w:t>3</w:t>
      </w:r>
      <w:r>
        <w:t xml:space="preserve"> in </w:t>
      </w:r>
      <w:r w:rsidR="00CA762C">
        <w:t>Chapter 3</w:t>
      </w:r>
      <w:r>
        <w:t xml:space="preserve"> for a summary of the policies. ‘EI scheme’ = emissions intensity scheme; ‘RET’ = Renewable energy target; ‘Low emissions </w:t>
      </w:r>
      <w:proofErr w:type="spellStart"/>
      <w:r>
        <w:t>tgt</w:t>
      </w:r>
      <w:proofErr w:type="spellEnd"/>
      <w:r>
        <w:t xml:space="preserve"> ‘= Low emissions target; ‘Contracts for diff’ = contracts for difference; ‘</w:t>
      </w:r>
      <w:proofErr w:type="spellStart"/>
      <w:r>
        <w:t>Reg</w:t>
      </w:r>
      <w:proofErr w:type="spellEnd"/>
      <w:r>
        <w:t xml:space="preserve"> closures’ = regulated closure</w:t>
      </w:r>
      <w:r w:rsidR="00A82A29">
        <w:t>s</w:t>
      </w:r>
      <w:r>
        <w:t xml:space="preserve">, ‘Abs baseline’ = absolute baselines. </w:t>
      </w:r>
      <w:r w:rsidRPr="00E13380">
        <w:t xml:space="preserve">Average </w:t>
      </w:r>
      <w:r>
        <w:t xml:space="preserve">direct </w:t>
      </w:r>
      <w:r w:rsidRPr="00E13380">
        <w:t xml:space="preserve">cost of abatement </w:t>
      </w:r>
      <w:r>
        <w:t>over 2020–2050 using a seven per </w:t>
      </w:r>
      <w:r w:rsidRPr="00E13380">
        <w:t xml:space="preserve">cent discount rate for resource costs. </w:t>
      </w:r>
      <w:r>
        <w:t xml:space="preserve">Direct costs are the additional costs arising from the policy in the electricity sector. </w:t>
      </w:r>
      <w:r w:rsidRPr="00E13380">
        <w:t xml:space="preserve">Emissions not discounted. Figures account for the reduction in welfare from a fall in electricity </w:t>
      </w:r>
      <w:r>
        <w:t>demand</w:t>
      </w:r>
      <w:r w:rsidRPr="00E13380">
        <w:t xml:space="preserve"> </w:t>
      </w:r>
      <w:r>
        <w:t xml:space="preserve">compared to the reference case </w:t>
      </w:r>
      <w:r w:rsidRPr="00E13380">
        <w:t>resulting from increased retail electricity prices.</w:t>
      </w:r>
      <w:r>
        <w:t xml:space="preserve"> The</w:t>
      </w:r>
      <w:r w:rsidRPr="00E13380">
        <w:t xml:space="preserve"> </w:t>
      </w:r>
      <w:r>
        <w:t>r</w:t>
      </w:r>
      <w:r w:rsidRPr="00E13380">
        <w:t>egulated closure</w:t>
      </w:r>
      <w:r w:rsidR="00A82A29">
        <w:t>s</w:t>
      </w:r>
      <w:r w:rsidRPr="00E13380">
        <w:t xml:space="preserve"> </w:t>
      </w:r>
      <w:r>
        <w:t>policy</w:t>
      </w:r>
      <w:r w:rsidRPr="00E13380">
        <w:t xml:space="preserve"> breaches the common cumulative emissions budget</w:t>
      </w:r>
      <w:r>
        <w:t xml:space="preserve"> by about 200 Mt</w:t>
      </w:r>
      <w:r w:rsidR="00F52919">
        <w:t> </w:t>
      </w:r>
      <w:r>
        <w:t>CO</w:t>
      </w:r>
      <w:r>
        <w:rPr>
          <w:vertAlign w:val="subscript"/>
        </w:rPr>
        <w:t>2</w:t>
      </w:r>
      <w:r>
        <w:t>-e or 15 per cent</w:t>
      </w:r>
      <w:r w:rsidRPr="00E13380">
        <w:t>, so the cost of abatement here</w:t>
      </w:r>
      <w:r>
        <w:t xml:space="preserve"> is</w:t>
      </w:r>
      <w:r w:rsidRPr="00E13380">
        <w:t xml:space="preserve"> not directly comparable with other policies.</w:t>
      </w:r>
      <w:r>
        <w:t xml:space="preserve"> See </w:t>
      </w:r>
      <w:r w:rsidR="00CA762C">
        <w:t>Appendix C.1</w:t>
      </w:r>
      <w:r>
        <w:t>. All dollar figures in this report are in 2014 Australian dollars unless otherwise specified.</w:t>
      </w:r>
      <w:r>
        <w:br/>
      </w:r>
      <w:r w:rsidRPr="005524A3">
        <w:rPr>
          <w:b/>
        </w:rPr>
        <w:t>Source:</w:t>
      </w:r>
      <w:r>
        <w:t xml:space="preserve"> Climate Change Authority</w:t>
      </w:r>
      <w:r w:rsidRPr="002545EC">
        <w:t xml:space="preserve"> </w:t>
      </w:r>
      <w:r>
        <w:t xml:space="preserve">based on </w:t>
      </w:r>
      <w:bookmarkStart w:id="15" w:name="_CTVP001574ae162c64c45c8b4ed4559853166f1"/>
      <w:proofErr w:type="gramStart"/>
      <w:r w:rsidR="0059109A">
        <w:t>Jacobs 2016</w:t>
      </w:r>
      <w:proofErr w:type="gramEnd"/>
      <w:r w:rsidR="0059109A">
        <w:t>c</w:t>
      </w:r>
      <w:bookmarkEnd w:id="15"/>
      <w:r>
        <w:t>.</w:t>
      </w:r>
    </w:p>
    <w:p w:rsidR="001C066D" w:rsidRDefault="001C066D" w:rsidP="001C066D">
      <w:pPr>
        <w:pStyle w:val="BodyText"/>
        <w:rPr>
          <w:lang w:val="en-GB" w:eastAsia="en-AU"/>
        </w:rPr>
      </w:pPr>
      <w:r>
        <w:rPr>
          <w:lang w:val="en-GB" w:eastAsia="en-AU"/>
        </w:rPr>
        <w:t xml:space="preserve">A </w:t>
      </w:r>
      <w:r w:rsidR="00231E0C">
        <w:rPr>
          <w:lang w:val="en-GB" w:eastAsia="en-AU"/>
        </w:rPr>
        <w:t>market mechanism</w:t>
      </w:r>
      <w:r>
        <w:rPr>
          <w:lang w:val="en-GB" w:eastAsia="en-AU"/>
        </w:rPr>
        <w:t xml:space="preserve"> could cover sectors other than electricity supply, and submissions to Report Two noted the importance of coverage choices for the effectiveness of market-based schemes. The Authority </w:t>
      </w:r>
      <w:r w:rsidR="00231E0C">
        <w:rPr>
          <w:lang w:val="en-GB" w:eastAsia="en-AU"/>
        </w:rPr>
        <w:t>has considered the use of market mechanisms in other sectors</w:t>
      </w:r>
      <w:r>
        <w:rPr>
          <w:lang w:val="en-GB" w:eastAsia="en-AU"/>
        </w:rPr>
        <w:t xml:space="preserve">, as well as other important design features such as the use of international </w:t>
      </w:r>
      <w:r w:rsidR="00231E0C">
        <w:rPr>
          <w:lang w:val="en-GB" w:eastAsia="en-AU"/>
        </w:rPr>
        <w:t>credits and permits and issues of transition</w:t>
      </w:r>
      <w:r>
        <w:rPr>
          <w:lang w:val="en-GB" w:eastAsia="en-AU"/>
        </w:rPr>
        <w:t>, in Report Three.</w:t>
      </w:r>
    </w:p>
    <w:p w:rsidR="001C066D" w:rsidRDefault="001C066D" w:rsidP="001C066D">
      <w:pPr>
        <w:pStyle w:val="ChapterHeading4"/>
        <w:numPr>
          <w:ilvl w:val="3"/>
          <w:numId w:val="15"/>
        </w:numPr>
      </w:pPr>
      <w:r>
        <w:lastRenderedPageBreak/>
        <w:t>Which type of market mechanism?</w:t>
      </w:r>
    </w:p>
    <w:p w:rsidR="001C066D" w:rsidRDefault="001C066D" w:rsidP="009D0F88">
      <w:r>
        <w:t xml:space="preserve">While there are differences between the </w:t>
      </w:r>
      <w:r w:rsidR="004B3394">
        <w:t>market mechanisms</w:t>
      </w:r>
      <w:r>
        <w:t xml:space="preserve"> assessed in this </w:t>
      </w:r>
      <w:r w:rsidR="00C62512">
        <w:t>report</w:t>
      </w:r>
      <w:r>
        <w:t xml:space="preserve">, they have much in common in terms of operation and impacts. In particular, each can readily be scaled to drive stronger emissions reductions in electricity supply at lower cost than alternative policies. </w:t>
      </w:r>
    </w:p>
    <w:p w:rsidR="001C066D" w:rsidRDefault="001C066D" w:rsidP="009D0F88">
      <w:r>
        <w:t xml:space="preserve">The Authority’s </w:t>
      </w:r>
      <w:r w:rsidR="00C62512">
        <w:t>economy-wide modelling compared</w:t>
      </w:r>
      <w:r>
        <w:t xml:space="preserve"> the relative performance of cap and trade and emissions intensity schemes </w:t>
      </w:r>
      <w:r w:rsidR="00865C8A">
        <w:t xml:space="preserve">and </w:t>
      </w:r>
      <w:r w:rsidR="0095302B" w:rsidRPr="000B3C30">
        <w:t>assessed the impact of these schemes on</w:t>
      </w:r>
      <w:r w:rsidR="00865C8A" w:rsidRPr="009D0F88">
        <w:t xml:space="preserve"> both direct and</w:t>
      </w:r>
      <w:r w:rsidR="0095302B" w:rsidRPr="000B3C30">
        <w:t xml:space="preserve"> indirect costs. </w:t>
      </w:r>
      <w:r w:rsidR="00865C8A" w:rsidRPr="009D0F88">
        <w:t xml:space="preserve">Direct costs </w:t>
      </w:r>
      <w:r w:rsidR="00865C8A">
        <w:t xml:space="preserve">are the additional costs above those that would have occurred in the absence of the policy, such as </w:t>
      </w:r>
      <w:r w:rsidR="00865C8A" w:rsidRPr="00305D51">
        <w:t>the added cost of</w:t>
      </w:r>
      <w:r w:rsidR="00865C8A">
        <w:t xml:space="preserve"> investing in a low</w:t>
      </w:r>
      <w:r w:rsidR="00865C8A">
        <w:noBreakHyphen/>
      </w:r>
      <w:r w:rsidR="00865C8A" w:rsidRPr="00305D51">
        <w:t>emissions electricity gene</w:t>
      </w:r>
      <w:r w:rsidR="00865C8A">
        <w:t>ration plant rather than a high</w:t>
      </w:r>
      <w:r w:rsidR="00865C8A">
        <w:noBreakHyphen/>
      </w:r>
      <w:r w:rsidR="00865C8A" w:rsidRPr="00305D51">
        <w:t>emissions one</w:t>
      </w:r>
      <w:r w:rsidR="00865C8A">
        <w:t xml:space="preserve">. </w:t>
      </w:r>
      <w:r w:rsidR="00E667F2">
        <w:t xml:space="preserve">In addition to their direct costs, policies often involve indirect costs, including those due to interactions with the tax system. </w:t>
      </w:r>
      <w:r w:rsidR="00865C8A">
        <w:t xml:space="preserve">Taxes and price rises generally dampen economic activity. These indirect costs are more important to the cost effectiveness of policies than has been generally recognised </w:t>
      </w:r>
      <w:bookmarkStart w:id="16" w:name="_CTVP001c88ef0ced32746f7adba67b7431dd005"/>
      <w:r w:rsidR="0059109A">
        <w:t>(</w:t>
      </w:r>
      <w:proofErr w:type="spellStart"/>
      <w:r w:rsidR="0059109A">
        <w:t>Goulder</w:t>
      </w:r>
      <w:proofErr w:type="spellEnd"/>
      <w:r w:rsidR="0059109A">
        <w:t> 2013)</w:t>
      </w:r>
      <w:bookmarkEnd w:id="16"/>
      <w:r w:rsidR="00865C8A">
        <w:t xml:space="preserve">. The modelling </w:t>
      </w:r>
      <w:r>
        <w:t xml:space="preserve">suggests that the performance of different policies </w:t>
      </w:r>
      <w:r w:rsidR="00865C8A">
        <w:t xml:space="preserve">with respect to indirect costs </w:t>
      </w:r>
      <w:r>
        <w:t xml:space="preserve">depends </w:t>
      </w:r>
      <w:r w:rsidR="00E667F2">
        <w:t xml:space="preserve">in part </w:t>
      </w:r>
      <w:r>
        <w:t>on how revenue is recycled. Overall:</w:t>
      </w:r>
    </w:p>
    <w:p w:rsidR="001C066D" w:rsidRDefault="001C066D" w:rsidP="001C066D">
      <w:pPr>
        <w:pStyle w:val="ListBullet"/>
      </w:pPr>
      <w:r>
        <w:t>Cap and trade schemes, carbon taxes and emissions intensity schemes have similar cost effectiveness. Recycling revenue through tax cuts is likely to be somewhat more cost-effective than an emissions intensity scheme, while ‘lump sum’ revenue recycling (for example through increases in government payments) is likely to be the least cost-effective of the three.</w:t>
      </w:r>
    </w:p>
    <w:p w:rsidR="00E667F2" w:rsidRDefault="00E667F2" w:rsidP="00E667F2">
      <w:pPr>
        <w:pStyle w:val="ListBullet"/>
        <w:rPr>
          <w:lang w:val="en-GB"/>
        </w:rPr>
      </w:pPr>
      <w:r>
        <w:rPr>
          <w:lang w:val="en-GB"/>
        </w:rPr>
        <w:t>An emissions intensity scheme tends to have a smaller impact on electricity prices than a cap and trade scheme, and so is likely to cause smaller tax interaction effects</w:t>
      </w:r>
      <w:r w:rsidR="001E78DA">
        <w:rPr>
          <w:lang w:val="en-GB"/>
        </w:rPr>
        <w:t>, and a smaller effect on economic activity</w:t>
      </w:r>
      <w:r>
        <w:rPr>
          <w:lang w:val="en-GB"/>
        </w:rPr>
        <w:t xml:space="preserve">. </w:t>
      </w:r>
    </w:p>
    <w:p w:rsidR="001C066D" w:rsidRDefault="001C066D" w:rsidP="001C066D">
      <w:pPr>
        <w:pStyle w:val="ListBullet"/>
      </w:pPr>
      <w:r>
        <w:rPr>
          <w:lang w:val="en-GB" w:eastAsia="en-AU"/>
        </w:rPr>
        <w:t>In contrast, a cap and trade scheme with auctioning or a carbon tax can raise significant amounts of revenue and, in that case, the equity effects will depend heavily on how this revenue is recycled.</w:t>
      </w:r>
    </w:p>
    <w:p w:rsidR="001C066D" w:rsidRPr="001D0D64" w:rsidRDefault="001C066D" w:rsidP="001C066D">
      <w:pPr>
        <w:pStyle w:val="ChapterHeading4"/>
        <w:numPr>
          <w:ilvl w:val="3"/>
          <w:numId w:val="15"/>
        </w:numPr>
      </w:pPr>
      <w:r w:rsidRPr="001D0D64">
        <w:t>Possible additional policies</w:t>
      </w:r>
    </w:p>
    <w:p w:rsidR="0007782E" w:rsidRDefault="0095302B" w:rsidP="0095302B">
      <w:pPr>
        <w:pStyle w:val="BodyText"/>
        <w:rPr>
          <w:lang w:val="en-GB" w:eastAsia="en-AU"/>
        </w:rPr>
      </w:pPr>
      <w:r>
        <w:rPr>
          <w:lang w:val="en-GB" w:eastAsia="en-AU"/>
        </w:rPr>
        <w:t xml:space="preserve">The report considers the case for adding other policies to a market mechanism in the electricity generation sector. </w:t>
      </w:r>
      <w:r w:rsidR="006E2FEF">
        <w:rPr>
          <w:lang w:val="en-GB" w:eastAsia="en-AU"/>
        </w:rPr>
        <w:t>Such policies could</w:t>
      </w:r>
      <w:r w:rsidR="00AC5CB6">
        <w:rPr>
          <w:lang w:val="en-GB" w:eastAsia="en-AU"/>
        </w:rPr>
        <w:t xml:space="preserve"> include technology pull policies that</w:t>
      </w:r>
      <w:r w:rsidR="006E2FEF">
        <w:rPr>
          <w:lang w:val="en-GB" w:eastAsia="en-AU"/>
        </w:rPr>
        <w:t xml:space="preserve"> target</w:t>
      </w:r>
      <w:r w:rsidR="0007782E">
        <w:rPr>
          <w:lang w:val="en-GB" w:eastAsia="en-AU"/>
        </w:rPr>
        <w:t xml:space="preserve"> the </w:t>
      </w:r>
      <w:r w:rsidR="0007782E">
        <w:t>entry of low</w:t>
      </w:r>
      <w:r w:rsidR="0007782E">
        <w:noBreakHyphen/>
        <w:t>emissions generation</w:t>
      </w:r>
      <w:r w:rsidR="00AC5CB6">
        <w:t>,</w:t>
      </w:r>
      <w:r w:rsidR="0007782E">
        <w:t xml:space="preserve"> or </w:t>
      </w:r>
      <w:r w:rsidR="00AC5CB6">
        <w:t xml:space="preserve">policies that </w:t>
      </w:r>
      <w:r w:rsidR="0007782E">
        <w:t>regulat</w:t>
      </w:r>
      <w:r w:rsidR="001E78DA">
        <w:t>e</w:t>
      </w:r>
      <w:r w:rsidR="0007782E">
        <w:t xml:space="preserve"> </w:t>
      </w:r>
      <w:r w:rsidR="006E2FEF">
        <w:t xml:space="preserve">the </w:t>
      </w:r>
      <w:r w:rsidR="0007782E">
        <w:t xml:space="preserve">entry or exit of </w:t>
      </w:r>
      <w:r w:rsidR="001E78DA">
        <w:t xml:space="preserve">high-emissions </w:t>
      </w:r>
      <w:r w:rsidR="0007782E">
        <w:t>generators</w:t>
      </w:r>
      <w:r w:rsidR="00AC5CB6">
        <w:t>.</w:t>
      </w:r>
    </w:p>
    <w:p w:rsidR="00457050" w:rsidRDefault="0095302B" w:rsidP="0095302B">
      <w:pPr>
        <w:pStyle w:val="BodyText"/>
        <w:sectPr w:rsidR="00457050" w:rsidSect="00FD32FE">
          <w:footerReference w:type="default" r:id="rId26"/>
          <w:pgSz w:w="11907" w:h="16839" w:code="9"/>
          <w:pgMar w:top="1134" w:right="1134" w:bottom="1134" w:left="1134" w:header="720" w:footer="720" w:gutter="0"/>
          <w:cols w:space="720"/>
          <w:docGrid w:linePitch="360"/>
        </w:sectPr>
      </w:pPr>
      <w:r>
        <w:rPr>
          <w:lang w:val="en-GB" w:eastAsia="en-AU"/>
        </w:rPr>
        <w:t>In principle, a</w:t>
      </w:r>
      <w:r w:rsidRPr="00E73743">
        <w:rPr>
          <w:lang w:val="en-GB" w:eastAsia="en-AU"/>
        </w:rPr>
        <w:t xml:space="preserve">dditional </w:t>
      </w:r>
      <w:r w:rsidR="006E2FEF">
        <w:rPr>
          <w:lang w:val="en-GB" w:eastAsia="en-AU"/>
        </w:rPr>
        <w:t xml:space="preserve">regulatory or technology pull </w:t>
      </w:r>
      <w:r w:rsidRPr="00E73743">
        <w:rPr>
          <w:lang w:val="en-GB" w:eastAsia="en-AU"/>
        </w:rPr>
        <w:t>policies can reduce the costs of new low emissions technologies through targeted support</w:t>
      </w:r>
      <w:r>
        <w:rPr>
          <w:lang w:val="en-GB" w:eastAsia="en-AU"/>
        </w:rPr>
        <w:t xml:space="preserve"> and</w:t>
      </w:r>
      <w:r w:rsidRPr="00E73743">
        <w:rPr>
          <w:lang w:val="en-GB" w:eastAsia="en-AU"/>
        </w:rPr>
        <w:t xml:space="preserve"> </w:t>
      </w:r>
      <w:r w:rsidRPr="00E73743">
        <w:t>provide additional investor confidence</w:t>
      </w:r>
      <w:r>
        <w:t xml:space="preserve">. </w:t>
      </w:r>
      <w:r>
        <w:rPr>
          <w:lang w:val="en-GB" w:eastAsia="en-AU"/>
        </w:rPr>
        <w:t xml:space="preserve">On the other hand, adding policies to a </w:t>
      </w:r>
      <w:r w:rsidR="0007782E">
        <w:rPr>
          <w:lang w:val="en-GB" w:eastAsia="en-AU"/>
        </w:rPr>
        <w:t>market mechanism</w:t>
      </w:r>
      <w:r>
        <w:rPr>
          <w:lang w:val="en-GB" w:eastAsia="en-AU"/>
        </w:rPr>
        <w:t xml:space="preserve"> can increase costs and the complexity of the regulatory environment.</w:t>
      </w:r>
      <w:r w:rsidR="006E2FEF">
        <w:rPr>
          <w:lang w:val="en-GB" w:eastAsia="en-AU"/>
        </w:rPr>
        <w:t xml:space="preserve"> The prospect of new policies being implemented can also add to uncertainty as investors may delay new investment until the measures are designed and in place.</w:t>
      </w:r>
      <w:r>
        <w:rPr>
          <w:lang w:val="en-GB" w:eastAsia="en-AU"/>
        </w:rPr>
        <w:t xml:space="preserve"> </w:t>
      </w:r>
      <w:r w:rsidR="00CA762C">
        <w:t>Chapter 5</w:t>
      </w:r>
      <w:r w:rsidR="0007782E">
        <w:t xml:space="preserve"> uses the Authority’s evaluation principles to compare possible additional policies, drawing on the Authority’s and other recent modelling.</w:t>
      </w:r>
    </w:p>
    <w:p w:rsidR="0095302B" w:rsidRPr="000B156C" w:rsidRDefault="0095302B" w:rsidP="0095302B">
      <w:pPr>
        <w:pStyle w:val="BodyText"/>
      </w:pPr>
    </w:p>
    <w:p w:rsidR="0095302B" w:rsidRDefault="0095302B" w:rsidP="0095302B">
      <w:pPr>
        <w:pStyle w:val="BodyText"/>
        <w:rPr>
          <w:lang w:val="en-GB" w:eastAsia="en-AU"/>
        </w:rPr>
      </w:pPr>
    </w:p>
    <w:p w:rsidR="001C066D" w:rsidRPr="006D16B0" w:rsidRDefault="001C066D" w:rsidP="006B777E">
      <w:pPr>
        <w:pStyle w:val="ListBullet"/>
        <w:numPr>
          <w:ilvl w:val="0"/>
          <w:numId w:val="0"/>
        </w:numPr>
      </w:pPr>
    </w:p>
    <w:p w:rsidR="001C066D" w:rsidRPr="001C066D" w:rsidRDefault="001C066D" w:rsidP="001C066D">
      <w:pPr>
        <w:pStyle w:val="BodyText"/>
        <w:rPr>
          <w:lang w:val="en-GB" w:eastAsia="en-AU"/>
        </w:rPr>
      </w:pPr>
    </w:p>
    <w:p w:rsidR="004C77CE" w:rsidRDefault="007037E2" w:rsidP="009818D9">
      <w:pPr>
        <w:pStyle w:val="ChapterHeading1"/>
        <w:numPr>
          <w:ilvl w:val="0"/>
          <w:numId w:val="32"/>
        </w:numPr>
        <w:ind w:left="2835" w:hanging="2835"/>
      </w:pPr>
      <w:bookmarkStart w:id="17" w:name="_Toc447182422"/>
      <w:bookmarkStart w:id="18" w:name="_Toc447183267"/>
      <w:bookmarkStart w:id="19" w:name="_Toc447183341"/>
      <w:bookmarkStart w:id="20" w:name="_Toc447183379"/>
      <w:bookmarkStart w:id="21" w:name="_Toc447183467"/>
      <w:bookmarkStart w:id="22" w:name="_Toc447183526"/>
      <w:bookmarkStart w:id="23" w:name="_Ref447613498"/>
      <w:bookmarkStart w:id="24" w:name="_Ref447638793"/>
      <w:bookmarkStart w:id="25" w:name="_Toc448132675"/>
      <w:bookmarkStart w:id="26" w:name="_Toc448151735"/>
      <w:bookmarkStart w:id="27" w:name="_Toc448151803"/>
      <w:bookmarkStart w:id="28" w:name="_Ref448935847"/>
      <w:bookmarkStart w:id="29" w:name="_Toc460317973"/>
      <w:r>
        <w:lastRenderedPageBreak/>
        <w:t>A</w:t>
      </w:r>
      <w:r w:rsidR="00AD36C6">
        <w:t xml:space="preserve">bout this </w:t>
      </w:r>
      <w:bookmarkEnd w:id="17"/>
      <w:bookmarkEnd w:id="18"/>
      <w:bookmarkEnd w:id="19"/>
      <w:bookmarkEnd w:id="20"/>
      <w:bookmarkEnd w:id="21"/>
      <w:bookmarkEnd w:id="22"/>
      <w:bookmarkEnd w:id="23"/>
      <w:bookmarkEnd w:id="24"/>
      <w:bookmarkEnd w:id="25"/>
      <w:bookmarkEnd w:id="26"/>
      <w:bookmarkEnd w:id="27"/>
      <w:bookmarkEnd w:id="28"/>
      <w:r w:rsidR="00AD11F0">
        <w:t>research report</w:t>
      </w:r>
      <w:bookmarkEnd w:id="29"/>
    </w:p>
    <w:tbl>
      <w:tblPr>
        <w:tblStyle w:val="CCATablebox"/>
        <w:tblW w:w="0" w:type="auto"/>
        <w:tblLook w:val="04A0" w:firstRow="1" w:lastRow="0" w:firstColumn="1" w:lastColumn="0" w:noHBand="0" w:noVBand="1"/>
      </w:tblPr>
      <w:tblGrid>
        <w:gridCol w:w="9855"/>
      </w:tblGrid>
      <w:tr w:rsidR="004C77CE" w:rsidTr="005C6FE9">
        <w:trPr>
          <w:cnfStyle w:val="100000000000" w:firstRow="1" w:lastRow="0" w:firstColumn="0" w:lastColumn="0" w:oddVBand="0" w:evenVBand="0" w:oddHBand="0" w:evenHBand="0" w:firstRowFirstColumn="0" w:firstRowLastColumn="0" w:lastRowFirstColumn="0" w:lastRowLastColumn="0"/>
          <w:trHeight w:val="2154"/>
        </w:trPr>
        <w:tc>
          <w:tcPr>
            <w:tcW w:w="9855" w:type="dxa"/>
            <w:vAlign w:val="center"/>
          </w:tcPr>
          <w:p w:rsidR="00714204" w:rsidRDefault="00E71FDA" w:rsidP="00FD0E80">
            <w:pPr>
              <w:pStyle w:val="BodyText"/>
              <w:spacing w:before="240" w:after="240"/>
              <w:rPr>
                <w:lang w:val="en-US"/>
              </w:rPr>
            </w:pPr>
            <w:r w:rsidRPr="00A9299F">
              <w:t xml:space="preserve">The Authority has released this </w:t>
            </w:r>
            <w:r w:rsidR="00AD11F0">
              <w:t>report</w:t>
            </w:r>
            <w:r w:rsidRPr="00A9299F">
              <w:t xml:space="preserve"> </w:t>
            </w:r>
            <w:r w:rsidR="00137AD6">
              <w:t xml:space="preserve">as part of the work </w:t>
            </w:r>
            <w:r w:rsidR="00137AD6" w:rsidRPr="004B3394">
              <w:t xml:space="preserve">on emissions reduction policies for Australia’s electricity supply sector for its Special Review into Australia’s climate policy. </w:t>
            </w:r>
            <w:r w:rsidR="004C77CE" w:rsidRPr="009621A2">
              <w:rPr>
                <w:lang w:val="en-US"/>
              </w:rPr>
              <w:t xml:space="preserve">This chapter outlines the context </w:t>
            </w:r>
            <w:r w:rsidR="004C77CE">
              <w:rPr>
                <w:lang w:val="en-US"/>
              </w:rPr>
              <w:t xml:space="preserve">and purpose </w:t>
            </w:r>
            <w:r w:rsidR="00891B6E">
              <w:rPr>
                <w:lang w:val="en-US"/>
              </w:rPr>
              <w:t>of</w:t>
            </w:r>
            <w:r>
              <w:rPr>
                <w:lang w:val="en-US"/>
              </w:rPr>
              <w:t xml:space="preserve"> th</w:t>
            </w:r>
            <w:r w:rsidR="00DE40FB">
              <w:rPr>
                <w:lang w:val="en-US"/>
              </w:rPr>
              <w:t>is</w:t>
            </w:r>
            <w:r>
              <w:rPr>
                <w:lang w:val="en-US"/>
              </w:rPr>
              <w:t xml:space="preserve"> </w:t>
            </w:r>
            <w:r w:rsidR="00DE40FB">
              <w:rPr>
                <w:lang w:val="en-US"/>
              </w:rPr>
              <w:t>report</w:t>
            </w:r>
            <w:r w:rsidR="004C77CE" w:rsidRPr="009621A2">
              <w:rPr>
                <w:lang w:val="en-US"/>
              </w:rPr>
              <w:t>.</w:t>
            </w:r>
            <w:r>
              <w:rPr>
                <w:lang w:val="en-US"/>
              </w:rPr>
              <w:t xml:space="preserve"> It outlines the challenge of climate change and why it is in Australia’s interest to continue to contribute to global efforts to avoid dangerous </w:t>
            </w:r>
            <w:r w:rsidR="004461C5">
              <w:rPr>
                <w:lang w:val="en-US"/>
              </w:rPr>
              <w:t xml:space="preserve">impacts of </w:t>
            </w:r>
            <w:r>
              <w:rPr>
                <w:lang w:val="en-US"/>
              </w:rPr>
              <w:t>climate change. It provides some background information about the Authority and the Special Review</w:t>
            </w:r>
            <w:r w:rsidR="0084594A">
              <w:rPr>
                <w:lang w:val="en-US"/>
              </w:rPr>
              <w:t xml:space="preserve"> and explains why the Authority has devoted particular attention to the electricity supply sector.</w:t>
            </w:r>
          </w:p>
        </w:tc>
      </w:tr>
    </w:tbl>
    <w:p w:rsidR="004C77CE" w:rsidRPr="00856EDF" w:rsidRDefault="004C77CE" w:rsidP="004C77CE">
      <w:pPr>
        <w:pStyle w:val="BodyText"/>
        <w:rPr>
          <w:lang w:val="en-GB" w:eastAsia="en-AU"/>
        </w:rPr>
      </w:pPr>
    </w:p>
    <w:p w:rsidR="004C77CE" w:rsidRDefault="0084594A" w:rsidP="009818D9">
      <w:pPr>
        <w:pStyle w:val="ChapterHeading2"/>
        <w:numPr>
          <w:ilvl w:val="1"/>
          <w:numId w:val="15"/>
        </w:numPr>
      </w:pPr>
      <w:bookmarkStart w:id="30" w:name="_Toc447182423"/>
      <w:bookmarkStart w:id="31" w:name="_Toc447183268"/>
      <w:bookmarkStart w:id="32" w:name="_Toc447183342"/>
      <w:bookmarkStart w:id="33" w:name="_Toc447183380"/>
      <w:bookmarkStart w:id="34" w:name="_Toc447183468"/>
      <w:bookmarkStart w:id="35" w:name="_Toc447183527"/>
      <w:bookmarkStart w:id="36" w:name="_Toc448132676"/>
      <w:bookmarkStart w:id="37" w:name="_Toc448151736"/>
      <w:bookmarkStart w:id="38" w:name="_Toc448151804"/>
      <w:bookmarkStart w:id="39" w:name="_Toc460317974"/>
      <w:r>
        <w:t>Introduction</w:t>
      </w:r>
      <w:bookmarkEnd w:id="30"/>
      <w:bookmarkEnd w:id="31"/>
      <w:bookmarkEnd w:id="32"/>
      <w:bookmarkEnd w:id="33"/>
      <w:bookmarkEnd w:id="34"/>
      <w:bookmarkEnd w:id="35"/>
      <w:bookmarkEnd w:id="36"/>
      <w:bookmarkEnd w:id="37"/>
      <w:bookmarkEnd w:id="38"/>
      <w:bookmarkEnd w:id="39"/>
    </w:p>
    <w:p w:rsidR="00EA7259" w:rsidRDefault="0084594A" w:rsidP="004461C5">
      <w:pPr>
        <w:pStyle w:val="BodyText"/>
        <w:rPr>
          <w:lang w:val="en-GB" w:eastAsia="en-AU"/>
        </w:rPr>
      </w:pPr>
      <w:r>
        <w:rPr>
          <w:lang w:val="en-GB" w:eastAsia="en-AU"/>
        </w:rPr>
        <w:t xml:space="preserve">This </w:t>
      </w:r>
      <w:r w:rsidR="006D333E">
        <w:rPr>
          <w:lang w:val="en-GB" w:eastAsia="en-AU"/>
        </w:rPr>
        <w:t>research report</w:t>
      </w:r>
      <w:r>
        <w:rPr>
          <w:lang w:val="en-GB" w:eastAsia="en-AU"/>
        </w:rPr>
        <w:t xml:space="preserve"> forms part of the Authority’s Special Review into Australia’s </w:t>
      </w:r>
      <w:r w:rsidR="00137AD6">
        <w:rPr>
          <w:lang w:val="en-GB" w:eastAsia="en-AU"/>
        </w:rPr>
        <w:t>emissions reduction policies</w:t>
      </w:r>
      <w:r>
        <w:rPr>
          <w:lang w:val="en-GB" w:eastAsia="en-AU"/>
        </w:rPr>
        <w:t xml:space="preserve">, which was commissioned by the </w:t>
      </w:r>
      <w:r w:rsidR="00137AD6">
        <w:rPr>
          <w:lang w:val="en-GB" w:eastAsia="en-AU"/>
        </w:rPr>
        <w:t xml:space="preserve">then </w:t>
      </w:r>
      <w:r>
        <w:rPr>
          <w:lang w:val="en-GB" w:eastAsia="en-AU"/>
        </w:rPr>
        <w:t xml:space="preserve">Minister for the Environment in December 2014. </w:t>
      </w:r>
      <w:r w:rsidR="00BB19C6">
        <w:rPr>
          <w:lang w:val="en-GB" w:eastAsia="en-AU"/>
        </w:rPr>
        <w:t>T</w:t>
      </w:r>
      <w:r>
        <w:rPr>
          <w:lang w:val="en-GB" w:eastAsia="en-AU"/>
        </w:rPr>
        <w:t xml:space="preserve">his </w:t>
      </w:r>
      <w:r w:rsidR="00AD11F0">
        <w:rPr>
          <w:lang w:val="en-GB" w:eastAsia="en-AU"/>
        </w:rPr>
        <w:t>report</w:t>
      </w:r>
      <w:r>
        <w:rPr>
          <w:lang w:val="en-GB" w:eastAsia="en-AU"/>
        </w:rPr>
        <w:t xml:space="preserve"> </w:t>
      </w:r>
      <w:r w:rsidR="00897C35">
        <w:rPr>
          <w:lang w:val="en-GB" w:eastAsia="en-AU"/>
        </w:rPr>
        <w:t xml:space="preserve">sets out </w:t>
      </w:r>
      <w:r>
        <w:rPr>
          <w:lang w:val="en-GB" w:eastAsia="en-AU"/>
        </w:rPr>
        <w:t>the Authority</w:t>
      </w:r>
      <w:r w:rsidR="00897C35">
        <w:rPr>
          <w:lang w:val="en-GB" w:eastAsia="en-AU"/>
        </w:rPr>
        <w:t>’s</w:t>
      </w:r>
      <w:r>
        <w:rPr>
          <w:lang w:val="en-GB" w:eastAsia="en-AU"/>
        </w:rPr>
        <w:t xml:space="preserve"> </w:t>
      </w:r>
      <w:r w:rsidR="00897C35">
        <w:rPr>
          <w:lang w:val="en-GB" w:eastAsia="en-AU"/>
        </w:rPr>
        <w:t xml:space="preserve">detailed analysis of the electricity supply sector, which </w:t>
      </w:r>
      <w:r w:rsidR="00137AD6">
        <w:rPr>
          <w:lang w:val="en-GB" w:eastAsia="en-AU"/>
        </w:rPr>
        <w:t xml:space="preserve">informed </w:t>
      </w:r>
      <w:r w:rsidR="00897C35">
        <w:rPr>
          <w:lang w:val="en-GB" w:eastAsia="en-AU"/>
        </w:rPr>
        <w:t xml:space="preserve">its conclusions and recommendations for the electricity sector </w:t>
      </w:r>
      <w:r w:rsidR="00BB19C6">
        <w:rPr>
          <w:lang w:val="en-GB" w:eastAsia="en-AU"/>
        </w:rPr>
        <w:t xml:space="preserve">in </w:t>
      </w:r>
      <w:r w:rsidR="00BB19C6" w:rsidRPr="009D0F88">
        <w:rPr>
          <w:i/>
          <w:lang w:val="en-GB" w:eastAsia="en-AU"/>
        </w:rPr>
        <w:t xml:space="preserve">Towards a </w:t>
      </w:r>
      <w:r w:rsidR="00CA762C">
        <w:rPr>
          <w:i/>
          <w:lang w:val="en-GB" w:eastAsia="en-AU"/>
        </w:rPr>
        <w:t>c</w:t>
      </w:r>
      <w:r w:rsidR="00BB19C6" w:rsidRPr="009D0F88">
        <w:rPr>
          <w:i/>
          <w:lang w:val="en-GB" w:eastAsia="en-AU"/>
        </w:rPr>
        <w:t xml:space="preserve">limate </w:t>
      </w:r>
      <w:r w:rsidR="00CA762C">
        <w:rPr>
          <w:i/>
          <w:lang w:val="en-GB" w:eastAsia="en-AU"/>
        </w:rPr>
        <w:t>p</w:t>
      </w:r>
      <w:r w:rsidR="00BB19C6" w:rsidRPr="009D0F88">
        <w:rPr>
          <w:i/>
          <w:lang w:val="en-GB" w:eastAsia="en-AU"/>
        </w:rPr>
        <w:t xml:space="preserve">olicy </w:t>
      </w:r>
      <w:r w:rsidR="00CA762C">
        <w:rPr>
          <w:i/>
          <w:lang w:val="en-GB" w:eastAsia="en-AU"/>
        </w:rPr>
        <w:t>t</w:t>
      </w:r>
      <w:r w:rsidR="00BB19C6" w:rsidRPr="009D0F88">
        <w:rPr>
          <w:i/>
          <w:lang w:val="en-GB" w:eastAsia="en-AU"/>
        </w:rPr>
        <w:t>oolkit: Special Review on Australia’s climate goals and policies</w:t>
      </w:r>
      <w:r w:rsidR="00BB19C6">
        <w:rPr>
          <w:lang w:val="en-GB" w:eastAsia="en-AU"/>
        </w:rPr>
        <w:t xml:space="preserve"> (</w:t>
      </w:r>
      <w:r w:rsidR="00897C35">
        <w:rPr>
          <w:lang w:val="en-GB" w:eastAsia="en-AU"/>
        </w:rPr>
        <w:t xml:space="preserve">hereafter </w:t>
      </w:r>
      <w:r w:rsidR="00BB19C6">
        <w:rPr>
          <w:lang w:val="en-GB" w:eastAsia="en-AU"/>
        </w:rPr>
        <w:t>‘Report Three’ of the Special Review)</w:t>
      </w:r>
      <w:r>
        <w:rPr>
          <w:lang w:val="en-GB" w:eastAsia="en-AU"/>
        </w:rPr>
        <w:t xml:space="preserve">. </w:t>
      </w:r>
      <w:r w:rsidR="00897C35">
        <w:rPr>
          <w:lang w:val="en-GB" w:eastAsia="en-AU"/>
        </w:rPr>
        <w:t xml:space="preserve">Report Three also sets out the Authority’s policy conclusions and recommendations for other sectors. </w:t>
      </w:r>
    </w:p>
    <w:p w:rsidR="00907D4A" w:rsidRDefault="0061495D" w:rsidP="004461C5">
      <w:pPr>
        <w:pStyle w:val="BodyText"/>
      </w:pPr>
      <w:r>
        <w:rPr>
          <w:lang w:val="en-GB" w:eastAsia="en-AU"/>
        </w:rPr>
        <w:t>T</w:t>
      </w:r>
      <w:r w:rsidR="00907D4A">
        <w:rPr>
          <w:lang w:val="en-GB" w:eastAsia="en-AU"/>
        </w:rPr>
        <w:t xml:space="preserve">he Authority has benefited from stakeholder feedback and would like to thank all the organisations and people who made submissions to the </w:t>
      </w:r>
      <w:r w:rsidR="004F36DF">
        <w:rPr>
          <w:lang w:val="en-GB" w:eastAsia="en-AU"/>
        </w:rPr>
        <w:t xml:space="preserve">Special </w:t>
      </w:r>
      <w:r w:rsidR="00907D4A">
        <w:rPr>
          <w:lang w:val="en-GB" w:eastAsia="en-AU"/>
        </w:rPr>
        <w:t>Review.</w:t>
      </w:r>
    </w:p>
    <w:p w:rsidR="00D062AB" w:rsidRDefault="00D062AB" w:rsidP="00D062AB">
      <w:pPr>
        <w:pStyle w:val="ChapterHeading2"/>
      </w:pPr>
      <w:bookmarkStart w:id="40" w:name="_Toc457551999"/>
      <w:bookmarkStart w:id="41" w:name="_Toc459218451"/>
      <w:bookmarkStart w:id="42" w:name="_Toc447182424"/>
      <w:bookmarkStart w:id="43" w:name="_Toc447183269"/>
      <w:bookmarkStart w:id="44" w:name="_Toc447183343"/>
      <w:bookmarkStart w:id="45" w:name="_Toc447183381"/>
      <w:bookmarkStart w:id="46" w:name="_Toc447183469"/>
      <w:bookmarkStart w:id="47" w:name="_Toc447183528"/>
      <w:bookmarkStart w:id="48" w:name="_Toc448132677"/>
      <w:bookmarkStart w:id="49" w:name="_Toc448151737"/>
      <w:bookmarkStart w:id="50" w:name="_Toc448151805"/>
      <w:bookmarkStart w:id="51" w:name="_Toc460317975"/>
      <w:bookmarkStart w:id="52" w:name="_Toc447182425"/>
      <w:bookmarkStart w:id="53" w:name="_Toc447183270"/>
      <w:bookmarkStart w:id="54" w:name="_Toc447183344"/>
      <w:bookmarkStart w:id="55" w:name="_Toc447183382"/>
      <w:bookmarkStart w:id="56" w:name="_Toc447183470"/>
      <w:bookmarkStart w:id="57" w:name="_Toc447183529"/>
      <w:bookmarkStart w:id="58" w:name="_Toc448132678"/>
      <w:bookmarkStart w:id="59" w:name="_Toc448151738"/>
      <w:bookmarkStart w:id="60" w:name="_Toc448151806"/>
      <w:bookmarkEnd w:id="40"/>
      <w:bookmarkEnd w:id="41"/>
      <w:r>
        <w:t>The challenge of climate change</w:t>
      </w:r>
      <w:bookmarkEnd w:id="42"/>
      <w:bookmarkEnd w:id="43"/>
      <w:bookmarkEnd w:id="44"/>
      <w:bookmarkEnd w:id="45"/>
      <w:bookmarkEnd w:id="46"/>
      <w:bookmarkEnd w:id="47"/>
      <w:bookmarkEnd w:id="48"/>
      <w:bookmarkEnd w:id="49"/>
      <w:bookmarkEnd w:id="50"/>
      <w:bookmarkEnd w:id="51"/>
    </w:p>
    <w:p w:rsidR="00D062AB" w:rsidRDefault="00D062AB" w:rsidP="00D062AB">
      <w:pPr>
        <w:pStyle w:val="BodyText"/>
      </w:pPr>
      <w:r>
        <w:t xml:space="preserve">Climate change is a serious global challenge, and poses major risks to the Australian community, economy and environment. Climate change is already having effects in Australia and around the world. </w:t>
      </w:r>
    </w:p>
    <w:p w:rsidR="00D062AB" w:rsidRDefault="00D062AB" w:rsidP="00D062AB">
      <w:pPr>
        <w:pStyle w:val="BodyText"/>
      </w:pPr>
      <w:r>
        <w:t>Human activity is causing the climate to warm. Some activities, such as burning fossil fuels and clearing land, produce greenhouse gases, which trap heat like a greenhouse. As concentrations of greenhouse gases increase, more heat is retained and the climate gets warmer. While there is global scientific consensus that humans are the dominant cause of warming since the mid-20</w:t>
      </w:r>
      <w:r w:rsidRPr="00A935E0">
        <w:rPr>
          <w:vertAlign w:val="superscript"/>
        </w:rPr>
        <w:t>th</w:t>
      </w:r>
      <w:r w:rsidR="0051126D">
        <w:t xml:space="preserve"> century (95 to </w:t>
      </w:r>
      <w:r w:rsidR="00AA64EE">
        <w:t>100 </w:t>
      </w:r>
      <w:r>
        <w:t>per</w:t>
      </w:r>
      <w:r w:rsidR="00AA64EE">
        <w:t> </w:t>
      </w:r>
      <w:r w:rsidR="005C6FE9">
        <w:t>cent certainty),</w:t>
      </w:r>
      <w:r>
        <w:t xml:space="preserve"> the climate system is complex and there are uncertainties, particularly around how much the climate will change in the future</w:t>
      </w:r>
      <w:r w:rsidR="00514988">
        <w:t>, the pace of change,</w:t>
      </w:r>
      <w:r>
        <w:t xml:space="preserve"> and the likely impacts of that change </w:t>
      </w:r>
      <w:bookmarkStart w:id="61" w:name="_CTVP0012bc1adcb9cb04881b40ca984f9d01a29"/>
      <w:r w:rsidR="0059109A">
        <w:t>(IPCC 2014)</w:t>
      </w:r>
      <w:bookmarkEnd w:id="61"/>
      <w:r>
        <w:t>.</w:t>
      </w:r>
    </w:p>
    <w:p w:rsidR="00D062AB" w:rsidRDefault="00D062AB" w:rsidP="00D062AB">
      <w:pPr>
        <w:pStyle w:val="BodyText"/>
      </w:pPr>
      <w:r>
        <w:t xml:space="preserve">Australia is already experiencing the effects of climate change. As more greenhouse gases are released and the climate continues to change, these impacts will become more severe. In Australia, we are likely to see higher temperatures, reduced snow cover, and increased frequency and intensity of fires, floods and droughts, with effects varying </w:t>
      </w:r>
      <w:r w:rsidR="00043E38">
        <w:t xml:space="preserve">between </w:t>
      </w:r>
      <w:r>
        <w:t>region</w:t>
      </w:r>
      <w:r w:rsidR="00A34E93">
        <w:t>s</w:t>
      </w:r>
      <w:r>
        <w:t xml:space="preserve"> </w:t>
      </w:r>
      <w:bookmarkStart w:id="62" w:name="_CTVP0019e7a5496eafd442f8a1288a3cc530b95"/>
      <w:r w:rsidR="0059109A">
        <w:t>(Hennessy et al. 2008; CSIRO 2011; Steffen et al. 2014)</w:t>
      </w:r>
      <w:bookmarkEnd w:id="62"/>
      <w:r>
        <w:t xml:space="preserve">. As temperatures rise and Australia’s rainfall patterns change, Australia’s agricultural production is likely to be affected—with </w:t>
      </w:r>
      <w:r w:rsidR="00043E38">
        <w:t xml:space="preserve">some </w:t>
      </w:r>
      <w:r>
        <w:t xml:space="preserve">previously productive areas becoming marginal </w:t>
      </w:r>
      <w:bookmarkStart w:id="63" w:name="_CTVP0011f87bae8ff7545f9bb90dccbe238b6dd"/>
      <w:r w:rsidR="0059109A">
        <w:t>(CSIRO 2011)</w:t>
      </w:r>
      <w:bookmarkEnd w:id="63"/>
      <w:r>
        <w:t>.</w:t>
      </w:r>
    </w:p>
    <w:p w:rsidR="00D062AB" w:rsidRDefault="00D062AB" w:rsidP="00D062AB">
      <w:pPr>
        <w:pStyle w:val="BodyText"/>
      </w:pPr>
      <w:r>
        <w:t xml:space="preserve">The global community is acting to address climate change. At the Paris </w:t>
      </w:r>
      <w:r w:rsidRPr="00702357">
        <w:t xml:space="preserve">United Nations Framework Convention on Climate Change </w:t>
      </w:r>
      <w:r>
        <w:t xml:space="preserve">(UNFCCC) conference in December 2015, 195 countries agreed to a </w:t>
      </w:r>
      <w:r>
        <w:lastRenderedPageBreak/>
        <w:t xml:space="preserve">global goal to hold the increase in global average temperatures to ‘well below 2 degrees Celsius above pre-industrial levels and pursue efforts to limit the temperature </w:t>
      </w:r>
      <w:r w:rsidR="0051126D">
        <w:t>increase to 1.5 degrees Celsius</w:t>
      </w:r>
      <w:r>
        <w:t xml:space="preserve">… recognising that this would significantly reduce the risks and impacts of climate change’ </w:t>
      </w:r>
      <w:bookmarkStart w:id="64" w:name="_CTVP001bd182a0c43b6425b92a923eea30ea92a"/>
      <w:r w:rsidR="0059109A">
        <w:t>(UNFCCC 2015)</w:t>
      </w:r>
      <w:bookmarkEnd w:id="64"/>
      <w:r>
        <w:t>.</w:t>
      </w:r>
    </w:p>
    <w:p w:rsidR="00D062AB" w:rsidRDefault="00D062AB" w:rsidP="00D062AB">
      <w:pPr>
        <w:pStyle w:val="BodyText"/>
      </w:pPr>
      <w:r>
        <w:t xml:space="preserve">These temperature goals are significant. With </w:t>
      </w:r>
      <w:r w:rsidR="00514988">
        <w:t>less than</w:t>
      </w:r>
      <w:r>
        <w:t xml:space="preserve"> 2 degrees of warming, Australia is more likely to be able to adapt to and manage the impacts of climate change, such as additional sea level rise and more frequent heatwaves and drought </w:t>
      </w:r>
      <w:bookmarkStart w:id="65" w:name="_CTVP001b2896e16e60f4ceeb0883dc1707d8cc9"/>
      <w:r w:rsidR="0059109A">
        <w:t>(CSIRO 2011)</w:t>
      </w:r>
      <w:bookmarkEnd w:id="65"/>
      <w:r>
        <w:t>. Beyond 2 degrees, these impacts become much more severe and adaptation can be expected to become increasingly challenging and costly.</w:t>
      </w:r>
    </w:p>
    <w:p w:rsidR="00D062AB" w:rsidRDefault="00D062AB" w:rsidP="00D062AB">
      <w:pPr>
        <w:pStyle w:val="BodyText"/>
      </w:pPr>
      <w:r>
        <w:t xml:space="preserve">Sustained global action is required to limit global warming to ‘well below 2 degrees’. While the world is not yet on track to achieve this goal, countries are making progress and their efforts are increasing over time. Emissions reduction targets and policies that allow Australia to play its part in this international response are a </w:t>
      </w:r>
      <w:r w:rsidRPr="00A72463">
        <w:t>prudent</w:t>
      </w:r>
      <w:r>
        <w:t xml:space="preserve"> risk management strategy, given </w:t>
      </w:r>
      <w:r w:rsidR="00043E38">
        <w:t>likely</w:t>
      </w:r>
      <w:r>
        <w:t xml:space="preserve"> climate change impacts on Australia.</w:t>
      </w:r>
    </w:p>
    <w:p w:rsidR="004C77CE" w:rsidRDefault="00074020" w:rsidP="0064778B">
      <w:pPr>
        <w:pStyle w:val="ChapterHeading2"/>
      </w:pPr>
      <w:bookmarkStart w:id="66" w:name="_Toc460317976"/>
      <w:r>
        <w:t xml:space="preserve">The Climate Change Authority and </w:t>
      </w:r>
      <w:r w:rsidR="00E71FDA">
        <w:t>its</w:t>
      </w:r>
      <w:r>
        <w:t xml:space="preserve"> </w:t>
      </w:r>
      <w:r w:rsidR="004C77CE">
        <w:t>Special Review</w:t>
      </w:r>
      <w:bookmarkEnd w:id="52"/>
      <w:bookmarkEnd w:id="53"/>
      <w:bookmarkEnd w:id="54"/>
      <w:bookmarkEnd w:id="55"/>
      <w:bookmarkEnd w:id="56"/>
      <w:bookmarkEnd w:id="57"/>
      <w:bookmarkEnd w:id="58"/>
      <w:bookmarkEnd w:id="59"/>
      <w:bookmarkEnd w:id="60"/>
      <w:bookmarkEnd w:id="66"/>
    </w:p>
    <w:p w:rsidR="00570A76" w:rsidRDefault="004C77CE" w:rsidP="004C77CE">
      <w:pPr>
        <w:pStyle w:val="BodyText"/>
      </w:pPr>
      <w:r>
        <w:t xml:space="preserve">The Climate Change Authority provides independent, expert advice to the Australian Government and Parliament on policies and measures to reduce the risks of climate change. </w:t>
      </w:r>
      <w:r w:rsidR="0064778B">
        <w:t>The Authority comprises nine members, including the Chief Scientist, and one associate member for this Special Review.</w:t>
      </w:r>
    </w:p>
    <w:p w:rsidR="00822385" w:rsidRDefault="00570A76" w:rsidP="004C77CE">
      <w:pPr>
        <w:pStyle w:val="BodyText"/>
        <w:rPr>
          <w:lang w:val="en-GB" w:eastAsia="en-GB"/>
        </w:rPr>
      </w:pPr>
      <w:r>
        <w:t xml:space="preserve">This </w:t>
      </w:r>
      <w:r w:rsidR="00AD11F0">
        <w:t>report</w:t>
      </w:r>
      <w:r>
        <w:t xml:space="preserve"> forms part of the Authority’s</w:t>
      </w:r>
      <w:r w:rsidR="004C77CE">
        <w:t xml:space="preserve"> wide</w:t>
      </w:r>
      <w:r w:rsidR="004C77CE">
        <w:noBreakHyphen/>
        <w:t xml:space="preserve">ranging Special Review </w:t>
      </w:r>
      <w:r w:rsidR="004C77CE" w:rsidRPr="0062662D">
        <w:rPr>
          <w:lang w:val="en-GB" w:eastAsia="en-GB"/>
        </w:rPr>
        <w:t>into Australia’s climate change action</w:t>
      </w:r>
      <w:r w:rsidR="004C77CE">
        <w:t>.</w:t>
      </w:r>
      <w:r w:rsidR="004C0BE1" w:rsidRPr="004C0BE1">
        <w:rPr>
          <w:lang w:val="en-GB" w:eastAsia="en-AU"/>
        </w:rPr>
        <w:t xml:space="preserve"> </w:t>
      </w:r>
      <w:r w:rsidR="004C0BE1">
        <w:rPr>
          <w:lang w:val="en-GB" w:eastAsia="en-AU"/>
        </w:rPr>
        <w:t xml:space="preserve">The terms of reference for the Special Review </w:t>
      </w:r>
      <w:r w:rsidR="00517B44">
        <w:rPr>
          <w:lang w:val="en-GB" w:eastAsia="en-AU"/>
        </w:rPr>
        <w:t>(</w:t>
      </w:r>
      <w:r w:rsidR="00CA762C">
        <w:rPr>
          <w:lang w:val="en-GB" w:eastAsia="en-AU"/>
        </w:rPr>
        <w:t>Appendix A</w:t>
      </w:r>
      <w:r w:rsidR="00517B44">
        <w:rPr>
          <w:lang w:val="en-GB" w:eastAsia="en-AU"/>
        </w:rPr>
        <w:t xml:space="preserve">) </w:t>
      </w:r>
      <w:r w:rsidR="004C0BE1">
        <w:rPr>
          <w:lang w:val="en-GB" w:eastAsia="en-AU"/>
        </w:rPr>
        <w:t>require the Authority to consider, among other things, whether Australia should introduce an emissions trading scheme</w:t>
      </w:r>
      <w:r w:rsidR="001E78DA">
        <w:rPr>
          <w:lang w:val="en-GB" w:eastAsia="en-AU"/>
        </w:rPr>
        <w:t xml:space="preserve">. </w:t>
      </w:r>
      <w:r w:rsidR="009B1ED4">
        <w:t>R</w:t>
      </w:r>
      <w:r w:rsidR="00822385">
        <w:t xml:space="preserve">eports from the </w:t>
      </w:r>
      <w:r w:rsidR="004F36DF">
        <w:t xml:space="preserve">Special Review </w:t>
      </w:r>
      <w:r w:rsidR="00822385">
        <w:t>are available on the Authority’s website</w:t>
      </w:r>
      <w:r w:rsidR="00822385" w:rsidRPr="0062662D">
        <w:rPr>
          <w:lang w:val="en-GB"/>
        </w:rPr>
        <w:t>.</w:t>
      </w:r>
    </w:p>
    <w:p w:rsidR="004C77CE" w:rsidRPr="0062662D" w:rsidRDefault="004C77CE" w:rsidP="0064778B">
      <w:pPr>
        <w:pStyle w:val="ListBullet"/>
        <w:rPr>
          <w:lang w:val="en-GB"/>
        </w:rPr>
      </w:pPr>
      <w:r w:rsidRPr="0062662D">
        <w:rPr>
          <w:lang w:val="en-GB"/>
        </w:rPr>
        <w:t xml:space="preserve">The first </w:t>
      </w:r>
      <w:r w:rsidR="00D75861">
        <w:rPr>
          <w:lang w:val="en-GB"/>
        </w:rPr>
        <w:t>draft report</w:t>
      </w:r>
      <w:r w:rsidR="00D75861" w:rsidRPr="0062662D">
        <w:rPr>
          <w:lang w:val="en-GB"/>
        </w:rPr>
        <w:t xml:space="preserve"> </w:t>
      </w:r>
      <w:bookmarkStart w:id="67" w:name="_CTVP001aac1cac54ea146d09bcb95589a4f2cd6"/>
      <w:r w:rsidR="0059109A">
        <w:rPr>
          <w:lang w:val="en-GB"/>
        </w:rPr>
        <w:t>(CCA 2015a)</w:t>
      </w:r>
      <w:bookmarkEnd w:id="67"/>
      <w:r w:rsidR="00822385">
        <w:rPr>
          <w:lang w:val="en-GB"/>
        </w:rPr>
        <w:t xml:space="preserve"> </w:t>
      </w:r>
      <w:r w:rsidRPr="0062662D">
        <w:rPr>
          <w:lang w:val="en-GB"/>
        </w:rPr>
        <w:t>focused on Australia’s emissions reduction targets for the period beyond</w:t>
      </w:r>
      <w:r>
        <w:rPr>
          <w:lang w:val="en-GB"/>
        </w:rPr>
        <w:t xml:space="preserve"> </w:t>
      </w:r>
      <w:r w:rsidRPr="0062662D">
        <w:rPr>
          <w:lang w:val="en-GB"/>
        </w:rPr>
        <w:t>2020. Following consultations with stakeholders, the Authority recommended targets for 2025 and 2030</w:t>
      </w:r>
      <w:r w:rsidR="00ED719F">
        <w:rPr>
          <w:lang w:val="en-GB"/>
        </w:rPr>
        <w:t xml:space="preserve">. </w:t>
      </w:r>
    </w:p>
    <w:p w:rsidR="00BB0CD1" w:rsidRDefault="00ED719F" w:rsidP="0064778B">
      <w:pPr>
        <w:pStyle w:val="ListBullet"/>
        <w:rPr>
          <w:lang w:val="en-GB"/>
        </w:rPr>
      </w:pPr>
      <w:r>
        <w:t xml:space="preserve">The second draft report </w:t>
      </w:r>
      <w:r w:rsidR="004A64C1">
        <w:rPr>
          <w:lang w:val="en-GB" w:eastAsia="en-AU"/>
        </w:rPr>
        <w:t>(hereafter ‘Report Two</w:t>
      </w:r>
      <w:r w:rsidR="00BB19C6">
        <w:rPr>
          <w:lang w:val="en-GB" w:eastAsia="en-AU"/>
        </w:rPr>
        <w:t>’)</w:t>
      </w:r>
      <w:r w:rsidR="004A64C1">
        <w:rPr>
          <w:lang w:val="en-GB" w:eastAsia="en-AU"/>
        </w:rPr>
        <w:t xml:space="preserve"> </w:t>
      </w:r>
      <w:r>
        <w:t>set out policy options for how Australia could meet its targets</w:t>
      </w:r>
      <w:r w:rsidR="004C0BE1">
        <w:t xml:space="preserve"> </w:t>
      </w:r>
      <w:bookmarkStart w:id="68" w:name="_CTVP001101de7d225a84351a4343af822d649a7"/>
      <w:r w:rsidR="0059109A">
        <w:rPr>
          <w:lang w:val="en-GB"/>
        </w:rPr>
        <w:t>(CCA 2015b)</w:t>
      </w:r>
      <w:bookmarkEnd w:id="68"/>
      <w:r>
        <w:t>. The report described and discussed a range of options and proposed a framework for evaluating policies</w:t>
      </w:r>
      <w:r w:rsidR="007155D1">
        <w:t xml:space="preserve"> based on the principles of </w:t>
      </w:r>
      <w:r w:rsidR="007155D1">
        <w:rPr>
          <w:lang w:val="en-GB"/>
        </w:rPr>
        <w:t>cost effectiveness</w:t>
      </w:r>
      <w:r w:rsidR="00CB2957">
        <w:rPr>
          <w:lang w:val="en-GB"/>
        </w:rPr>
        <w:t>,</w:t>
      </w:r>
      <w:r w:rsidR="007155D1">
        <w:rPr>
          <w:lang w:val="en-GB"/>
        </w:rPr>
        <w:t xml:space="preserve"> environmental effectiveness and equity</w:t>
      </w:r>
      <w:r>
        <w:t xml:space="preserve">. </w:t>
      </w:r>
      <w:r w:rsidR="007155D1">
        <w:t>Many organisations and individuals</w:t>
      </w:r>
      <w:r w:rsidR="00CB2957">
        <w:t xml:space="preserve"> made submissions which</w:t>
      </w:r>
      <w:r w:rsidR="007155D1">
        <w:t xml:space="preserve"> have</w:t>
      </w:r>
      <w:r w:rsidR="000809E3">
        <w:t xml:space="preserve"> helped to</w:t>
      </w:r>
      <w:r w:rsidR="007155D1">
        <w:t xml:space="preserve"> inform th</w:t>
      </w:r>
      <w:r w:rsidR="00897C35">
        <w:t>e electricity research</w:t>
      </w:r>
      <w:r w:rsidR="002E6B4C">
        <w:t xml:space="preserve"> report</w:t>
      </w:r>
      <w:r w:rsidR="00CB2957">
        <w:t xml:space="preserve"> and are </w:t>
      </w:r>
      <w:r w:rsidR="005C6FE9">
        <w:t xml:space="preserve">available on the </w:t>
      </w:r>
      <w:r w:rsidR="00CB2957">
        <w:t>Authority’s website</w:t>
      </w:r>
      <w:r w:rsidR="002A23DB">
        <w:t>.</w:t>
      </w:r>
      <w:r w:rsidR="007155D1">
        <w:t xml:space="preserve"> </w:t>
      </w:r>
      <w:r w:rsidR="00D75861">
        <w:t xml:space="preserve"> </w:t>
      </w:r>
    </w:p>
    <w:p w:rsidR="00E71FDA" w:rsidRPr="005D539C" w:rsidRDefault="00822385" w:rsidP="009D0F88">
      <w:pPr>
        <w:pStyle w:val="ListBullet"/>
        <w:rPr>
          <w:lang w:val="en-GB"/>
        </w:rPr>
      </w:pPr>
      <w:r w:rsidRPr="00BB0CD1">
        <w:rPr>
          <w:lang w:val="en-GB"/>
        </w:rPr>
        <w:t>Report Three of the Special Review</w:t>
      </w:r>
      <w:r w:rsidR="004C77CE" w:rsidRPr="00DA338C">
        <w:rPr>
          <w:lang w:val="en-GB"/>
        </w:rPr>
        <w:t xml:space="preserve"> </w:t>
      </w:r>
      <w:r w:rsidR="004C77CE" w:rsidRPr="00853887">
        <w:rPr>
          <w:lang w:val="en-GB"/>
        </w:rPr>
        <w:t>recommend</w:t>
      </w:r>
      <w:r w:rsidR="00137AD6">
        <w:rPr>
          <w:lang w:val="en-GB"/>
        </w:rPr>
        <w:t>s</w:t>
      </w:r>
      <w:r w:rsidR="004C77CE" w:rsidRPr="00BB0CD1">
        <w:rPr>
          <w:lang w:val="en-GB"/>
        </w:rPr>
        <w:t xml:space="preserve"> what action Australia should take to implement outcomes flowing from the Paris climate conference</w:t>
      </w:r>
      <w:r w:rsidR="000809E3" w:rsidRPr="00DC7BB7">
        <w:rPr>
          <w:lang w:val="en-GB"/>
        </w:rPr>
        <w:t xml:space="preserve"> in 2015</w:t>
      </w:r>
      <w:r w:rsidR="007155D1" w:rsidRPr="00DC7BB7">
        <w:rPr>
          <w:lang w:val="en-GB"/>
        </w:rPr>
        <w:t xml:space="preserve">. It </w:t>
      </w:r>
      <w:r w:rsidR="007155D1" w:rsidRPr="00DA338C">
        <w:rPr>
          <w:lang w:val="en-GB"/>
        </w:rPr>
        <w:t>recommend</w:t>
      </w:r>
      <w:r w:rsidR="00DC2BB8">
        <w:rPr>
          <w:lang w:val="en-GB"/>
        </w:rPr>
        <w:t>s</w:t>
      </w:r>
      <w:r w:rsidR="007155D1" w:rsidRPr="00BB0CD1">
        <w:rPr>
          <w:lang w:val="en-GB"/>
        </w:rPr>
        <w:t xml:space="preserve"> a policy toolkit for Australia to reduce its emissions, taking into account cost effectiveness</w:t>
      </w:r>
      <w:r w:rsidR="000809E3" w:rsidRPr="00DC7BB7">
        <w:rPr>
          <w:lang w:val="en-GB"/>
        </w:rPr>
        <w:t xml:space="preserve">, </w:t>
      </w:r>
      <w:r w:rsidR="007155D1" w:rsidRPr="00DC7BB7">
        <w:rPr>
          <w:lang w:val="en-GB"/>
        </w:rPr>
        <w:t>environmental effectiveness, equity</w:t>
      </w:r>
      <w:r w:rsidR="00CB2957" w:rsidRPr="00DA338C">
        <w:rPr>
          <w:lang w:val="en-GB"/>
        </w:rPr>
        <w:t xml:space="preserve"> and</w:t>
      </w:r>
      <w:r w:rsidR="007155D1" w:rsidRPr="00DA338C">
        <w:rPr>
          <w:lang w:val="en-GB"/>
        </w:rPr>
        <w:t xml:space="preserve"> international competitiveness</w:t>
      </w:r>
      <w:r w:rsidR="00CB2957" w:rsidRPr="00853887">
        <w:rPr>
          <w:lang w:val="en-GB"/>
        </w:rPr>
        <w:t xml:space="preserve"> of Australia and Australian firms</w:t>
      </w:r>
      <w:r w:rsidR="007155D1" w:rsidRPr="002F6778">
        <w:rPr>
          <w:lang w:val="en-GB"/>
        </w:rPr>
        <w:t>.</w:t>
      </w:r>
    </w:p>
    <w:p w:rsidR="004C77CE" w:rsidRDefault="0040501F" w:rsidP="0064778B">
      <w:pPr>
        <w:pStyle w:val="ChapterHeading2"/>
      </w:pPr>
      <w:bookmarkStart w:id="69" w:name="_Toc447182426"/>
      <w:bookmarkStart w:id="70" w:name="_Toc447183271"/>
      <w:bookmarkStart w:id="71" w:name="_Toc447183345"/>
      <w:bookmarkStart w:id="72" w:name="_Toc447183383"/>
      <w:bookmarkStart w:id="73" w:name="_Toc447183471"/>
      <w:bookmarkStart w:id="74" w:name="_Toc447183530"/>
      <w:bookmarkStart w:id="75" w:name="_Toc448132679"/>
      <w:bookmarkStart w:id="76" w:name="_Toc448151739"/>
      <w:bookmarkStart w:id="77" w:name="_Toc448151807"/>
      <w:bookmarkStart w:id="78" w:name="_Toc460317977"/>
      <w:r>
        <w:rPr>
          <w:lang w:eastAsia="en-GB"/>
        </w:rPr>
        <w:t>Scope</w:t>
      </w:r>
      <w:bookmarkEnd w:id="69"/>
      <w:bookmarkEnd w:id="70"/>
      <w:bookmarkEnd w:id="71"/>
      <w:bookmarkEnd w:id="72"/>
      <w:bookmarkEnd w:id="73"/>
      <w:bookmarkEnd w:id="74"/>
      <w:bookmarkEnd w:id="75"/>
      <w:bookmarkEnd w:id="76"/>
      <w:bookmarkEnd w:id="77"/>
      <w:bookmarkEnd w:id="78"/>
    </w:p>
    <w:p w:rsidR="00D062AB" w:rsidRDefault="00D062AB" w:rsidP="004F5BC1">
      <w:pPr>
        <w:pStyle w:val="ListBullet"/>
        <w:numPr>
          <w:ilvl w:val="0"/>
          <w:numId w:val="0"/>
        </w:numPr>
      </w:pPr>
      <w:r>
        <w:t xml:space="preserve">This </w:t>
      </w:r>
      <w:r w:rsidR="00AD11F0">
        <w:t>report</w:t>
      </w:r>
      <w:r>
        <w:t xml:space="preserve"> presents the Authority’s electricity sector analysis </w:t>
      </w:r>
      <w:r w:rsidR="00BB0CD1">
        <w:t>which</w:t>
      </w:r>
      <w:r>
        <w:t xml:space="preserve"> inform</w:t>
      </w:r>
      <w:r w:rsidR="00BB0CD1">
        <w:t>ed</w:t>
      </w:r>
      <w:r>
        <w:t xml:space="preserve"> Report Three of the Special Review. The Authority’s objective through this </w:t>
      </w:r>
      <w:r w:rsidR="00582D1D">
        <w:t>analysis was</w:t>
      </w:r>
      <w:r>
        <w:t xml:space="preserve"> to help identify effective post-2020 policies to reduce emissions in the electricity sector.</w:t>
      </w:r>
    </w:p>
    <w:p w:rsidR="00D062AB" w:rsidRDefault="00D062AB" w:rsidP="00D062AB">
      <w:pPr>
        <w:pStyle w:val="BodyText"/>
      </w:pPr>
      <w:r>
        <w:t>The electricity sector will play an important role in Australia meeting its emissions reduction targets. The sector currently</w:t>
      </w:r>
      <w:r w:rsidRPr="00E55788">
        <w:t xml:space="preserve"> accounts f</w:t>
      </w:r>
      <w:r>
        <w:t>or the largest share—around one</w:t>
      </w:r>
      <w:r>
        <w:noBreakHyphen/>
      </w:r>
      <w:r w:rsidRPr="00E55788">
        <w:t xml:space="preserve">third—of Australia’s total greenhouse gas emissions. </w:t>
      </w:r>
      <w:r>
        <w:t xml:space="preserve">Emissions reductions in the sector are technically feasible with currently known technologies </w:t>
      </w:r>
      <w:bookmarkStart w:id="79" w:name="_CTVP001462e7804273840a886f91cbd58e3da71"/>
      <w:r w:rsidR="00B053FC">
        <w:t>(</w:t>
      </w:r>
      <w:proofErr w:type="spellStart"/>
      <w:r w:rsidR="00B053FC">
        <w:t>ClimateWorks</w:t>
      </w:r>
      <w:proofErr w:type="spellEnd"/>
      <w:r w:rsidR="00B053FC">
        <w:t xml:space="preserve"> Australia et al. 2014; CCA 2014c; IEA 2015e)</w:t>
      </w:r>
      <w:bookmarkEnd w:id="79"/>
      <w:r>
        <w:t>, and research suggests deep reductions are likely to be more cost</w:t>
      </w:r>
      <w:r>
        <w:noBreakHyphen/>
        <w:t xml:space="preserve">effective in electricity supply than in some other sectors </w:t>
      </w:r>
      <w:bookmarkStart w:id="80" w:name="_CTVP00108b4847c4b644424932a7812718f5458"/>
      <w:r w:rsidR="0059109A">
        <w:t xml:space="preserve">(Bruckner et </w:t>
      </w:r>
      <w:r w:rsidR="0059109A">
        <w:lastRenderedPageBreak/>
        <w:t>al. 2014)</w:t>
      </w:r>
      <w:bookmarkEnd w:id="80"/>
      <w:r>
        <w:t>.</w:t>
      </w:r>
      <w:r w:rsidRPr="00E55788">
        <w:t xml:space="preserve"> As the sector is characterised by long-lived capital investments, credible and consistent policy is important to provid</w:t>
      </w:r>
      <w:r>
        <w:t>e</w:t>
      </w:r>
      <w:r w:rsidRPr="00E55788">
        <w:t xml:space="preserve"> the signals required for reducing the emissions intensity of electricity supply over time. These factors mean the sector provides a valuable case study for comparing policy options to reduce emissions, including their relative costs and benefits, effectiveness in reducing emissions and impacts on different groups.</w:t>
      </w:r>
      <w:r>
        <w:t xml:space="preserve"> </w:t>
      </w:r>
    </w:p>
    <w:p w:rsidR="0013459E" w:rsidRDefault="002A23DB" w:rsidP="002A23DB">
      <w:pPr>
        <w:pStyle w:val="BodyText"/>
        <w:rPr>
          <w:lang w:val="en-GB" w:eastAsia="en-AU"/>
        </w:rPr>
      </w:pPr>
      <w:r>
        <w:rPr>
          <w:lang w:val="en-GB" w:eastAsia="en-AU"/>
        </w:rPr>
        <w:t xml:space="preserve">This </w:t>
      </w:r>
      <w:r w:rsidR="00AD11F0">
        <w:rPr>
          <w:lang w:val="en-GB" w:eastAsia="en-AU"/>
        </w:rPr>
        <w:t>report</w:t>
      </w:r>
      <w:r>
        <w:rPr>
          <w:lang w:val="en-GB" w:eastAsia="en-AU"/>
        </w:rPr>
        <w:t xml:space="preserve"> assesses possible emissions reduction policies for the electricity sector against the Authority’s evaluation principles. To make this assessment the </w:t>
      </w:r>
      <w:r w:rsidR="00AD11F0">
        <w:rPr>
          <w:lang w:val="en-GB" w:eastAsia="en-AU"/>
        </w:rPr>
        <w:t>report</w:t>
      </w:r>
      <w:r>
        <w:rPr>
          <w:lang w:val="en-GB" w:eastAsia="en-AU"/>
        </w:rPr>
        <w:t xml:space="preserve"> draws on analysis—including new modelling of the electricity sector and the Australian economy commissioned for the Special Review</w:t>
      </w:r>
      <w:r w:rsidR="0013459E">
        <w:rPr>
          <w:lang w:val="en-GB" w:eastAsia="en-AU"/>
        </w:rPr>
        <w:t>—</w:t>
      </w:r>
      <w:r>
        <w:rPr>
          <w:lang w:val="en-GB" w:eastAsia="en-AU"/>
        </w:rPr>
        <w:t>as well as submissions to</w:t>
      </w:r>
      <w:r w:rsidR="00EA5ECA">
        <w:rPr>
          <w:lang w:val="en-GB" w:eastAsia="en-AU"/>
        </w:rPr>
        <w:t xml:space="preserve"> </w:t>
      </w:r>
      <w:r w:rsidR="00C21870">
        <w:rPr>
          <w:lang w:val="en-GB" w:eastAsia="en-AU"/>
        </w:rPr>
        <w:t>Report </w:t>
      </w:r>
      <w:r w:rsidR="004A64C1">
        <w:rPr>
          <w:lang w:val="en-GB" w:eastAsia="en-AU"/>
        </w:rPr>
        <w:t>Two</w:t>
      </w:r>
      <w:r>
        <w:rPr>
          <w:lang w:val="en-GB" w:eastAsia="en-AU"/>
        </w:rPr>
        <w:t xml:space="preserve">. </w:t>
      </w:r>
    </w:p>
    <w:p w:rsidR="006024CF" w:rsidRDefault="00D062AB" w:rsidP="006024CF">
      <w:pPr>
        <w:pStyle w:val="BodyText"/>
        <w:rPr>
          <w:lang w:val="en-GB" w:eastAsia="en-AU"/>
        </w:rPr>
      </w:pPr>
      <w:r>
        <w:rPr>
          <w:lang w:val="en-GB" w:eastAsia="en-AU"/>
        </w:rPr>
        <w:t>The Authority consider</w:t>
      </w:r>
      <w:r w:rsidR="006C39F0">
        <w:rPr>
          <w:lang w:val="en-GB" w:eastAsia="en-AU"/>
        </w:rPr>
        <w:t>ed</w:t>
      </w:r>
      <w:r>
        <w:rPr>
          <w:lang w:val="en-GB" w:eastAsia="en-AU"/>
        </w:rPr>
        <w:t xml:space="preserve"> the terms of reference for the </w:t>
      </w:r>
      <w:r w:rsidR="006C39F0">
        <w:rPr>
          <w:lang w:val="en-GB" w:eastAsia="en-AU"/>
        </w:rPr>
        <w:t xml:space="preserve">Special Review would be </w:t>
      </w:r>
      <w:r>
        <w:rPr>
          <w:lang w:val="en-GB" w:eastAsia="en-AU"/>
        </w:rPr>
        <w:t xml:space="preserve">best met by comparing emissions trading to a wide range of other policies, including other </w:t>
      </w:r>
      <w:r w:rsidR="001E7878">
        <w:rPr>
          <w:lang w:val="en-GB" w:eastAsia="en-AU"/>
        </w:rPr>
        <w:t>‘market mechanisms’</w:t>
      </w:r>
      <w:r>
        <w:rPr>
          <w:lang w:val="en-GB" w:eastAsia="en-AU"/>
        </w:rPr>
        <w:t xml:space="preserve"> similar to emissions trading, as well as policies that encourage the deployment of low</w:t>
      </w:r>
      <w:r>
        <w:rPr>
          <w:lang w:val="en-GB" w:eastAsia="en-AU"/>
        </w:rPr>
        <w:noBreakHyphen/>
        <w:t>emissions technologies or the closure of older, emissions</w:t>
      </w:r>
      <w:r>
        <w:rPr>
          <w:lang w:val="en-GB" w:eastAsia="en-AU"/>
        </w:rPr>
        <w:noBreakHyphen/>
        <w:t xml:space="preserve">intensive power plants. </w:t>
      </w:r>
      <w:r w:rsidR="006024CF">
        <w:rPr>
          <w:lang w:val="en-GB" w:eastAsia="en-AU"/>
        </w:rPr>
        <w:t xml:space="preserve">The Authority’s assessment is therefore structured around the following questions: </w:t>
      </w:r>
    </w:p>
    <w:p w:rsidR="006024CF" w:rsidRDefault="005C6FE9" w:rsidP="006024CF">
      <w:pPr>
        <w:pStyle w:val="ListBullet"/>
        <w:rPr>
          <w:lang w:val="en-GB"/>
        </w:rPr>
      </w:pPr>
      <w:r>
        <w:rPr>
          <w:lang w:val="en-GB"/>
        </w:rPr>
        <w:t xml:space="preserve">Is meeting a 2 degree </w:t>
      </w:r>
      <w:r w:rsidR="006024CF">
        <w:rPr>
          <w:lang w:val="en-GB"/>
        </w:rPr>
        <w:t>consistent emissions budget in the electricity sector feasible and what might this cost?</w:t>
      </w:r>
    </w:p>
    <w:p w:rsidR="006024CF" w:rsidRDefault="006024CF" w:rsidP="006024CF">
      <w:pPr>
        <w:pStyle w:val="ListBullet"/>
        <w:rPr>
          <w:lang w:val="en-GB"/>
        </w:rPr>
      </w:pPr>
      <w:r>
        <w:rPr>
          <w:lang w:val="en-GB"/>
        </w:rPr>
        <w:t xml:space="preserve">Should there be a </w:t>
      </w:r>
      <w:r w:rsidR="006F5D37">
        <w:rPr>
          <w:lang w:val="en-GB"/>
        </w:rPr>
        <w:t>market mechanism</w:t>
      </w:r>
      <w:r>
        <w:rPr>
          <w:lang w:val="en-GB"/>
        </w:rPr>
        <w:t xml:space="preserve"> of some kind in the electricity sector? If not, what policy or policies should be used to reduce emissions?</w:t>
      </w:r>
    </w:p>
    <w:p w:rsidR="006024CF" w:rsidRDefault="006024CF" w:rsidP="006024CF">
      <w:pPr>
        <w:pStyle w:val="ListBullet"/>
        <w:rPr>
          <w:lang w:val="en-GB"/>
        </w:rPr>
      </w:pPr>
      <w:r>
        <w:rPr>
          <w:lang w:val="en-GB"/>
        </w:rPr>
        <w:t xml:space="preserve">If there is a </w:t>
      </w:r>
      <w:r w:rsidR="006F5D37">
        <w:rPr>
          <w:lang w:val="en-GB"/>
        </w:rPr>
        <w:t>market mechanism</w:t>
      </w:r>
      <w:r>
        <w:rPr>
          <w:lang w:val="en-GB"/>
        </w:rPr>
        <w:t xml:space="preserve"> policy in the sector, </w:t>
      </w:r>
      <w:r w:rsidR="00AF591D">
        <w:rPr>
          <w:lang w:val="en-GB"/>
        </w:rPr>
        <w:t>which market mechanism should be implemented</w:t>
      </w:r>
      <w:r w:rsidR="00137AD6">
        <w:rPr>
          <w:lang w:val="en-GB"/>
        </w:rPr>
        <w:t>?</w:t>
      </w:r>
      <w:r w:rsidR="00AF591D">
        <w:rPr>
          <w:lang w:val="en-GB"/>
        </w:rPr>
        <w:t xml:space="preserve"> </w:t>
      </w:r>
    </w:p>
    <w:p w:rsidR="006024CF" w:rsidRDefault="006024CF" w:rsidP="006024CF">
      <w:pPr>
        <w:pStyle w:val="ListBullet"/>
        <w:rPr>
          <w:lang w:val="en-GB"/>
        </w:rPr>
      </w:pPr>
      <w:r>
        <w:rPr>
          <w:lang w:val="en-GB"/>
        </w:rPr>
        <w:t xml:space="preserve">If there is a </w:t>
      </w:r>
      <w:r w:rsidR="006F5D37">
        <w:rPr>
          <w:lang w:val="en-GB"/>
        </w:rPr>
        <w:t>market mechanism</w:t>
      </w:r>
      <w:r>
        <w:rPr>
          <w:lang w:val="en-GB"/>
        </w:rPr>
        <w:t xml:space="preserve">, should there be other climate policies in the electricity supply sector? </w:t>
      </w:r>
    </w:p>
    <w:p w:rsidR="006024CF" w:rsidRDefault="006024CF" w:rsidP="006024CF">
      <w:pPr>
        <w:pStyle w:val="ListBullet"/>
        <w:rPr>
          <w:lang w:val="en-GB"/>
        </w:rPr>
      </w:pPr>
      <w:r>
        <w:rPr>
          <w:lang w:val="en-GB"/>
        </w:rPr>
        <w:t>If so, which policy or policies and why?</w:t>
      </w:r>
    </w:p>
    <w:p w:rsidR="004C77CE" w:rsidRDefault="004C77CE" w:rsidP="009818D9">
      <w:pPr>
        <w:pStyle w:val="ChapterHeading2"/>
        <w:numPr>
          <w:ilvl w:val="1"/>
          <w:numId w:val="15"/>
        </w:numPr>
      </w:pPr>
      <w:bookmarkStart w:id="81" w:name="_Toc457552003"/>
      <w:bookmarkStart w:id="82" w:name="_Toc459218455"/>
      <w:bookmarkStart w:id="83" w:name="_Toc444243809"/>
      <w:bookmarkStart w:id="84" w:name="_Toc447182427"/>
      <w:bookmarkStart w:id="85" w:name="_Toc447183272"/>
      <w:bookmarkStart w:id="86" w:name="_Toc447183346"/>
      <w:bookmarkStart w:id="87" w:name="_Toc447183384"/>
      <w:bookmarkStart w:id="88" w:name="_Toc447183472"/>
      <w:bookmarkStart w:id="89" w:name="_Toc447183531"/>
      <w:bookmarkStart w:id="90" w:name="_Toc448132680"/>
      <w:bookmarkStart w:id="91" w:name="_Toc448151740"/>
      <w:bookmarkStart w:id="92" w:name="_Toc448151808"/>
      <w:bookmarkStart w:id="93" w:name="_Toc460317978"/>
      <w:bookmarkEnd w:id="81"/>
      <w:bookmarkEnd w:id="82"/>
      <w:r>
        <w:t xml:space="preserve">Structure of this </w:t>
      </w:r>
      <w:bookmarkEnd w:id="83"/>
      <w:bookmarkEnd w:id="84"/>
      <w:bookmarkEnd w:id="85"/>
      <w:bookmarkEnd w:id="86"/>
      <w:bookmarkEnd w:id="87"/>
      <w:bookmarkEnd w:id="88"/>
      <w:bookmarkEnd w:id="89"/>
      <w:bookmarkEnd w:id="90"/>
      <w:bookmarkEnd w:id="91"/>
      <w:bookmarkEnd w:id="92"/>
      <w:r w:rsidR="00AD11F0">
        <w:t>report</w:t>
      </w:r>
      <w:bookmarkEnd w:id="93"/>
    </w:p>
    <w:p w:rsidR="00570A76" w:rsidRDefault="00570A76" w:rsidP="00EA5ECA">
      <w:pPr>
        <w:pStyle w:val="ListBullet"/>
        <w:numPr>
          <w:ilvl w:val="0"/>
          <w:numId w:val="0"/>
        </w:numPr>
        <w:rPr>
          <w:lang w:val="en-GB" w:eastAsia="en-AU"/>
        </w:rPr>
      </w:pPr>
      <w:r>
        <w:rPr>
          <w:lang w:val="en-GB" w:eastAsia="en-AU"/>
        </w:rPr>
        <w:t xml:space="preserve">The rest of this </w:t>
      </w:r>
      <w:r w:rsidR="00AD11F0">
        <w:rPr>
          <w:lang w:val="en-GB" w:eastAsia="en-AU"/>
        </w:rPr>
        <w:t>report</w:t>
      </w:r>
      <w:r>
        <w:rPr>
          <w:lang w:val="en-GB" w:eastAsia="en-AU"/>
        </w:rPr>
        <w:t xml:space="preserve"> is structured as follows:</w:t>
      </w:r>
    </w:p>
    <w:p w:rsidR="004C77CE" w:rsidRPr="00EA5ECA" w:rsidRDefault="004C77CE" w:rsidP="00570A76">
      <w:pPr>
        <w:pStyle w:val="ListBullet"/>
      </w:pPr>
      <w:r w:rsidRPr="00EA5ECA">
        <w:t>Chapter 2 provides an overview of the importance of electricity sector reductions for Australia’s overall emissions reduction goals, and current emissions and policies in the sector.</w:t>
      </w:r>
    </w:p>
    <w:p w:rsidR="004C77CE" w:rsidRPr="00EA5ECA" w:rsidRDefault="004C77CE" w:rsidP="00570A76">
      <w:pPr>
        <w:pStyle w:val="ListBullet"/>
      </w:pPr>
      <w:r w:rsidRPr="00EA5ECA">
        <w:t xml:space="preserve">Chapter 3 outlines the policy options the Authority </w:t>
      </w:r>
      <w:r w:rsidR="00EA7259">
        <w:t>has</w:t>
      </w:r>
      <w:r w:rsidR="002F3449" w:rsidRPr="00EA5ECA">
        <w:t xml:space="preserve"> </w:t>
      </w:r>
      <w:r w:rsidRPr="00EA5ECA">
        <w:t>consider</w:t>
      </w:r>
      <w:r w:rsidR="00EA7259">
        <w:t>ed</w:t>
      </w:r>
      <w:r w:rsidR="005E5705">
        <w:t>,</w:t>
      </w:r>
      <w:r w:rsidR="00530CD0">
        <w:t xml:space="preserve"> </w:t>
      </w:r>
      <w:r w:rsidRPr="00EA5ECA">
        <w:t xml:space="preserve">the evaluation framework </w:t>
      </w:r>
      <w:r w:rsidR="00EA7259">
        <w:t>used to</w:t>
      </w:r>
      <w:r w:rsidRPr="00EA5ECA">
        <w:t xml:space="preserve"> compar</w:t>
      </w:r>
      <w:r w:rsidR="00EA7259">
        <w:t>e</w:t>
      </w:r>
      <w:r w:rsidRPr="00EA5ECA">
        <w:t xml:space="preserve"> these options</w:t>
      </w:r>
      <w:r w:rsidR="00570A76">
        <w:t xml:space="preserve">, and explains the modelling commissioned for this </w:t>
      </w:r>
      <w:r w:rsidR="005E5705">
        <w:t>R</w:t>
      </w:r>
      <w:r w:rsidR="00570A76">
        <w:t>eview</w:t>
      </w:r>
      <w:r w:rsidRPr="00EA5ECA">
        <w:t>.</w:t>
      </w:r>
    </w:p>
    <w:p w:rsidR="004C77CE" w:rsidRPr="00204924" w:rsidRDefault="004C77CE" w:rsidP="00570A76">
      <w:pPr>
        <w:pStyle w:val="ListBullet"/>
        <w:rPr>
          <w:lang w:val="en-GB"/>
        </w:rPr>
      </w:pPr>
      <w:r w:rsidRPr="00EA5ECA">
        <w:t xml:space="preserve">Chapter 4 </w:t>
      </w:r>
      <w:r w:rsidRPr="00204924">
        <w:rPr>
          <w:lang w:val="en-GB"/>
        </w:rPr>
        <w:t xml:space="preserve">compares the policy options against the evaluation framework. It draws on the Authority’s qualitative and quantitative analysis, </w:t>
      </w:r>
      <w:r w:rsidR="00204924">
        <w:rPr>
          <w:lang w:val="en-GB"/>
        </w:rPr>
        <w:t>including the Authority’s commissioned modelling</w:t>
      </w:r>
      <w:r w:rsidRPr="00204924">
        <w:rPr>
          <w:lang w:val="en-GB"/>
        </w:rPr>
        <w:t>.</w:t>
      </w:r>
    </w:p>
    <w:p w:rsidR="00AB4118" w:rsidRPr="00EA5ECA" w:rsidRDefault="004C77CE" w:rsidP="00570A76">
      <w:pPr>
        <w:pStyle w:val="ListBullet"/>
      </w:pPr>
      <w:r w:rsidRPr="00EA5ECA">
        <w:t xml:space="preserve">Chapter 5 </w:t>
      </w:r>
      <w:r w:rsidRPr="00570A76">
        <w:t xml:space="preserve">considers the case </w:t>
      </w:r>
      <w:r w:rsidR="00822385">
        <w:t>fo</w:t>
      </w:r>
      <w:r w:rsidR="00204924">
        <w:t>r applying multiple policies in the sector</w:t>
      </w:r>
      <w:r w:rsidR="00822385">
        <w:t xml:space="preserve">, and applies the Authority’s </w:t>
      </w:r>
      <w:r w:rsidR="002F3449">
        <w:t>evaluation framework</w:t>
      </w:r>
      <w:r w:rsidR="00822385">
        <w:t xml:space="preserve"> to assess </w:t>
      </w:r>
      <w:r w:rsidR="00204924">
        <w:t>policy combinations</w:t>
      </w:r>
      <w:r w:rsidR="00822385">
        <w:t>.</w:t>
      </w:r>
    </w:p>
    <w:p w:rsidR="00A35522" w:rsidRDefault="007037E2" w:rsidP="000F58FC">
      <w:pPr>
        <w:pStyle w:val="ChapterHeading1"/>
        <w:ind w:left="2835" w:hanging="2835"/>
      </w:pPr>
      <w:bookmarkStart w:id="94" w:name="_Toc444011877"/>
      <w:bookmarkStart w:id="95" w:name="_Toc447182428"/>
      <w:bookmarkStart w:id="96" w:name="_Toc447183273"/>
      <w:bookmarkStart w:id="97" w:name="_Toc447183347"/>
      <w:bookmarkStart w:id="98" w:name="_Toc447183385"/>
      <w:bookmarkStart w:id="99" w:name="_Toc447183473"/>
      <w:bookmarkStart w:id="100" w:name="_Toc447183532"/>
      <w:bookmarkStart w:id="101" w:name="_Ref447638845"/>
      <w:bookmarkStart w:id="102" w:name="_Toc448132681"/>
      <w:bookmarkStart w:id="103" w:name="_Toc448151741"/>
      <w:bookmarkStart w:id="104" w:name="_Toc448151809"/>
      <w:bookmarkStart w:id="105" w:name="_Toc460317979"/>
      <w:bookmarkStart w:id="106" w:name="_Toc442195602"/>
      <w:r>
        <w:lastRenderedPageBreak/>
        <w:t>The electricity sector and A</w:t>
      </w:r>
      <w:r w:rsidR="00A35522">
        <w:t>ustralia’s emissions reduction goals</w:t>
      </w:r>
      <w:bookmarkEnd w:id="94"/>
      <w:bookmarkEnd w:id="95"/>
      <w:bookmarkEnd w:id="96"/>
      <w:bookmarkEnd w:id="97"/>
      <w:bookmarkEnd w:id="98"/>
      <w:bookmarkEnd w:id="99"/>
      <w:bookmarkEnd w:id="100"/>
      <w:bookmarkEnd w:id="101"/>
      <w:bookmarkEnd w:id="102"/>
      <w:bookmarkEnd w:id="103"/>
      <w:bookmarkEnd w:id="104"/>
      <w:bookmarkEnd w:id="105"/>
    </w:p>
    <w:tbl>
      <w:tblPr>
        <w:tblStyle w:val="CCATablebox"/>
        <w:tblW w:w="0" w:type="auto"/>
        <w:tblLook w:val="04A0" w:firstRow="1" w:lastRow="0" w:firstColumn="1" w:lastColumn="0" w:noHBand="0" w:noVBand="1"/>
      </w:tblPr>
      <w:tblGrid>
        <w:gridCol w:w="9855"/>
      </w:tblGrid>
      <w:tr w:rsidR="00A35522" w:rsidTr="00A35522">
        <w:trPr>
          <w:cnfStyle w:val="100000000000" w:firstRow="1" w:lastRow="0" w:firstColumn="0" w:lastColumn="0" w:oddVBand="0" w:evenVBand="0" w:oddHBand="0" w:evenHBand="0" w:firstRowFirstColumn="0" w:firstRowLastColumn="0" w:lastRowFirstColumn="0" w:lastRowLastColumn="0"/>
        </w:trPr>
        <w:tc>
          <w:tcPr>
            <w:tcW w:w="9855" w:type="dxa"/>
          </w:tcPr>
          <w:p w:rsidR="00A35522" w:rsidRDefault="00A35522" w:rsidP="00E54136">
            <w:pPr>
              <w:pStyle w:val="BodyText"/>
              <w:keepNext w:val="0"/>
              <w:keepLines w:val="0"/>
              <w:spacing w:before="240"/>
              <w:rPr>
                <w:lang w:val="en-US"/>
              </w:rPr>
            </w:pPr>
            <w:r>
              <w:rPr>
                <w:lang w:val="en-US"/>
              </w:rPr>
              <w:t xml:space="preserve">This chapter </w:t>
            </w:r>
            <w:r w:rsidR="002F3449">
              <w:rPr>
                <w:lang w:val="en-US"/>
              </w:rPr>
              <w:t xml:space="preserve">provides background for </w:t>
            </w:r>
            <w:r>
              <w:rPr>
                <w:lang w:val="en-US"/>
              </w:rPr>
              <w:t>the Authority’s consideration of electricity sector policy options. It gives an overview of current emissions and policies, the importance of electricity sector reductions for Australia’s overall emissions reduction goals, and the opportunities for reducing emissions in the sector. Two insights are that:</w:t>
            </w:r>
          </w:p>
          <w:p w:rsidR="00A35522" w:rsidRDefault="00A35522" w:rsidP="009818D9">
            <w:pPr>
              <w:pStyle w:val="ListBullet"/>
              <w:keepLines w:val="0"/>
              <w:numPr>
                <w:ilvl w:val="0"/>
                <w:numId w:val="26"/>
              </w:numPr>
              <w:rPr>
                <w:lang w:val="en-US"/>
              </w:rPr>
            </w:pPr>
            <w:r>
              <w:rPr>
                <w:lang w:val="en-US"/>
              </w:rPr>
              <w:t xml:space="preserve">Australia has substantial, cost-effective opportunities to reduce electricity sector emissions as part of national action </w:t>
            </w:r>
            <w:r w:rsidR="003B47E8">
              <w:rPr>
                <w:lang w:val="en-US"/>
              </w:rPr>
              <w:t>to contribute to</w:t>
            </w:r>
            <w:r w:rsidR="002F3449">
              <w:rPr>
                <w:lang w:val="en-US"/>
              </w:rPr>
              <w:t xml:space="preserve"> global efforts</w:t>
            </w:r>
            <w:r w:rsidR="003B47E8">
              <w:rPr>
                <w:lang w:val="en-US"/>
              </w:rPr>
              <w:t xml:space="preserve"> to reduce emissions</w:t>
            </w:r>
            <w:r>
              <w:rPr>
                <w:lang w:val="en-US"/>
              </w:rPr>
              <w:t xml:space="preserve">. </w:t>
            </w:r>
          </w:p>
          <w:p w:rsidR="00A35522" w:rsidRDefault="00A35522" w:rsidP="009818D9">
            <w:pPr>
              <w:pStyle w:val="ListBullet"/>
              <w:keepLines w:val="0"/>
              <w:numPr>
                <w:ilvl w:val="0"/>
                <w:numId w:val="26"/>
              </w:numPr>
              <w:rPr>
                <w:lang w:val="en-US"/>
              </w:rPr>
            </w:pPr>
            <w:r>
              <w:rPr>
                <w:lang w:val="en-US"/>
              </w:rPr>
              <w:t>Many changes—such as the availability of battery storage technology—are occurring in the sector</w:t>
            </w:r>
            <w:r w:rsidR="002F3449">
              <w:rPr>
                <w:lang w:val="en-US"/>
              </w:rPr>
              <w:t>. Changes happening at the same time but</w:t>
            </w:r>
            <w:r>
              <w:rPr>
                <w:lang w:val="en-US"/>
              </w:rPr>
              <w:t xml:space="preserve"> </w:t>
            </w:r>
            <w:r w:rsidR="00E47F81">
              <w:rPr>
                <w:lang w:val="en-US"/>
              </w:rPr>
              <w:t>for reasons</w:t>
            </w:r>
            <w:r w:rsidR="002F3449">
              <w:rPr>
                <w:lang w:val="en-US"/>
              </w:rPr>
              <w:t xml:space="preserve"> </w:t>
            </w:r>
            <w:r w:rsidR="00195CC3">
              <w:rPr>
                <w:lang w:val="en-US"/>
              </w:rPr>
              <w:t>other than</w:t>
            </w:r>
            <w:r w:rsidR="00E47F81">
              <w:rPr>
                <w:lang w:val="en-US"/>
              </w:rPr>
              <w:t xml:space="preserve"> </w:t>
            </w:r>
            <w:r>
              <w:rPr>
                <w:lang w:val="en-US"/>
              </w:rPr>
              <w:t>climate change policy</w:t>
            </w:r>
            <w:r w:rsidR="002F3449">
              <w:rPr>
                <w:lang w:val="en-US"/>
              </w:rPr>
              <w:t xml:space="preserve"> will continue to </w:t>
            </w:r>
            <w:r w:rsidR="003B47E8">
              <w:rPr>
                <w:lang w:val="en-US"/>
              </w:rPr>
              <w:t xml:space="preserve">affect </w:t>
            </w:r>
            <w:r w:rsidR="002F3449">
              <w:rPr>
                <w:lang w:val="en-US"/>
              </w:rPr>
              <w:t>the sector</w:t>
            </w:r>
            <w:r w:rsidR="00FA5679">
              <w:rPr>
                <w:lang w:val="en-US"/>
              </w:rPr>
              <w:t>. This means</w:t>
            </w:r>
            <w:r>
              <w:rPr>
                <w:lang w:val="en-US"/>
              </w:rPr>
              <w:t xml:space="preserve"> policy must be </w:t>
            </w:r>
            <w:r w:rsidR="00FA5679">
              <w:rPr>
                <w:lang w:val="en-US"/>
              </w:rPr>
              <w:t xml:space="preserve">flexible </w:t>
            </w:r>
            <w:r>
              <w:rPr>
                <w:lang w:val="en-US"/>
              </w:rPr>
              <w:t xml:space="preserve">enough to perform well even if </w:t>
            </w:r>
            <w:r w:rsidR="00652CFC">
              <w:rPr>
                <w:lang w:val="en-US"/>
              </w:rPr>
              <w:t xml:space="preserve">factors such as </w:t>
            </w:r>
            <w:r w:rsidR="00FA5679">
              <w:rPr>
                <w:lang w:val="en-US"/>
              </w:rPr>
              <w:t>technology development and uptake</w:t>
            </w:r>
            <w:r w:rsidR="002F3449">
              <w:rPr>
                <w:lang w:val="en-US"/>
              </w:rPr>
              <w:t>,</w:t>
            </w:r>
            <w:r w:rsidR="00652CFC">
              <w:rPr>
                <w:lang w:val="en-US"/>
              </w:rPr>
              <w:t xml:space="preserve"> or</w:t>
            </w:r>
            <w:r>
              <w:rPr>
                <w:lang w:val="en-US"/>
              </w:rPr>
              <w:t xml:space="preserve"> electricity demand</w:t>
            </w:r>
            <w:r w:rsidR="002F3449">
              <w:rPr>
                <w:lang w:val="en-US"/>
              </w:rPr>
              <w:t>,</w:t>
            </w:r>
            <w:r>
              <w:rPr>
                <w:lang w:val="en-US"/>
              </w:rPr>
              <w:t xml:space="preserve"> are different to </w:t>
            </w:r>
            <w:r w:rsidR="002F3449">
              <w:rPr>
                <w:lang w:val="en-US"/>
              </w:rPr>
              <w:t xml:space="preserve">current </w:t>
            </w:r>
            <w:r>
              <w:rPr>
                <w:lang w:val="en-US"/>
              </w:rPr>
              <w:t xml:space="preserve">expectations.  </w:t>
            </w:r>
          </w:p>
          <w:p w:rsidR="00A35522" w:rsidRDefault="00A35522" w:rsidP="00FD0E80">
            <w:pPr>
              <w:pStyle w:val="BodyText"/>
              <w:keepLines w:val="0"/>
              <w:spacing w:after="240"/>
              <w:rPr>
                <w:lang w:val="en-US"/>
              </w:rPr>
            </w:pPr>
            <w:r>
              <w:rPr>
                <w:lang w:val="en-US"/>
              </w:rPr>
              <w:t>In order to compare the performance</w:t>
            </w:r>
            <w:r w:rsidR="00D07DAE">
              <w:rPr>
                <w:lang w:val="en-US"/>
              </w:rPr>
              <w:t xml:space="preserve"> of climate policy options it i</w:t>
            </w:r>
            <w:r>
              <w:rPr>
                <w:lang w:val="en-US"/>
              </w:rPr>
              <w:t xml:space="preserve">s necessary to understand their impacts </w:t>
            </w:r>
            <w:r w:rsidR="00D07DAE">
              <w:rPr>
                <w:lang w:val="en-US"/>
              </w:rPr>
              <w:t xml:space="preserve">on </w:t>
            </w:r>
            <w:r>
              <w:rPr>
                <w:lang w:val="en-US"/>
              </w:rPr>
              <w:t xml:space="preserve">electricity generators and consumers. </w:t>
            </w:r>
            <w:r w:rsidR="00FA5679">
              <w:rPr>
                <w:lang w:val="en-US"/>
              </w:rPr>
              <w:t xml:space="preserve">Section </w:t>
            </w:r>
            <w:r w:rsidR="00CA762C">
              <w:rPr>
                <w:lang w:val="en-US"/>
              </w:rPr>
              <w:t>2.5</w:t>
            </w:r>
            <w:r>
              <w:rPr>
                <w:lang w:val="en-US"/>
              </w:rPr>
              <w:t xml:space="preserve"> of this chapter provides some background material.</w:t>
            </w:r>
          </w:p>
        </w:tc>
      </w:tr>
    </w:tbl>
    <w:p w:rsidR="00A35522" w:rsidRDefault="00A35522" w:rsidP="00A35522">
      <w:pPr>
        <w:pStyle w:val="BodyText"/>
        <w:rPr>
          <w:lang w:val="en-GB" w:eastAsia="en-AU"/>
        </w:rPr>
      </w:pPr>
    </w:p>
    <w:p w:rsidR="00A35522" w:rsidRDefault="00A35522" w:rsidP="006F53CA">
      <w:pPr>
        <w:pStyle w:val="ChapterHeading2"/>
        <w:tabs>
          <w:tab w:val="left" w:pos="720"/>
        </w:tabs>
      </w:pPr>
      <w:bookmarkStart w:id="107" w:name="_Ref447027237"/>
      <w:bookmarkStart w:id="108" w:name="_Toc447182429"/>
      <w:bookmarkStart w:id="109" w:name="_Toc447183274"/>
      <w:bookmarkStart w:id="110" w:name="_Toc447183348"/>
      <w:bookmarkStart w:id="111" w:name="_Toc447183386"/>
      <w:bookmarkStart w:id="112" w:name="_Toc447183474"/>
      <w:bookmarkStart w:id="113" w:name="_Toc447183533"/>
      <w:bookmarkStart w:id="114" w:name="_Toc448132682"/>
      <w:bookmarkStart w:id="115" w:name="_Toc448151742"/>
      <w:bookmarkStart w:id="116" w:name="_Toc448151810"/>
      <w:bookmarkStart w:id="117" w:name="_Toc460317980"/>
      <w:bookmarkStart w:id="118" w:name="_Toc444011878"/>
      <w:bookmarkStart w:id="119" w:name="_Toc442195601"/>
      <w:r>
        <w:t>Electricity, emissions and climate policy</w:t>
      </w:r>
      <w:bookmarkEnd w:id="107"/>
      <w:bookmarkEnd w:id="108"/>
      <w:bookmarkEnd w:id="109"/>
      <w:bookmarkEnd w:id="110"/>
      <w:bookmarkEnd w:id="111"/>
      <w:bookmarkEnd w:id="112"/>
      <w:bookmarkEnd w:id="113"/>
      <w:bookmarkEnd w:id="114"/>
      <w:bookmarkEnd w:id="115"/>
      <w:bookmarkEnd w:id="116"/>
      <w:bookmarkEnd w:id="117"/>
    </w:p>
    <w:p w:rsidR="00A35522" w:rsidRDefault="00A35522" w:rsidP="00A35522">
      <w:pPr>
        <w:pStyle w:val="BodyText"/>
        <w:rPr>
          <w:lang w:val="en-GB" w:eastAsia="en-AU"/>
        </w:rPr>
      </w:pPr>
      <w:r>
        <w:rPr>
          <w:lang w:val="en-GB" w:eastAsia="en-AU"/>
        </w:rPr>
        <w:t>Electricity is a fundamental part of Australia’s society and economy, used by households to power homes and by businesses to produce goods and services. About half of all Australian electricity is consumed by large industrial users, and roughly one quarter each from households and other businesses</w:t>
      </w:r>
      <w:r w:rsidR="00A2360A">
        <w:rPr>
          <w:lang w:val="en-GB" w:eastAsia="en-AU"/>
        </w:rPr>
        <w:t xml:space="preserve"> </w:t>
      </w:r>
      <w:bookmarkStart w:id="120" w:name="_CTVP0011b22694c36164b55a422993418c1a683"/>
      <w:r w:rsidR="00B053FC">
        <w:rPr>
          <w:lang w:val="en-GB" w:eastAsia="en-AU"/>
        </w:rPr>
        <w:t>(DIIS 2015a)</w:t>
      </w:r>
      <w:bookmarkEnd w:id="120"/>
      <w:r w:rsidR="00220911">
        <w:rPr>
          <w:lang w:val="en-GB" w:eastAsia="en-AU"/>
        </w:rPr>
        <w:t>.</w:t>
      </w:r>
    </w:p>
    <w:p w:rsidR="0066741A" w:rsidRDefault="00A35522" w:rsidP="0066741A">
      <w:pPr>
        <w:pStyle w:val="BodyText"/>
      </w:pPr>
      <w:r>
        <w:rPr>
          <w:lang w:val="en-GB" w:eastAsia="en-AU"/>
        </w:rPr>
        <w:t>The process of generating electricity currently contributes the largest share—about one-third—of Australia’s emissions</w:t>
      </w:r>
      <w:r w:rsidR="0040788A">
        <w:rPr>
          <w:lang w:val="en-GB" w:eastAsia="en-AU"/>
        </w:rPr>
        <w:t>.</w:t>
      </w:r>
      <w:r w:rsidR="0040788A">
        <w:t xml:space="preserve"> </w:t>
      </w:r>
      <w:r>
        <w:t>In 2013</w:t>
      </w:r>
      <w:r w:rsidR="0051126D">
        <w:t>–</w:t>
      </w:r>
      <w:r>
        <w:t>14, black coal was the largest single source of generation, contributing 43</w:t>
      </w:r>
      <w:r w:rsidR="00C143A1">
        <w:t> </w:t>
      </w:r>
      <w:r>
        <w:t>per</w:t>
      </w:r>
      <w:r w:rsidR="00C143A1">
        <w:t> </w:t>
      </w:r>
      <w:r>
        <w:t>cent of total generation (</w:t>
      </w:r>
      <w:r w:rsidR="00CA762C">
        <w:t xml:space="preserve">Figure </w:t>
      </w:r>
      <w:r w:rsidR="00CA762C">
        <w:rPr>
          <w:noProof/>
        </w:rPr>
        <w:t>2</w:t>
      </w:r>
      <w:r>
        <w:t>), followed by natural gas (22 per cent), brown coal (19 per cent) and renewables (15</w:t>
      </w:r>
      <w:r w:rsidR="00C143A1">
        <w:t> </w:t>
      </w:r>
      <w:r>
        <w:t>per</w:t>
      </w:r>
      <w:r w:rsidR="00C143A1">
        <w:t> </w:t>
      </w:r>
      <w:r>
        <w:t xml:space="preserve">cent) </w:t>
      </w:r>
      <w:bookmarkStart w:id="121" w:name="_CTVP0017cf94276265341f29e7916e9226046aa"/>
      <w:r w:rsidR="0059109A">
        <w:t>(DIS 2015)</w:t>
      </w:r>
      <w:bookmarkEnd w:id="121"/>
      <w:r>
        <w:t>.</w:t>
      </w:r>
      <w:r w:rsidR="009D149D">
        <w:rPr>
          <w:rStyle w:val="FootnoteReference"/>
        </w:rPr>
        <w:footnoteReference w:id="1"/>
      </w:r>
      <w:r w:rsidR="002A294B">
        <w:t xml:space="preserve"> </w:t>
      </w:r>
    </w:p>
    <w:p w:rsidR="0066741A" w:rsidRDefault="0066741A" w:rsidP="0066741A">
      <w:pPr>
        <w:pStyle w:val="BodyText"/>
      </w:pPr>
      <w:r>
        <w:t>Of the generation sources that produce emissions, b</w:t>
      </w:r>
      <w:r w:rsidR="00992C15">
        <w:t>rown coal is the most emissions</w:t>
      </w:r>
      <w:r w:rsidR="00992C15">
        <w:noBreakHyphen/>
      </w:r>
      <w:r>
        <w:t>intensive—that is, it produces the most greenhouse gas emissions per unit of generation—followed by black coal and gas (</w:t>
      </w:r>
      <w:r w:rsidR="00CA762C">
        <w:t xml:space="preserve">Figure </w:t>
      </w:r>
      <w:r w:rsidR="00CA762C">
        <w:rPr>
          <w:noProof/>
        </w:rPr>
        <w:t>3</w:t>
      </w:r>
      <w:r>
        <w:t>). The total emissions from each fuel depend on the emissions intensity of the fuel itself and what share of total generation it makes up. For gas in particular, the type of plant will affect the emissions intensity of the gen</w:t>
      </w:r>
      <w:r w:rsidR="005C6FE9">
        <w:t>eration. Coal produces around 88</w:t>
      </w:r>
      <w:r>
        <w:t> per </w:t>
      </w:r>
      <w:r w:rsidR="005C6FE9">
        <w:t>cent of generation emissions, 35 per cent from brown coal and 53</w:t>
      </w:r>
      <w:r>
        <w:t> per cent from black</w:t>
      </w:r>
      <w:r w:rsidR="00EE76BF">
        <w:t xml:space="preserve"> coal</w:t>
      </w:r>
      <w:r>
        <w:t xml:space="preserve"> (</w:t>
      </w:r>
      <w:r w:rsidR="00CA762C">
        <w:t xml:space="preserve">Figure </w:t>
      </w:r>
      <w:r w:rsidR="00CA762C">
        <w:rPr>
          <w:noProof/>
        </w:rPr>
        <w:t>3</w:t>
      </w:r>
      <w:r w:rsidR="005C6FE9">
        <w:t>). Gas produces around 12</w:t>
      </w:r>
      <w:r>
        <w:t xml:space="preserve"> per cent of generation emissions. </w:t>
      </w:r>
    </w:p>
    <w:p w:rsidR="00A35522" w:rsidRDefault="00A35522" w:rsidP="00A35522">
      <w:pPr>
        <w:pStyle w:val="Caption"/>
      </w:pPr>
      <w:bookmarkStart w:id="122" w:name="_Ref444587410"/>
      <w:bookmarkStart w:id="123" w:name="_Toc460318033"/>
      <w:r>
        <w:lastRenderedPageBreak/>
        <w:t xml:space="preserve">Figure </w:t>
      </w:r>
      <w:r w:rsidR="00CA762C">
        <w:rPr>
          <w:noProof/>
        </w:rPr>
        <w:t>2</w:t>
      </w:r>
      <w:bookmarkEnd w:id="122"/>
      <w:r w:rsidR="00A6425D">
        <w:tab/>
      </w:r>
      <w:r>
        <w:t>Australian electricity generation by source, 2000</w:t>
      </w:r>
      <w:r w:rsidR="00B315AE">
        <w:t>–</w:t>
      </w:r>
      <w:r>
        <w:t>2014</w:t>
      </w:r>
      <w:bookmarkEnd w:id="123"/>
    </w:p>
    <w:p w:rsidR="00A35522" w:rsidRDefault="00A14EC4" w:rsidP="00A35522">
      <w:pPr>
        <w:pStyle w:val="ListBullet3"/>
        <w:keepNext/>
        <w:numPr>
          <w:ilvl w:val="0"/>
          <w:numId w:val="0"/>
        </w:numPr>
        <w:rPr>
          <w:b/>
        </w:rPr>
      </w:pPr>
      <w:r w:rsidRPr="00A14EC4">
        <w:rPr>
          <w:noProof/>
          <w:lang w:eastAsia="en-AU"/>
        </w:rPr>
        <w:drawing>
          <wp:inline distT="0" distB="0" distL="0" distR="0" wp14:anchorId="68174A7E" wp14:editId="6091A21B">
            <wp:extent cx="6120765" cy="3173062"/>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173062"/>
                    </a:xfrm>
                    <a:prstGeom prst="rect">
                      <a:avLst/>
                    </a:prstGeom>
                    <a:noFill/>
                    <a:ln>
                      <a:noFill/>
                    </a:ln>
                  </pic:spPr>
                </pic:pic>
              </a:graphicData>
            </a:graphic>
          </wp:inline>
        </w:drawing>
      </w:r>
    </w:p>
    <w:p w:rsidR="00FD2896" w:rsidRDefault="00FD2896" w:rsidP="00FD2896">
      <w:pPr>
        <w:pStyle w:val="TableNote"/>
        <w:spacing w:after="0"/>
      </w:pPr>
      <w:r w:rsidDel="001750BA">
        <w:rPr>
          <w:b/>
        </w:rPr>
        <w:t>Note:</w:t>
      </w:r>
      <w:r w:rsidDel="001750BA">
        <w:t xml:space="preserve"> Years refers to financial years ending June. ‘Other’ comprises generation from oil products, multi</w:t>
      </w:r>
      <w:r w:rsidDel="001750BA">
        <w:noBreakHyphen/>
        <w:t xml:space="preserve">fuel power plants, bagasse, wood, biogas and geothermal. Solar </w:t>
      </w:r>
      <w:r w:rsidR="00643782">
        <w:t>photovoltaic (</w:t>
      </w:r>
      <w:r w:rsidDel="001750BA">
        <w:t>PV</w:t>
      </w:r>
      <w:r w:rsidR="00643782">
        <w:t>)</w:t>
      </w:r>
      <w:r w:rsidDel="001750BA">
        <w:t xml:space="preserve"> includes rooftop solar</w:t>
      </w:r>
      <w:r w:rsidR="00EE76BF">
        <w:t>.</w:t>
      </w:r>
      <w:r w:rsidDel="001750BA">
        <w:t xml:space="preserve"> </w:t>
      </w:r>
      <w:r w:rsidR="00EE76BF">
        <w:t>G</w:t>
      </w:r>
      <w:r w:rsidDel="001750BA">
        <w:t xml:space="preserve">eneration is </w:t>
      </w:r>
      <w:r w:rsidR="003B47E8">
        <w:t>‘</w:t>
      </w:r>
      <w:r w:rsidR="00E80262">
        <w:t>as generated</w:t>
      </w:r>
      <w:r w:rsidR="003B47E8">
        <w:t>’</w:t>
      </w:r>
      <w:r w:rsidR="00564E4C">
        <w:t xml:space="preserve"> and i</w:t>
      </w:r>
      <w:r w:rsidDel="001750BA">
        <w:t>ncludes</w:t>
      </w:r>
      <w:r w:rsidR="00E80262">
        <w:t xml:space="preserve"> distributed and</w:t>
      </w:r>
      <w:r w:rsidDel="001750BA">
        <w:t xml:space="preserve"> off-grid</w:t>
      </w:r>
      <w:r w:rsidR="00E80262">
        <w:t xml:space="preserve"> generation</w:t>
      </w:r>
      <w:r w:rsidR="003956E1">
        <w:t>.</w:t>
      </w:r>
    </w:p>
    <w:p w:rsidR="00A35522" w:rsidRDefault="00A35522" w:rsidP="00FD2896">
      <w:pPr>
        <w:pStyle w:val="TableNote"/>
        <w:spacing w:before="0"/>
      </w:pPr>
      <w:r>
        <w:rPr>
          <w:b/>
        </w:rPr>
        <w:t>Source:</w:t>
      </w:r>
      <w:r>
        <w:t xml:space="preserve"> </w:t>
      </w:r>
      <w:r w:rsidR="00B658CD">
        <w:t>Climate Change Authority</w:t>
      </w:r>
      <w:r>
        <w:t xml:space="preserve"> based on</w:t>
      </w:r>
      <w:r w:rsidR="00B5596E">
        <w:t xml:space="preserve"> </w:t>
      </w:r>
      <w:bookmarkStart w:id="124" w:name="_CTVP0013acebd481c064ff7a0c9e00bf855dcbf"/>
      <w:r w:rsidR="0059109A">
        <w:t>DIS 2015</w:t>
      </w:r>
      <w:bookmarkEnd w:id="124"/>
      <w:r>
        <w:t xml:space="preserve">. </w:t>
      </w:r>
    </w:p>
    <w:p w:rsidR="00895C41" w:rsidRDefault="00895C41" w:rsidP="00895C41">
      <w:pPr>
        <w:pStyle w:val="Caption"/>
      </w:pPr>
      <w:bookmarkStart w:id="125" w:name="_Ref447020583"/>
      <w:bookmarkStart w:id="126" w:name="_Toc460318034"/>
      <w:r>
        <w:t xml:space="preserve">Figure </w:t>
      </w:r>
      <w:r w:rsidR="00CA762C">
        <w:rPr>
          <w:noProof/>
        </w:rPr>
        <w:t>3</w:t>
      </w:r>
      <w:bookmarkEnd w:id="125"/>
      <w:r w:rsidR="00A6425D">
        <w:tab/>
      </w:r>
      <w:r w:rsidR="00FB4741">
        <w:t>E</w:t>
      </w:r>
      <w:r>
        <w:t>missions</w:t>
      </w:r>
      <w:r w:rsidR="00FB4741">
        <w:t xml:space="preserve"> and emissions intensity</w:t>
      </w:r>
      <w:r>
        <w:t xml:space="preserve"> by </w:t>
      </w:r>
      <w:r w:rsidR="005375BD">
        <w:t>generator</w:t>
      </w:r>
      <w:r>
        <w:t xml:space="preserve"> type, </w:t>
      </w:r>
      <w:r w:rsidR="00B315AE">
        <w:t>2014–</w:t>
      </w:r>
      <w:r>
        <w:t>15</w:t>
      </w:r>
      <w:bookmarkEnd w:id="126"/>
    </w:p>
    <w:p w:rsidR="00895C41" w:rsidRDefault="0096520B" w:rsidP="004763C5">
      <w:pPr>
        <w:keepNext/>
        <w:autoSpaceDE w:val="0"/>
        <w:autoSpaceDN w:val="0"/>
        <w:adjustRightInd w:val="0"/>
        <w:spacing w:after="0" w:line="240" w:lineRule="auto"/>
        <w:rPr>
          <w:rFonts w:ascii="Corpid C1" w:hAnsi="Corpid C1" w:cs="Corpid C1"/>
          <w:color w:val="000000"/>
          <w:sz w:val="24"/>
          <w:szCs w:val="24"/>
        </w:rPr>
      </w:pPr>
      <w:r w:rsidRPr="0096520B">
        <w:rPr>
          <w:noProof/>
          <w:lang w:eastAsia="en-AU"/>
        </w:rPr>
        <w:drawing>
          <wp:inline distT="0" distB="0" distL="0" distR="0" wp14:anchorId="4E04D9F2" wp14:editId="2B2A0796">
            <wp:extent cx="6120765" cy="3222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222195"/>
                    </a:xfrm>
                    <a:prstGeom prst="rect">
                      <a:avLst/>
                    </a:prstGeom>
                    <a:noFill/>
                    <a:ln>
                      <a:noFill/>
                    </a:ln>
                  </pic:spPr>
                </pic:pic>
              </a:graphicData>
            </a:graphic>
          </wp:inline>
        </w:drawing>
      </w:r>
    </w:p>
    <w:p w:rsidR="00D062AB" w:rsidRPr="005375BD" w:rsidRDefault="00D062AB" w:rsidP="00CE47F4">
      <w:pPr>
        <w:pStyle w:val="TableNote"/>
        <w:rPr>
          <w:color w:val="000000" w:themeColor="text1"/>
        </w:rPr>
      </w:pPr>
      <w:r w:rsidRPr="00B5596E">
        <w:rPr>
          <w:b/>
        </w:rPr>
        <w:t>Note:</w:t>
      </w:r>
      <w:r w:rsidRPr="00B5596E">
        <w:t xml:space="preserve"> </w:t>
      </w:r>
      <w:r>
        <w:t xml:space="preserve">‘Gas’ </w:t>
      </w:r>
      <w:r w:rsidR="00C53735">
        <w:t xml:space="preserve">includes generation combining gas and liquid fuels. </w:t>
      </w:r>
      <w:r w:rsidRPr="00B5596E">
        <w:t xml:space="preserve">‘Other’ comprises generation from </w:t>
      </w:r>
      <w:r w:rsidR="00C53735">
        <w:t>renewable sources, liquid fuels (other than when in combination with gas)</w:t>
      </w:r>
      <w:r w:rsidR="00916D30">
        <w:t>, waste coal mine methane</w:t>
      </w:r>
      <w:r w:rsidR="00C53735">
        <w:t xml:space="preserve"> and unknown multiple sources. </w:t>
      </w:r>
      <w:r>
        <w:t>Average emissions intensities are weighted by generation; vertical lines show ranges for each generator type. Generation includes distributed and off-grid generation.</w:t>
      </w:r>
      <w:r w:rsidR="0096520B">
        <w:t xml:space="preserve"> </w:t>
      </w:r>
      <w:r w:rsidR="0096520B" w:rsidRPr="0096520B">
        <w:t>Emissions are measured as ‘scope 1’ (not including indirect emissions from energy purchased). Generation is ‘as generated’ (not ‘sent out’)</w:t>
      </w:r>
      <w:r w:rsidR="0096520B">
        <w:t>.</w:t>
      </w:r>
      <w:r w:rsidR="00CE47F4">
        <w:br/>
      </w:r>
      <w:r w:rsidRPr="004844A5">
        <w:rPr>
          <w:b/>
        </w:rPr>
        <w:t>Source:</w:t>
      </w:r>
      <w:r w:rsidRPr="004844A5">
        <w:t xml:space="preserve"> C</w:t>
      </w:r>
      <w:r>
        <w:t xml:space="preserve">limate </w:t>
      </w:r>
      <w:r w:rsidRPr="004844A5">
        <w:t>C</w:t>
      </w:r>
      <w:r>
        <w:t xml:space="preserve">hange </w:t>
      </w:r>
      <w:r w:rsidRPr="004844A5">
        <w:t>A</w:t>
      </w:r>
      <w:r>
        <w:t>uthority</w:t>
      </w:r>
      <w:r w:rsidRPr="004844A5">
        <w:t xml:space="preserve"> </w:t>
      </w:r>
      <w:r>
        <w:t xml:space="preserve">based on </w:t>
      </w:r>
      <w:bookmarkStart w:id="127" w:name="_CTVP001f6d74758def04f96843687ad228566d7"/>
      <w:r w:rsidR="0059109A">
        <w:t>CER 2016</w:t>
      </w:r>
      <w:bookmarkEnd w:id="127"/>
      <w:r>
        <w:t>.</w:t>
      </w:r>
    </w:p>
    <w:p w:rsidR="00F7696A" w:rsidRDefault="00F7696A" w:rsidP="00F7696A">
      <w:pPr>
        <w:pStyle w:val="BodyText"/>
      </w:pPr>
      <w:r>
        <w:t xml:space="preserve">Looking at the 15 per cent of generation produced by renewables, hydro generation was the largest source </w:t>
      </w:r>
      <w:r w:rsidR="0051126D">
        <w:t>of renewable generation in 2013–</w:t>
      </w:r>
      <w:r>
        <w:t xml:space="preserve">14, contributing 50 per cent of total renewable generation </w:t>
      </w:r>
      <w:r>
        <w:lastRenderedPageBreak/>
        <w:t>(</w:t>
      </w:r>
      <w:r w:rsidR="00CA762C" w:rsidRPr="00CA762C">
        <w:t>Figure 4</w:t>
      </w:r>
      <w:r w:rsidRPr="00B315AE">
        <w:t>).</w:t>
      </w:r>
      <w:r>
        <w:t xml:space="preserve"> Wind made up 28 per cent of renewable generation in the same year, followed by solar PV (13 per cent), bagasse and wood (five per cent), biogas (four per cent) and geothermal (less than one per cent).</w:t>
      </w:r>
      <w:r w:rsidRPr="0089584B">
        <w:t xml:space="preserve"> </w:t>
      </w:r>
      <w:r>
        <w:t>Wind and PV generation have risen substantially over the five</w:t>
      </w:r>
      <w:r w:rsidR="0051126D">
        <w:t xml:space="preserve"> years to 2013–</w:t>
      </w:r>
      <w:r>
        <w:t>14</w:t>
      </w:r>
      <w:r w:rsidR="00A278E4">
        <w:t xml:space="preserve">. Wind generation has doubled and </w:t>
      </w:r>
      <w:r w:rsidR="00DF23CA">
        <w:t>s</w:t>
      </w:r>
      <w:r w:rsidR="00A278E4">
        <w:t xml:space="preserve">olar PV </w:t>
      </w:r>
      <w:r w:rsidR="00195CC3">
        <w:t xml:space="preserve">increased </w:t>
      </w:r>
      <w:r w:rsidR="008C0FCD">
        <w:t>ten-</w:t>
      </w:r>
      <w:r w:rsidR="00A278E4">
        <w:t>fold</w:t>
      </w:r>
      <w:r>
        <w:t xml:space="preserve">. Wind has been driven by the Commonwealth’s Large-scale Renewable Energy Target </w:t>
      </w:r>
      <w:bookmarkStart w:id="128" w:name="_CTVP0013ba0273fe84f498f9d01514422414f48"/>
      <w:r w:rsidR="0059109A">
        <w:t>(Expert Panel 2014)</w:t>
      </w:r>
      <w:bookmarkEnd w:id="128"/>
      <w:r>
        <w:t xml:space="preserve"> while rooftop PV uptake has been influenced by </w:t>
      </w:r>
      <w:r w:rsidR="00195CC3">
        <w:t xml:space="preserve">incentives </w:t>
      </w:r>
      <w:r w:rsidR="00A16F49">
        <w:t>(such as the Small-scale Renewable Energy Scheme and state</w:t>
      </w:r>
      <w:r w:rsidR="00FB778F">
        <w:noBreakHyphen/>
      </w:r>
      <w:r w:rsidR="00A16F49">
        <w:t xml:space="preserve">based schemes) </w:t>
      </w:r>
      <w:r>
        <w:t>and other factors such as rapidly falling technology costs (</w:t>
      </w:r>
      <w:r w:rsidR="00CA762C">
        <w:t>Table </w:t>
      </w:r>
      <w:r w:rsidR="00CA762C">
        <w:rPr>
          <w:noProof/>
        </w:rPr>
        <w:t>1</w:t>
      </w:r>
      <w:r w:rsidR="00A16F49">
        <w:t xml:space="preserve"> and</w:t>
      </w:r>
      <w:r w:rsidR="00B315AE">
        <w:t xml:space="preserve"> </w:t>
      </w:r>
      <w:r w:rsidR="00CA762C">
        <w:t>Box 4</w:t>
      </w:r>
      <w:r>
        <w:t>).</w:t>
      </w:r>
    </w:p>
    <w:p w:rsidR="0054129F" w:rsidRPr="0054129F" w:rsidRDefault="00F7696A" w:rsidP="0054129F">
      <w:pPr>
        <w:pStyle w:val="Caption"/>
        <w:rPr>
          <w:rStyle w:val="CaptionChar"/>
          <w:rFonts w:eastAsiaTheme="minorHAnsi"/>
          <w:b/>
          <w:bCs/>
        </w:rPr>
      </w:pPr>
      <w:bookmarkStart w:id="129" w:name="_Ref447036037"/>
      <w:bookmarkStart w:id="130" w:name="_Toc460318035"/>
      <w:r w:rsidRPr="0054129F">
        <w:rPr>
          <w:rStyle w:val="CaptionChar"/>
          <w:rFonts w:eastAsiaTheme="minorHAnsi"/>
          <w:b/>
          <w:bCs/>
        </w:rPr>
        <w:t xml:space="preserve">Figure </w:t>
      </w:r>
      <w:r w:rsidR="00CA762C">
        <w:rPr>
          <w:rStyle w:val="CaptionChar"/>
          <w:rFonts w:eastAsiaTheme="minorHAnsi"/>
          <w:b/>
          <w:bCs/>
          <w:noProof/>
        </w:rPr>
        <w:t>4</w:t>
      </w:r>
      <w:bookmarkEnd w:id="129"/>
      <w:r w:rsidR="00A6425D">
        <w:rPr>
          <w:rStyle w:val="CaptionChar"/>
          <w:rFonts w:eastAsiaTheme="minorHAnsi"/>
          <w:b/>
          <w:bCs/>
        </w:rPr>
        <w:tab/>
      </w:r>
      <w:r w:rsidRPr="0054129F">
        <w:rPr>
          <w:rStyle w:val="CaptionChar"/>
          <w:rFonts w:eastAsiaTheme="minorHAnsi"/>
          <w:b/>
          <w:bCs/>
        </w:rPr>
        <w:t>Australian renewable electric</w:t>
      </w:r>
      <w:r w:rsidR="00B315AE">
        <w:rPr>
          <w:rStyle w:val="CaptionChar"/>
          <w:rFonts w:eastAsiaTheme="minorHAnsi"/>
          <w:b/>
          <w:bCs/>
        </w:rPr>
        <w:t>ity generation by type, 2000–</w:t>
      </w:r>
      <w:r w:rsidRPr="0054129F">
        <w:rPr>
          <w:rStyle w:val="CaptionChar"/>
          <w:rFonts w:eastAsiaTheme="minorHAnsi"/>
          <w:b/>
          <w:bCs/>
        </w:rPr>
        <w:t>2014</w:t>
      </w:r>
      <w:bookmarkEnd w:id="130"/>
    </w:p>
    <w:p w:rsidR="00F7696A" w:rsidRDefault="00133F5D" w:rsidP="004763C5">
      <w:pPr>
        <w:keepNext/>
        <w:autoSpaceDE w:val="0"/>
        <w:autoSpaceDN w:val="0"/>
        <w:adjustRightInd w:val="0"/>
        <w:spacing w:after="0" w:line="240" w:lineRule="auto"/>
        <w:rPr>
          <w:rFonts w:ascii="Corpid C1" w:hAnsi="Corpid C1" w:cs="Corpid C1"/>
          <w:color w:val="000000"/>
          <w:sz w:val="24"/>
          <w:szCs w:val="24"/>
        </w:rPr>
      </w:pPr>
      <w:r w:rsidRPr="00133F5D">
        <w:rPr>
          <w:noProof/>
          <w:lang w:eastAsia="en-AU"/>
        </w:rPr>
        <w:drawing>
          <wp:inline distT="0" distB="0" distL="0" distR="0" wp14:anchorId="0671C3D6" wp14:editId="5572A103">
            <wp:extent cx="5819775" cy="32792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9775" cy="3279219"/>
                    </a:xfrm>
                    <a:prstGeom prst="rect">
                      <a:avLst/>
                    </a:prstGeom>
                    <a:noFill/>
                    <a:ln>
                      <a:noFill/>
                    </a:ln>
                  </pic:spPr>
                </pic:pic>
              </a:graphicData>
            </a:graphic>
          </wp:inline>
        </w:drawing>
      </w:r>
    </w:p>
    <w:p w:rsidR="00F7696A" w:rsidRPr="00DE0DC1" w:rsidRDefault="00F7696A" w:rsidP="00CE47F4">
      <w:pPr>
        <w:pStyle w:val="TableNote"/>
        <w:rPr>
          <w:rFonts w:ascii="Corpid C1" w:hAnsi="Corpid C1" w:cs="Corpid C1"/>
          <w:color w:val="000000"/>
        </w:rPr>
      </w:pPr>
      <w:r w:rsidRPr="00DE0DC1">
        <w:rPr>
          <w:b/>
        </w:rPr>
        <w:t>Note:</w:t>
      </w:r>
      <w:r w:rsidRPr="00DE0DC1">
        <w:t xml:space="preserve"> Years refers to financial years ending June. </w:t>
      </w:r>
      <w:r w:rsidRPr="00F7696A">
        <w:t>Solar PV includes rooftop solar</w:t>
      </w:r>
      <w:r w:rsidR="00EE76BF">
        <w:t>.</w:t>
      </w:r>
      <w:r w:rsidRPr="00F7696A">
        <w:t xml:space="preserve"> </w:t>
      </w:r>
      <w:r w:rsidR="00EE76BF">
        <w:t>G</w:t>
      </w:r>
      <w:r w:rsidRPr="00F7696A">
        <w:t xml:space="preserve">eneration is </w:t>
      </w:r>
      <w:r w:rsidR="00A16F49">
        <w:t>‘</w:t>
      </w:r>
      <w:r w:rsidRPr="00F7696A">
        <w:t>as generated</w:t>
      </w:r>
      <w:r w:rsidR="00A16F49">
        <w:t>’</w:t>
      </w:r>
      <w:r w:rsidR="00564E4C">
        <w:t xml:space="preserve"> and i</w:t>
      </w:r>
      <w:r w:rsidRPr="00F7696A">
        <w:t>ncludes distributed and off-grid generation.</w:t>
      </w:r>
      <w:r w:rsidR="00CE47F4">
        <w:br/>
      </w:r>
      <w:r w:rsidRPr="00DE0DC1">
        <w:rPr>
          <w:b/>
        </w:rPr>
        <w:t>Source:</w:t>
      </w:r>
      <w:r w:rsidRPr="00DE0DC1">
        <w:t xml:space="preserve"> C</w:t>
      </w:r>
      <w:r>
        <w:t xml:space="preserve">limate </w:t>
      </w:r>
      <w:r w:rsidRPr="00DE0DC1">
        <w:t>C</w:t>
      </w:r>
      <w:r>
        <w:t xml:space="preserve">hange </w:t>
      </w:r>
      <w:r w:rsidRPr="00DE0DC1">
        <w:t>A</w:t>
      </w:r>
      <w:r>
        <w:t>uthority</w:t>
      </w:r>
      <w:r w:rsidRPr="00DE0DC1">
        <w:t xml:space="preserve"> based on</w:t>
      </w:r>
      <w:r>
        <w:t xml:space="preserve"> </w:t>
      </w:r>
      <w:bookmarkStart w:id="131" w:name="_CTVP001f0d944c5c47147ef9c31817fa9f81543"/>
      <w:r w:rsidR="0059109A">
        <w:t>DIS 2015</w:t>
      </w:r>
      <w:bookmarkEnd w:id="131"/>
      <w:r w:rsidRPr="00DE0DC1">
        <w:t>.</w:t>
      </w:r>
    </w:p>
    <w:p w:rsidR="00A278E4" w:rsidRDefault="00A278E4" w:rsidP="00A278E4">
      <w:pPr>
        <w:pStyle w:val="BodyText"/>
        <w:rPr>
          <w:lang w:val="en-GB" w:eastAsia="en-AU"/>
        </w:rPr>
      </w:pPr>
      <w:r>
        <w:t xml:space="preserve">The role of </w:t>
      </w:r>
      <w:r w:rsidR="00177BAD">
        <w:t xml:space="preserve">the RET </w:t>
      </w:r>
      <w:r>
        <w:t>in deploying large-scale renewable generation to date illustrates an important point: without climate policies, using and investing in low</w:t>
      </w:r>
      <w:r>
        <w:noBreakHyphen/>
        <w:t>emissions generation is often not the most financially attractive option for electricity businesses. When comparing the overall cost of energy from new plants, the cheapest zero-emissions plants (wind power) are similar to, but</w:t>
      </w:r>
      <w:r w:rsidR="00195CC3">
        <w:t xml:space="preserve"> still</w:t>
      </w:r>
      <w:r>
        <w:t xml:space="preserve"> more expensive than, the cheapest fossil-fuel plants </w:t>
      </w:r>
      <w:bookmarkStart w:id="132" w:name="_CTVP001b1fd68b70c7c433899d2ea3dc01af336"/>
      <w:r w:rsidR="0059109A">
        <w:rPr>
          <w:lang w:val="en-GB" w:eastAsia="en-AU"/>
        </w:rPr>
        <w:t>(APGT 2015)</w:t>
      </w:r>
      <w:bookmarkEnd w:id="132"/>
      <w:r w:rsidR="005C5B6E">
        <w:t>. But pre-</w:t>
      </w:r>
      <w:r>
        <w:t xml:space="preserve">existing coal plants have </w:t>
      </w:r>
      <w:r w:rsidR="004E6559">
        <w:t xml:space="preserve">both </w:t>
      </w:r>
      <w:r>
        <w:t xml:space="preserve">low operating costs, </w:t>
      </w:r>
      <w:r w:rsidR="00177BAD">
        <w:t xml:space="preserve">and </w:t>
      </w:r>
      <w:r w:rsidR="004E6559">
        <w:t>large fixed and ‘sunk’</w:t>
      </w:r>
      <w:r w:rsidR="00714527">
        <w:t xml:space="preserve"> costs </w:t>
      </w:r>
      <w:r w:rsidR="004E6559">
        <w:t>that cannot b</w:t>
      </w:r>
      <w:r w:rsidR="00714527">
        <w:t>e recovered if the plant closes</w:t>
      </w:r>
      <w:r w:rsidR="00714527" w:rsidRPr="00714527">
        <w:t xml:space="preserve"> </w:t>
      </w:r>
      <w:r w:rsidR="00714527">
        <w:t>(</w:t>
      </w:r>
      <w:bookmarkStart w:id="133" w:name="_CTVP0015539745e575e496ab1fc04c65717f160"/>
      <w:r w:rsidR="0059109A">
        <w:t>Appendix F of Jacobs 2016c</w:t>
      </w:r>
      <w:bookmarkEnd w:id="133"/>
      <w:r w:rsidR="00A34E93">
        <w:t>;</w:t>
      </w:r>
      <w:r w:rsidR="00714527">
        <w:t xml:space="preserve"> </w:t>
      </w:r>
      <w:bookmarkStart w:id="134" w:name="_CTVP0019cd2c4e029544cbfba8dc88cb10c9d62"/>
      <w:r w:rsidR="0059109A">
        <w:t>Frontier Economics 2015, pp. </w:t>
      </w:r>
      <w:proofErr w:type="gramStart"/>
      <w:r w:rsidR="0059109A">
        <w:t>iv</w:t>
      </w:r>
      <w:proofErr w:type="gramEnd"/>
      <w:r w:rsidR="0059109A">
        <w:t>, 22, 23</w:t>
      </w:r>
      <w:bookmarkEnd w:id="134"/>
      <w:r w:rsidR="00714527">
        <w:t>)</w:t>
      </w:r>
      <w:r w:rsidR="004E6559">
        <w:t>. Together these mean</w:t>
      </w:r>
      <w:r w:rsidR="00974E3E">
        <w:t xml:space="preserve"> that</w:t>
      </w:r>
      <w:r w:rsidR="004E6559">
        <w:t xml:space="preserve"> </w:t>
      </w:r>
      <w:r w:rsidR="00C63690">
        <w:t>many existing</w:t>
      </w:r>
      <w:r>
        <w:t xml:space="preserve"> emissions</w:t>
      </w:r>
      <w:r>
        <w:noBreakHyphen/>
        <w:t xml:space="preserve">intensive plants are </w:t>
      </w:r>
      <w:r w:rsidR="00C63690">
        <w:t>very</w:t>
      </w:r>
      <w:r>
        <w:t xml:space="preserve"> cheap</w:t>
      </w:r>
      <w:r w:rsidR="00C63690">
        <w:t xml:space="preserve"> to continue</w:t>
      </w:r>
      <w:r>
        <w:t xml:space="preserve"> to run</w:t>
      </w:r>
      <w:r w:rsidR="00C63690">
        <w:t xml:space="preserve">, making it hard for new, cleaner plants to displace them from the market. </w:t>
      </w:r>
      <w:r w:rsidR="00714527">
        <w:t xml:space="preserve">This makes it challenging for </w:t>
      </w:r>
      <w:r>
        <w:rPr>
          <w:lang w:val="en-GB" w:eastAsia="en-AU"/>
        </w:rPr>
        <w:t>climate policy to ‘switch the economics’ of generator costs so that zero- and low</w:t>
      </w:r>
      <w:r>
        <w:rPr>
          <w:lang w:val="en-GB" w:eastAsia="en-AU"/>
        </w:rPr>
        <w:noBreakHyphen/>
        <w:t xml:space="preserve">emissions technologies are the most financially attractive to use and invest in. </w:t>
      </w:r>
      <w:r w:rsidR="001C18F1">
        <w:rPr>
          <w:lang w:val="en-GB" w:eastAsia="en-AU"/>
        </w:rPr>
        <w:t xml:space="preserve">Achieving </w:t>
      </w:r>
      <w:r>
        <w:rPr>
          <w:lang w:val="en-GB" w:eastAsia="en-AU"/>
        </w:rPr>
        <w:t xml:space="preserve">this requires well-designed, stable and durable policy. </w:t>
      </w:r>
    </w:p>
    <w:p w:rsidR="00A278E4" w:rsidRDefault="00A278E4" w:rsidP="009B06A2">
      <w:pPr>
        <w:pStyle w:val="BodyText"/>
      </w:pPr>
      <w:r>
        <w:t>Two features of the electricity sector have important implications for climate policy design.</w:t>
      </w:r>
    </w:p>
    <w:p w:rsidR="00D062AB" w:rsidRPr="00AC63E0" w:rsidRDefault="00D062AB" w:rsidP="00AC63E0">
      <w:pPr>
        <w:pStyle w:val="BodyText"/>
      </w:pPr>
      <w:r w:rsidRPr="00AC63E0">
        <w:t>First, the electricity sector is undergoing substantial change regardless of domestic climate policy. Innovations in technology and shifts in consumer preferences mean the size and structure of the sector could change a great deal over coming decades irrespective of climate policy. For example:</w:t>
      </w:r>
    </w:p>
    <w:p w:rsidR="00673C16" w:rsidRDefault="00673C16" w:rsidP="00673C16">
      <w:pPr>
        <w:pStyle w:val="ListBullet"/>
        <w:rPr>
          <w:lang w:val="en-GB"/>
        </w:rPr>
      </w:pPr>
      <w:r>
        <w:rPr>
          <w:lang w:val="en-GB"/>
        </w:rPr>
        <w:t xml:space="preserve">The Australian electricity sector </w:t>
      </w:r>
      <w:r w:rsidR="00177BAD">
        <w:rPr>
          <w:lang w:val="en-GB"/>
        </w:rPr>
        <w:t>c</w:t>
      </w:r>
      <w:r>
        <w:rPr>
          <w:lang w:val="en-GB"/>
        </w:rPr>
        <w:t>ould change significantly in the decades to 2050, influenced by ‘</w:t>
      </w:r>
      <w:proofErr w:type="spellStart"/>
      <w:r>
        <w:rPr>
          <w:lang w:val="en-GB"/>
        </w:rPr>
        <w:t>megashifts</w:t>
      </w:r>
      <w:proofErr w:type="spellEnd"/>
      <w:r>
        <w:rPr>
          <w:lang w:val="en-GB"/>
        </w:rPr>
        <w:t>’ such as the advent of low</w:t>
      </w:r>
      <w:r>
        <w:rPr>
          <w:lang w:val="en-GB"/>
        </w:rPr>
        <w:noBreakHyphen/>
        <w:t>cost battery storage reducing the need for large</w:t>
      </w:r>
      <w:r>
        <w:rPr>
          <w:lang w:val="en-GB"/>
        </w:rPr>
        <w:noBreakHyphen/>
        <w:t xml:space="preserve">scale </w:t>
      </w:r>
      <w:r>
        <w:rPr>
          <w:lang w:val="en-GB"/>
        </w:rPr>
        <w:lastRenderedPageBreak/>
        <w:t>electricity generation</w:t>
      </w:r>
      <w:r w:rsidR="00177BAD">
        <w:rPr>
          <w:lang w:val="en-GB"/>
        </w:rPr>
        <w:t xml:space="preserve"> </w:t>
      </w:r>
      <w:bookmarkStart w:id="135" w:name="_CTVP001f4f2c3535f0d494fb510826b6063b627"/>
      <w:r w:rsidR="0059109A">
        <w:rPr>
          <w:lang w:val="en-GB"/>
        </w:rPr>
        <w:t>(CSIRO 2013; Graham et al. 2015)</w:t>
      </w:r>
      <w:bookmarkEnd w:id="135"/>
      <w:r>
        <w:rPr>
          <w:lang w:val="en-GB"/>
        </w:rPr>
        <w:t xml:space="preserve">. </w:t>
      </w:r>
      <w:r>
        <w:t>Electricity n</w:t>
      </w:r>
      <w:r w:rsidRPr="002A294B">
        <w:t>etworks</w:t>
      </w:r>
      <w:r>
        <w:t>—the ‘poles and wires’ connecting the electricity system—will likely perform a range of critical roles and be important enablers of these changes</w:t>
      </w:r>
      <w:r w:rsidRPr="002A294B">
        <w:t>.</w:t>
      </w:r>
      <w:r>
        <w:t xml:space="preserve"> </w:t>
      </w:r>
      <w:r>
        <w:rPr>
          <w:lang w:val="en-GB"/>
        </w:rPr>
        <w:t>Predicting the future is always uncertain, however, so debate remains about the nature, likelihood and timing of such shifts.</w:t>
      </w:r>
    </w:p>
    <w:p w:rsidR="00932A4D" w:rsidRDefault="00673C16" w:rsidP="00B315AE">
      <w:pPr>
        <w:pStyle w:val="ListBullet"/>
      </w:pPr>
      <w:r w:rsidRPr="00346F67">
        <w:rPr>
          <w:lang w:val="en-GB"/>
        </w:rPr>
        <w:t xml:space="preserve">After decades of steady growth, electricity </w:t>
      </w:r>
      <w:r w:rsidR="00AE3428">
        <w:rPr>
          <w:lang w:val="en-GB"/>
        </w:rPr>
        <w:t>demand</w:t>
      </w:r>
      <w:r w:rsidR="009869B6">
        <w:rPr>
          <w:rStyle w:val="FootnoteReference"/>
          <w:lang w:val="en-GB"/>
        </w:rPr>
        <w:footnoteReference w:id="2"/>
      </w:r>
      <w:r w:rsidR="00AE3428" w:rsidRPr="00346F67">
        <w:rPr>
          <w:lang w:val="en-GB"/>
        </w:rPr>
        <w:t xml:space="preserve"> </w:t>
      </w:r>
      <w:r w:rsidRPr="00346F67">
        <w:rPr>
          <w:lang w:val="en-GB"/>
        </w:rPr>
        <w:t>across much of Australia fell for consecutive years</w:t>
      </w:r>
      <w:r w:rsidR="00A16F49">
        <w:rPr>
          <w:lang w:val="en-GB"/>
        </w:rPr>
        <w:t>. S</w:t>
      </w:r>
      <w:r w:rsidR="00B315AE">
        <w:rPr>
          <w:lang w:val="en-GB"/>
        </w:rPr>
        <w:t>tarting in 2008–</w:t>
      </w:r>
      <w:r w:rsidRPr="00DC5BFF">
        <w:rPr>
          <w:lang w:val="en-GB"/>
        </w:rPr>
        <w:t xml:space="preserve">09 </w:t>
      </w:r>
      <w:r w:rsidR="00AE3428">
        <w:rPr>
          <w:lang w:val="en-GB"/>
        </w:rPr>
        <w:t xml:space="preserve">demand </w:t>
      </w:r>
      <w:r w:rsidR="00C9678F">
        <w:rPr>
          <w:lang w:val="en-GB"/>
        </w:rPr>
        <w:t>fell</w:t>
      </w:r>
      <w:r w:rsidR="00AE3E1D">
        <w:rPr>
          <w:lang w:val="en-GB"/>
        </w:rPr>
        <w:t xml:space="preserve"> in</w:t>
      </w:r>
      <w:r w:rsidRPr="00DC5BFF">
        <w:rPr>
          <w:lang w:val="en-GB"/>
        </w:rPr>
        <w:t xml:space="preserve"> the National Electricity Market covering most of </w:t>
      </w:r>
      <w:r w:rsidRPr="002D21EC">
        <w:rPr>
          <w:lang w:val="en-GB"/>
        </w:rPr>
        <w:t>Australia’</w:t>
      </w:r>
      <w:r w:rsidRPr="00346F67">
        <w:rPr>
          <w:lang w:val="en-GB"/>
        </w:rPr>
        <w:t xml:space="preserve">s </w:t>
      </w:r>
      <w:r w:rsidR="005307F9">
        <w:rPr>
          <w:lang w:val="en-GB"/>
        </w:rPr>
        <w:t>e</w:t>
      </w:r>
      <w:r w:rsidRPr="00346F67">
        <w:rPr>
          <w:lang w:val="en-GB"/>
        </w:rPr>
        <w:t xml:space="preserve">ast </w:t>
      </w:r>
      <w:proofErr w:type="gramStart"/>
      <w:r w:rsidR="00A16F49">
        <w:rPr>
          <w:lang w:val="en-GB"/>
        </w:rPr>
        <w:t>c</w:t>
      </w:r>
      <w:r w:rsidRPr="00346F67">
        <w:rPr>
          <w:lang w:val="en-GB"/>
        </w:rPr>
        <w:t>oast</w:t>
      </w:r>
      <w:r>
        <w:rPr>
          <w:lang w:val="en-GB"/>
        </w:rPr>
        <w:t>,</w:t>
      </w:r>
      <w:proofErr w:type="gramEnd"/>
      <w:r w:rsidRPr="00346F67">
        <w:rPr>
          <w:lang w:val="en-GB"/>
        </w:rPr>
        <w:t xml:space="preserve"> and </w:t>
      </w:r>
      <w:r w:rsidR="00071C91">
        <w:rPr>
          <w:lang w:val="en-GB"/>
        </w:rPr>
        <w:t>from 2011</w:t>
      </w:r>
      <w:r w:rsidR="00B315AE">
        <w:rPr>
          <w:lang w:val="en-GB"/>
        </w:rPr>
        <w:t>–</w:t>
      </w:r>
      <w:r w:rsidR="00071C91">
        <w:rPr>
          <w:lang w:val="en-GB"/>
        </w:rPr>
        <w:t>12</w:t>
      </w:r>
      <w:r>
        <w:rPr>
          <w:lang w:val="en-GB"/>
        </w:rPr>
        <w:t xml:space="preserve"> electricity </w:t>
      </w:r>
      <w:r w:rsidR="00AE3428">
        <w:rPr>
          <w:lang w:val="en-GB"/>
        </w:rPr>
        <w:t>demand</w:t>
      </w:r>
      <w:r w:rsidR="00071C91">
        <w:rPr>
          <w:lang w:val="en-GB"/>
        </w:rPr>
        <w:t xml:space="preserve"> growth</w:t>
      </w:r>
      <w:r w:rsidR="00AE3428">
        <w:rPr>
          <w:lang w:val="en-GB"/>
        </w:rPr>
        <w:t xml:space="preserve"> </w:t>
      </w:r>
      <w:r w:rsidR="00AE3E1D">
        <w:rPr>
          <w:lang w:val="en-GB"/>
        </w:rPr>
        <w:t>slowed</w:t>
      </w:r>
      <w:r>
        <w:rPr>
          <w:lang w:val="en-GB"/>
        </w:rPr>
        <w:t xml:space="preserve"> in the South</w:t>
      </w:r>
      <w:r>
        <w:rPr>
          <w:lang w:val="en-GB"/>
        </w:rPr>
        <w:noBreakHyphen/>
        <w:t xml:space="preserve">West Interconnected </w:t>
      </w:r>
      <w:r w:rsidR="0065265B">
        <w:rPr>
          <w:lang w:val="en-GB"/>
        </w:rPr>
        <w:t>System</w:t>
      </w:r>
      <w:r>
        <w:rPr>
          <w:lang w:val="en-GB"/>
        </w:rPr>
        <w:t xml:space="preserve"> </w:t>
      </w:r>
      <w:r w:rsidRPr="00346F67">
        <w:rPr>
          <w:lang w:val="en-GB"/>
        </w:rPr>
        <w:t>in W</w:t>
      </w:r>
      <w:r>
        <w:rPr>
          <w:lang w:val="en-GB"/>
        </w:rPr>
        <w:t xml:space="preserve">estern </w:t>
      </w:r>
      <w:r w:rsidRPr="00346F67">
        <w:rPr>
          <w:lang w:val="en-GB"/>
        </w:rPr>
        <w:t>A</w:t>
      </w:r>
      <w:r>
        <w:rPr>
          <w:lang w:val="en-GB"/>
        </w:rPr>
        <w:t>ustralia</w:t>
      </w:r>
      <w:r w:rsidR="00E72680">
        <w:rPr>
          <w:lang w:val="en-GB"/>
        </w:rPr>
        <w:t xml:space="preserve"> </w:t>
      </w:r>
      <w:r w:rsidR="00071C91">
        <w:rPr>
          <w:lang w:val="en-GB"/>
        </w:rPr>
        <w:t>(Section </w:t>
      </w:r>
      <w:r w:rsidR="00CA762C">
        <w:rPr>
          <w:lang w:val="en-GB"/>
        </w:rPr>
        <w:t>2.5.3</w:t>
      </w:r>
      <w:r w:rsidR="00071C91">
        <w:rPr>
          <w:lang w:val="en-GB"/>
        </w:rPr>
        <w:t>)</w:t>
      </w:r>
      <w:r>
        <w:rPr>
          <w:lang w:val="en-GB"/>
        </w:rPr>
        <w:t>. I</w:t>
      </w:r>
      <w:r w:rsidRPr="00346F67">
        <w:rPr>
          <w:lang w:val="en-GB"/>
        </w:rPr>
        <w:t xml:space="preserve">n both cases, </w:t>
      </w:r>
      <w:r>
        <w:rPr>
          <w:lang w:val="en-GB"/>
        </w:rPr>
        <w:t xml:space="preserve">this was </w:t>
      </w:r>
      <w:r w:rsidRPr="00346F67">
        <w:rPr>
          <w:lang w:val="en-GB"/>
        </w:rPr>
        <w:t xml:space="preserve">despite a growing economy and population. </w:t>
      </w:r>
      <w:r w:rsidR="006C39F0">
        <w:t xml:space="preserve">Electricity demand is forecast to increase again over the near term, however the outlook remains uncertain. </w:t>
      </w:r>
      <w:bookmarkStart w:id="136" w:name="_CTVP001a000c24527394b9893b05cc4eb5a712f"/>
      <w:r w:rsidR="00B053FC">
        <w:t>(AEMO 2016e, p. 17)</w:t>
      </w:r>
      <w:bookmarkEnd w:id="136"/>
      <w:r w:rsidRPr="00346F67">
        <w:t>.</w:t>
      </w:r>
      <w:r w:rsidR="00AA64EE">
        <w:t xml:space="preserve"> </w:t>
      </w:r>
      <w:r w:rsidR="00932A4D">
        <w:t>These potential changes and uncertainties mean that, in order to be effective and durable, climate policies must be flexible in order to perform well in a variety of possible futures.</w:t>
      </w:r>
    </w:p>
    <w:p w:rsidR="00932A4D" w:rsidRPr="009D0F88" w:rsidRDefault="00932A4D" w:rsidP="004F37E6">
      <w:pPr>
        <w:pStyle w:val="BodyText"/>
      </w:pPr>
      <w:r w:rsidRPr="009D0F88">
        <w:t xml:space="preserve">The second feature of the electricity sector important for climate policy design is that </w:t>
      </w:r>
      <w:r w:rsidR="00395343" w:rsidRPr="009D0F88">
        <w:t xml:space="preserve">electricity sector </w:t>
      </w:r>
      <w:r w:rsidRPr="009D0F88">
        <w:t xml:space="preserve">climate policies </w:t>
      </w:r>
      <w:r w:rsidR="00395343" w:rsidRPr="009D0F88">
        <w:t>affect the operation of</w:t>
      </w:r>
      <w:r w:rsidRPr="009D0F88">
        <w:t xml:space="preserve"> existing electricity markets. This means that, to ensure an orderly transition to a lower</w:t>
      </w:r>
      <w:r w:rsidRPr="009D0F88">
        <w:noBreakHyphen/>
        <w:t xml:space="preserve">emissions system, climate policies need to be designed with the operation of electricity markets in mind. The importance of integrating climate and energy policy has been recognised </w:t>
      </w:r>
      <w:r w:rsidR="00395343" w:rsidRPr="009D0F88">
        <w:t xml:space="preserve">by </w:t>
      </w:r>
      <w:r w:rsidR="002927CF" w:rsidRPr="009D0F88">
        <w:t>many</w:t>
      </w:r>
      <w:r w:rsidRPr="009D0F88">
        <w:t xml:space="preserve"> stakeholders, and</w:t>
      </w:r>
      <w:r w:rsidR="00395343" w:rsidRPr="009D0F88">
        <w:t xml:space="preserve"> was</w:t>
      </w:r>
      <w:r w:rsidRPr="009D0F88">
        <w:t xml:space="preserve"> emphasised </w:t>
      </w:r>
      <w:r w:rsidR="00395343" w:rsidRPr="009D0F88">
        <w:t>by</w:t>
      </w:r>
      <w:r w:rsidRPr="009D0F88">
        <w:t xml:space="preserve"> the COAG Energy Council:</w:t>
      </w:r>
    </w:p>
    <w:p w:rsidR="00C97C56" w:rsidRDefault="003721D9" w:rsidP="00932A4D">
      <w:pPr>
        <w:pStyle w:val="BodyText"/>
        <w:ind w:left="720"/>
        <w:rPr>
          <w:i/>
          <w:lang w:val="en-GB" w:eastAsia="en-AU"/>
        </w:rPr>
      </w:pPr>
      <w:r>
        <w:rPr>
          <w:i/>
          <w:lang w:val="en-GB" w:eastAsia="en-AU"/>
        </w:rPr>
        <w:t>[</w:t>
      </w:r>
      <w:r w:rsidR="008B7FA0" w:rsidRPr="008B7FA0">
        <w:rPr>
          <w:i/>
          <w:lang w:val="en-GB" w:eastAsia="en-AU"/>
        </w:rPr>
        <w:t xml:space="preserve">Australian energy </w:t>
      </w:r>
      <w:r w:rsidR="00395343">
        <w:rPr>
          <w:i/>
          <w:lang w:val="en-GB" w:eastAsia="en-AU"/>
        </w:rPr>
        <w:t>M</w:t>
      </w:r>
      <w:r w:rsidR="008B7FA0" w:rsidRPr="008B7FA0">
        <w:rPr>
          <w:i/>
          <w:lang w:val="en-GB" w:eastAsia="en-AU"/>
        </w:rPr>
        <w:t>inisters have] agreed to a national, cooperative effort to better integrate energy and climate policy, with a clear focus on ensuring that consumers and industry have access to low</w:t>
      </w:r>
      <w:r w:rsidR="008B7FA0" w:rsidRPr="008B7FA0">
        <w:rPr>
          <w:i/>
          <w:lang w:val="en-GB" w:eastAsia="en-AU"/>
        </w:rPr>
        <w:noBreakHyphen/>
        <w:t>cost, reliable energy as Australia moves towards a lower</w:t>
      </w:r>
      <w:r w:rsidR="008B7FA0" w:rsidRPr="008B7FA0">
        <w:rPr>
          <w:i/>
          <w:lang w:val="en-GB" w:eastAsia="en-AU"/>
        </w:rPr>
        <w:noBreakHyphen/>
        <w:t>emissions economy</w:t>
      </w:r>
      <w:r w:rsidR="0089513F">
        <w:rPr>
          <w:i/>
          <w:lang w:val="en-GB" w:eastAsia="en-AU"/>
        </w:rPr>
        <w:t xml:space="preserve">. </w:t>
      </w:r>
    </w:p>
    <w:p w:rsidR="008B7FA0" w:rsidRDefault="006F0D26" w:rsidP="00932A4D">
      <w:pPr>
        <w:pStyle w:val="BodyText"/>
        <w:ind w:left="720"/>
        <w:rPr>
          <w:i/>
          <w:szCs w:val="21"/>
        </w:rPr>
      </w:pPr>
      <w:r w:rsidRPr="005C35D8">
        <w:rPr>
          <w:i/>
          <w:szCs w:val="21"/>
        </w:rPr>
        <w:t>The successful integration of carbon and energy policies will be critical to meeting</w:t>
      </w:r>
      <w:r w:rsidR="00346F67" w:rsidRPr="005C35D8">
        <w:rPr>
          <w:i/>
          <w:szCs w:val="21"/>
        </w:rPr>
        <w:t xml:space="preserve"> </w:t>
      </w:r>
      <w:r w:rsidRPr="005C35D8">
        <w:rPr>
          <w:i/>
          <w:szCs w:val="21"/>
        </w:rPr>
        <w:t>Australia's emissions reduction target of 26 to 28 per cent below 2005 levels by 2030</w:t>
      </w:r>
      <w:r w:rsidR="0089513F">
        <w:rPr>
          <w:i/>
          <w:szCs w:val="21"/>
        </w:rPr>
        <w:t>.</w:t>
      </w:r>
      <w:r w:rsidR="00395343" w:rsidRPr="00395343">
        <w:rPr>
          <w:color w:val="000000" w:themeColor="text1"/>
        </w:rPr>
        <w:t xml:space="preserve"> </w:t>
      </w:r>
      <w:r w:rsidR="006C04FA">
        <w:rPr>
          <w:i/>
          <w:lang w:val="en-GB" w:eastAsia="en-AU"/>
        </w:rPr>
        <w:t>Ministers will develop a national approach to connect environmental outcomes and energy policy in the interests of consumers.</w:t>
      </w:r>
      <w:r w:rsidR="00274C63">
        <w:rPr>
          <w:i/>
          <w:lang w:val="en-GB" w:eastAsia="en-AU"/>
        </w:rPr>
        <w:t xml:space="preserve"> </w:t>
      </w:r>
      <w:bookmarkStart w:id="137" w:name="_CTVP00161628de20cf846f89c1e66adfcbbf72e"/>
      <w:r w:rsidR="0059109A">
        <w:t>(COAG Energy Council 2015, pp. 1–2)</w:t>
      </w:r>
      <w:bookmarkEnd w:id="137"/>
    </w:p>
    <w:p w:rsidR="005C35D8" w:rsidRPr="005C35D8" w:rsidRDefault="006C04FA" w:rsidP="008B7FA0">
      <w:pPr>
        <w:pStyle w:val="BodyText"/>
        <w:rPr>
          <w:rFonts w:cs="Arial"/>
          <w:i/>
          <w:color w:val="auto"/>
          <w:szCs w:val="21"/>
        </w:rPr>
      </w:pPr>
      <w:r>
        <w:rPr>
          <w:szCs w:val="21"/>
        </w:rPr>
        <w:t>At its December 2015 meeting, t</w:t>
      </w:r>
      <w:r w:rsidR="008B7FA0">
        <w:rPr>
          <w:szCs w:val="21"/>
        </w:rPr>
        <w:t xml:space="preserve">he COAG Energy Council tasked officials with </w:t>
      </w:r>
      <w:r w:rsidR="00A348AC">
        <w:rPr>
          <w:szCs w:val="21"/>
        </w:rPr>
        <w:t>examining</w:t>
      </w:r>
      <w:r w:rsidR="008B7FA0">
        <w:rPr>
          <w:szCs w:val="21"/>
        </w:rPr>
        <w:t xml:space="preserve"> potential impacts of the integration of </w:t>
      </w:r>
      <w:r w:rsidR="008B7FA0" w:rsidRPr="008B7FA0">
        <w:rPr>
          <w:szCs w:val="21"/>
        </w:rPr>
        <w:t>carbon policies with the energy sector</w:t>
      </w:r>
      <w:r w:rsidR="008B7FA0">
        <w:rPr>
          <w:szCs w:val="21"/>
        </w:rPr>
        <w:t xml:space="preserve"> </w:t>
      </w:r>
      <w:bookmarkStart w:id="138" w:name="_CTVP001c2055b8a53c740d9bec30cd3e929a06c"/>
      <w:r w:rsidR="0059109A">
        <w:rPr>
          <w:szCs w:val="21"/>
        </w:rPr>
        <w:t>(COAG Energy Council 2015)</w:t>
      </w:r>
      <w:bookmarkEnd w:id="138"/>
      <w:r w:rsidR="008B7FA0" w:rsidRPr="008B7FA0">
        <w:rPr>
          <w:szCs w:val="21"/>
        </w:rPr>
        <w:t xml:space="preserve">. </w:t>
      </w:r>
    </w:p>
    <w:p w:rsidR="00A348AC" w:rsidRPr="004C2A49" w:rsidRDefault="00C5191B" w:rsidP="00A348AC">
      <w:pPr>
        <w:pStyle w:val="BodyText"/>
        <w:rPr>
          <w:lang w:val="en-GB" w:eastAsia="en-AU"/>
        </w:rPr>
      </w:pPr>
      <w:r>
        <w:t xml:space="preserve">This </w:t>
      </w:r>
      <w:r w:rsidR="006D333E">
        <w:t>research report</w:t>
      </w:r>
      <w:r>
        <w:t xml:space="preserve"> recognises </w:t>
      </w:r>
      <w:r w:rsidR="005C5B6E">
        <w:t>the importance of energy</w:t>
      </w:r>
      <w:r w:rsidR="005C5B6E">
        <w:noBreakHyphen/>
      </w:r>
      <w:r w:rsidR="001D56DA">
        <w:t>climate policy interactions, and notes that the integration of energy and climate policy is a large issue</w:t>
      </w:r>
      <w:r w:rsidR="004226E3">
        <w:t xml:space="preserve"> with many different facets. The </w:t>
      </w:r>
      <w:r w:rsidR="00AD11F0">
        <w:t>report</w:t>
      </w:r>
      <w:r w:rsidR="004226E3">
        <w:t xml:space="preserve"> makes some observations on these different facets by way of background (</w:t>
      </w:r>
      <w:r w:rsidR="00CA762C">
        <w:rPr>
          <w:lang w:val="en-GB" w:eastAsia="en-AU"/>
        </w:rPr>
        <w:t>Box 1</w:t>
      </w:r>
      <w:r w:rsidR="004226E3">
        <w:rPr>
          <w:lang w:val="en-GB" w:eastAsia="en-AU"/>
        </w:rPr>
        <w:t xml:space="preserve">) </w:t>
      </w:r>
      <w:r w:rsidR="004226E3">
        <w:t>and discusses how different policies have different effects on the existing incentives for dispatch, entry and exit of generation (</w:t>
      </w:r>
      <w:r w:rsidR="00DC47CE">
        <w:rPr>
          <w:lang w:val="en-GB" w:eastAsia="en-AU"/>
        </w:rPr>
        <w:t>S</w:t>
      </w:r>
      <w:r w:rsidR="00A348AC">
        <w:rPr>
          <w:lang w:val="en-GB" w:eastAsia="en-AU"/>
        </w:rPr>
        <w:t>ection</w:t>
      </w:r>
      <w:r w:rsidR="00912824">
        <w:rPr>
          <w:lang w:val="en-GB" w:eastAsia="en-AU"/>
        </w:rPr>
        <w:t xml:space="preserve"> </w:t>
      </w:r>
      <w:r w:rsidR="00CA762C">
        <w:rPr>
          <w:lang w:val="en-GB" w:eastAsia="en-AU"/>
        </w:rPr>
        <w:t>4.1.2</w:t>
      </w:r>
      <w:r w:rsidR="004226E3">
        <w:rPr>
          <w:lang w:val="en-GB" w:eastAsia="en-AU"/>
        </w:rPr>
        <w:t>)</w:t>
      </w:r>
      <w:r w:rsidR="00A348AC">
        <w:rPr>
          <w:lang w:val="en-GB" w:eastAsia="en-AU"/>
        </w:rPr>
        <w:t>.</w:t>
      </w:r>
    </w:p>
    <w:p w:rsidR="00A35522" w:rsidRDefault="00A35522" w:rsidP="00D21D15">
      <w:pPr>
        <w:pStyle w:val="ChapterHeading2"/>
      </w:pPr>
      <w:bookmarkStart w:id="139" w:name="_Toc446484724"/>
      <w:bookmarkStart w:id="140" w:name="_Toc447016982"/>
      <w:bookmarkStart w:id="141" w:name="_Toc447182430"/>
      <w:bookmarkStart w:id="142" w:name="_Toc447183275"/>
      <w:bookmarkStart w:id="143" w:name="_Toc447183349"/>
      <w:bookmarkStart w:id="144" w:name="_Toc447183387"/>
      <w:bookmarkStart w:id="145" w:name="_Toc447183475"/>
      <w:bookmarkStart w:id="146" w:name="_Toc447183534"/>
      <w:bookmarkStart w:id="147" w:name="_Toc448132683"/>
      <w:bookmarkStart w:id="148" w:name="_Toc448151743"/>
      <w:bookmarkStart w:id="149" w:name="_Toc448151811"/>
      <w:bookmarkStart w:id="150" w:name="_Toc460317981"/>
      <w:bookmarkStart w:id="151" w:name="_Toc444011881"/>
      <w:bookmarkStart w:id="152" w:name="_Ref443904444"/>
      <w:bookmarkEnd w:id="139"/>
      <w:bookmarkEnd w:id="140"/>
      <w:r>
        <w:t>Current climate policies and near-term emissions outlook</w:t>
      </w:r>
      <w:bookmarkEnd w:id="141"/>
      <w:bookmarkEnd w:id="142"/>
      <w:bookmarkEnd w:id="143"/>
      <w:bookmarkEnd w:id="144"/>
      <w:bookmarkEnd w:id="145"/>
      <w:bookmarkEnd w:id="146"/>
      <w:bookmarkEnd w:id="147"/>
      <w:bookmarkEnd w:id="148"/>
      <w:bookmarkEnd w:id="149"/>
      <w:bookmarkEnd w:id="150"/>
      <w:r>
        <w:t xml:space="preserve"> </w:t>
      </w:r>
      <w:bookmarkEnd w:id="151"/>
      <w:bookmarkEnd w:id="152"/>
    </w:p>
    <w:p w:rsidR="00EE68AB" w:rsidRDefault="00EE68AB" w:rsidP="00A35522">
      <w:pPr>
        <w:pStyle w:val="BodyText"/>
        <w:rPr>
          <w:lang w:val="en-GB" w:eastAsia="en-AU"/>
        </w:rPr>
      </w:pPr>
      <w:r>
        <w:rPr>
          <w:lang w:val="en-GB" w:eastAsia="en-AU"/>
        </w:rPr>
        <w:t>S</w:t>
      </w:r>
      <w:r w:rsidR="00A35522">
        <w:rPr>
          <w:lang w:val="en-GB" w:eastAsia="en-AU"/>
        </w:rPr>
        <w:t>everal Commonwealth</w:t>
      </w:r>
      <w:r w:rsidR="00D34F3F">
        <w:rPr>
          <w:lang w:val="en-GB" w:eastAsia="en-AU"/>
        </w:rPr>
        <w:t xml:space="preserve">, state and territory </w:t>
      </w:r>
      <w:r w:rsidR="00A35522">
        <w:rPr>
          <w:lang w:val="en-GB" w:eastAsia="en-AU"/>
        </w:rPr>
        <w:t>climate change policies currently operat</w:t>
      </w:r>
      <w:r w:rsidR="00D34F3F">
        <w:rPr>
          <w:lang w:val="en-GB" w:eastAsia="en-AU"/>
        </w:rPr>
        <w:t>e</w:t>
      </w:r>
      <w:r w:rsidR="00A35522">
        <w:rPr>
          <w:lang w:val="en-GB" w:eastAsia="en-AU"/>
        </w:rPr>
        <w:t xml:space="preserve"> in the electricity sector</w:t>
      </w:r>
      <w:r w:rsidR="006F5F04">
        <w:rPr>
          <w:lang w:val="en-GB" w:eastAsia="en-AU"/>
        </w:rPr>
        <w:t>;</w:t>
      </w:r>
      <w:r w:rsidR="00A35522">
        <w:rPr>
          <w:lang w:val="en-GB" w:eastAsia="en-AU"/>
        </w:rPr>
        <w:t xml:space="preserve"> </w:t>
      </w:r>
      <w:r w:rsidR="00CA762C">
        <w:t>Table 1</w:t>
      </w:r>
      <w:r w:rsidR="00A35522">
        <w:rPr>
          <w:lang w:val="en-GB" w:eastAsia="en-AU"/>
        </w:rPr>
        <w:t xml:space="preserve"> identifies </w:t>
      </w:r>
      <w:r w:rsidR="00015878">
        <w:rPr>
          <w:lang w:val="en-GB" w:eastAsia="en-AU"/>
        </w:rPr>
        <w:t>major policies</w:t>
      </w:r>
      <w:r w:rsidR="004226E3">
        <w:rPr>
          <w:lang w:val="en-GB" w:eastAsia="en-AU"/>
        </w:rPr>
        <w:t>,</w:t>
      </w:r>
      <w:r w:rsidR="00015878">
        <w:rPr>
          <w:lang w:val="en-GB" w:eastAsia="en-AU"/>
        </w:rPr>
        <w:t xml:space="preserve"> focusing on the large-scale </w:t>
      </w:r>
      <w:r w:rsidR="00C5191B">
        <w:rPr>
          <w:lang w:val="en-GB" w:eastAsia="en-AU"/>
        </w:rPr>
        <w:t xml:space="preserve">electricity </w:t>
      </w:r>
      <w:r w:rsidR="00015878">
        <w:rPr>
          <w:lang w:val="en-GB" w:eastAsia="en-AU"/>
        </w:rPr>
        <w:t>supply sector</w:t>
      </w:r>
      <w:r>
        <w:rPr>
          <w:lang w:val="en-GB" w:eastAsia="en-AU"/>
        </w:rPr>
        <w:t>. These include:</w:t>
      </w:r>
    </w:p>
    <w:p w:rsidR="00EE68AB" w:rsidRDefault="007C31C3" w:rsidP="00D21D15">
      <w:pPr>
        <w:pStyle w:val="ListBullet"/>
        <w:rPr>
          <w:lang w:val="en-GB"/>
        </w:rPr>
      </w:pPr>
      <w:r>
        <w:rPr>
          <w:lang w:val="en-GB"/>
        </w:rPr>
        <w:t>t</w:t>
      </w:r>
      <w:r w:rsidR="00EE68AB">
        <w:rPr>
          <w:lang w:val="en-GB"/>
        </w:rPr>
        <w:t>he Renewable Energy Target, which increases the amount of renewable generation capacity by creating a market for additional renewable energy</w:t>
      </w:r>
    </w:p>
    <w:p w:rsidR="00EE68AB" w:rsidRPr="00530CD0" w:rsidRDefault="007C31C3" w:rsidP="00D21D15">
      <w:pPr>
        <w:pStyle w:val="ListBullet"/>
        <w:rPr>
          <w:lang w:val="en-GB"/>
        </w:rPr>
      </w:pPr>
      <w:r>
        <w:rPr>
          <w:lang w:val="en-GB"/>
        </w:rPr>
        <w:t>t</w:t>
      </w:r>
      <w:r w:rsidR="00EE68AB">
        <w:rPr>
          <w:lang w:val="en-GB"/>
        </w:rPr>
        <w:t xml:space="preserve">he Emissions Reduction Fund, which consists of a voluntary mechanism to purchase emissions reductions, and a </w:t>
      </w:r>
      <w:r w:rsidR="00EE68AB">
        <w:rPr>
          <w:lang w:val="en-US"/>
        </w:rPr>
        <w:t>regulatory ‘safeg</w:t>
      </w:r>
      <w:r w:rsidR="005C35D8">
        <w:rPr>
          <w:lang w:val="en-US"/>
        </w:rPr>
        <w:t>u</w:t>
      </w:r>
      <w:r w:rsidR="00EE68AB">
        <w:rPr>
          <w:lang w:val="en-US"/>
        </w:rPr>
        <w:t xml:space="preserve">ard’ </w:t>
      </w:r>
      <w:r w:rsidR="006C04FA">
        <w:rPr>
          <w:lang w:val="en-US"/>
        </w:rPr>
        <w:t xml:space="preserve">mechanism </w:t>
      </w:r>
      <w:r w:rsidR="00EE68AB">
        <w:rPr>
          <w:lang w:val="en-US"/>
        </w:rPr>
        <w:t xml:space="preserve">aimed at ensuring emissions reductions purchased </w:t>
      </w:r>
      <w:r w:rsidR="00D34F3F">
        <w:rPr>
          <w:lang w:val="en-US"/>
        </w:rPr>
        <w:t xml:space="preserve">by the fund </w:t>
      </w:r>
      <w:r w:rsidR="00EE68AB">
        <w:rPr>
          <w:lang w:val="en-US"/>
        </w:rPr>
        <w:t>are not offset by emissions growth</w:t>
      </w:r>
      <w:r>
        <w:rPr>
          <w:lang w:val="en-US"/>
        </w:rPr>
        <w:t xml:space="preserve"> beyond business as </w:t>
      </w:r>
      <w:r w:rsidR="00C818AE">
        <w:rPr>
          <w:lang w:val="en-US"/>
        </w:rPr>
        <w:t>usual</w:t>
      </w:r>
      <w:r w:rsidR="00EE68AB">
        <w:rPr>
          <w:lang w:val="en-US"/>
        </w:rPr>
        <w:t xml:space="preserve"> elsewhere in the economy.</w:t>
      </w:r>
    </w:p>
    <w:p w:rsidR="001F141C" w:rsidRDefault="00EE68AB" w:rsidP="00EE68AB">
      <w:pPr>
        <w:pStyle w:val="BodyText"/>
        <w:rPr>
          <w:lang w:val="en-GB" w:eastAsia="en-AU"/>
        </w:rPr>
      </w:pPr>
      <w:r>
        <w:rPr>
          <w:lang w:val="en-GB" w:eastAsia="en-AU"/>
        </w:rPr>
        <w:lastRenderedPageBreak/>
        <w:t>S</w:t>
      </w:r>
      <w:r w:rsidR="00A35522">
        <w:rPr>
          <w:lang w:val="en-GB" w:eastAsia="en-AU"/>
        </w:rPr>
        <w:t xml:space="preserve">everal states and territories have specific renewable energy goals or are planning additional targets and policies. </w:t>
      </w:r>
    </w:p>
    <w:p w:rsidR="001F141C" w:rsidRDefault="00A35522" w:rsidP="00DC5BFF">
      <w:pPr>
        <w:pStyle w:val="ListBullet"/>
        <w:rPr>
          <w:lang w:val="en-GB"/>
        </w:rPr>
      </w:pPr>
      <w:r>
        <w:rPr>
          <w:lang w:val="en-GB"/>
        </w:rPr>
        <w:t>The A</w:t>
      </w:r>
      <w:r w:rsidR="0037260F">
        <w:rPr>
          <w:lang w:val="en-GB"/>
        </w:rPr>
        <w:t xml:space="preserve">ustralian </w:t>
      </w:r>
      <w:r>
        <w:rPr>
          <w:lang w:val="en-GB"/>
        </w:rPr>
        <w:t>C</w:t>
      </w:r>
      <w:r w:rsidR="0037260F">
        <w:rPr>
          <w:lang w:val="en-GB"/>
        </w:rPr>
        <w:t xml:space="preserve">apital </w:t>
      </w:r>
      <w:r>
        <w:rPr>
          <w:lang w:val="en-GB"/>
        </w:rPr>
        <w:t>T</w:t>
      </w:r>
      <w:r w:rsidR="0037260F">
        <w:rPr>
          <w:lang w:val="en-GB"/>
        </w:rPr>
        <w:t>erritory</w:t>
      </w:r>
      <w:r>
        <w:rPr>
          <w:lang w:val="en-GB"/>
        </w:rPr>
        <w:t xml:space="preserve"> </w:t>
      </w:r>
      <w:r w:rsidR="00AA64EE">
        <w:rPr>
          <w:lang w:val="en-GB"/>
        </w:rPr>
        <w:t xml:space="preserve">Government </w:t>
      </w:r>
      <w:r>
        <w:rPr>
          <w:lang w:val="en-GB"/>
        </w:rPr>
        <w:t xml:space="preserve">has a legislated goal to source </w:t>
      </w:r>
      <w:r w:rsidR="006E4280">
        <w:rPr>
          <w:lang w:val="en-GB"/>
        </w:rPr>
        <w:t>100 </w:t>
      </w:r>
      <w:r>
        <w:rPr>
          <w:lang w:val="en-GB"/>
        </w:rPr>
        <w:t>per</w:t>
      </w:r>
      <w:r w:rsidR="0037260F">
        <w:rPr>
          <w:lang w:val="en-GB"/>
        </w:rPr>
        <w:t> </w:t>
      </w:r>
      <w:r>
        <w:rPr>
          <w:lang w:val="en-GB"/>
        </w:rPr>
        <w:t xml:space="preserve">cent </w:t>
      </w:r>
      <w:r w:rsidR="0037260F">
        <w:rPr>
          <w:lang w:val="en-GB"/>
        </w:rPr>
        <w:t xml:space="preserve">renewable generation by </w:t>
      </w:r>
      <w:r>
        <w:rPr>
          <w:lang w:val="en-GB"/>
        </w:rPr>
        <w:t>202</w:t>
      </w:r>
      <w:r w:rsidR="00DC5BFF">
        <w:rPr>
          <w:lang w:val="en-GB"/>
        </w:rPr>
        <w:t>0</w:t>
      </w:r>
      <w:r w:rsidR="0081443D">
        <w:rPr>
          <w:lang w:val="en-GB"/>
        </w:rPr>
        <w:t xml:space="preserve"> </w:t>
      </w:r>
      <w:bookmarkStart w:id="153" w:name="_CTVP001200335183d2140f1a1dbbdece3dceff6"/>
      <w:r w:rsidR="0059109A">
        <w:rPr>
          <w:lang w:val="en-GB"/>
        </w:rPr>
        <w:t>(Government of the ACT 2016)</w:t>
      </w:r>
      <w:bookmarkEnd w:id="153"/>
      <w:r w:rsidR="00EE68AB">
        <w:rPr>
          <w:lang w:val="en-GB"/>
        </w:rPr>
        <w:t xml:space="preserve">, underpinned by </w:t>
      </w:r>
      <w:r w:rsidR="006F5F04">
        <w:rPr>
          <w:lang w:val="en-GB"/>
        </w:rPr>
        <w:t>its</w:t>
      </w:r>
      <w:r w:rsidR="00EE68AB">
        <w:rPr>
          <w:lang w:val="en-GB"/>
        </w:rPr>
        <w:t xml:space="preserve"> </w:t>
      </w:r>
      <w:r w:rsidR="00A82A29">
        <w:rPr>
          <w:lang w:val="en-GB"/>
        </w:rPr>
        <w:t>contracts for difference policy</w:t>
      </w:r>
      <w:r w:rsidR="00EE68AB">
        <w:rPr>
          <w:lang w:val="en-GB"/>
        </w:rPr>
        <w:t xml:space="preserve"> </w:t>
      </w:r>
      <w:r w:rsidR="006F5F04">
        <w:rPr>
          <w:lang w:val="en-GB"/>
        </w:rPr>
        <w:t>(</w:t>
      </w:r>
      <w:r w:rsidR="00CA762C">
        <w:t>Table 1</w:t>
      </w:r>
      <w:r w:rsidR="006F5F04">
        <w:t>)</w:t>
      </w:r>
      <w:r w:rsidR="0037260F">
        <w:t>.</w:t>
      </w:r>
    </w:p>
    <w:p w:rsidR="001F141C" w:rsidRDefault="001F141C" w:rsidP="009818D9">
      <w:pPr>
        <w:pStyle w:val="ListBullet"/>
        <w:numPr>
          <w:ilvl w:val="0"/>
          <w:numId w:val="26"/>
        </w:numPr>
        <w:rPr>
          <w:lang w:val="en-GB" w:eastAsia="en-AU"/>
        </w:rPr>
      </w:pPr>
      <w:r>
        <w:rPr>
          <w:lang w:val="en-GB" w:eastAsia="en-AU"/>
        </w:rPr>
        <w:t>T</w:t>
      </w:r>
      <w:r w:rsidR="00A35522">
        <w:rPr>
          <w:lang w:val="en-GB" w:eastAsia="en-AU"/>
        </w:rPr>
        <w:t>he S</w:t>
      </w:r>
      <w:r w:rsidR="005B0480">
        <w:rPr>
          <w:lang w:val="en-GB" w:eastAsia="en-AU"/>
        </w:rPr>
        <w:t xml:space="preserve">outh Australian </w:t>
      </w:r>
      <w:r w:rsidR="00AA64EE">
        <w:rPr>
          <w:lang w:val="en-GB" w:eastAsia="en-AU"/>
        </w:rPr>
        <w:t>G</w:t>
      </w:r>
      <w:r>
        <w:rPr>
          <w:lang w:val="en-GB" w:eastAsia="en-AU"/>
        </w:rPr>
        <w:t>overnment</w:t>
      </w:r>
      <w:r w:rsidR="005B0480">
        <w:rPr>
          <w:lang w:val="en-GB" w:eastAsia="en-AU"/>
        </w:rPr>
        <w:t xml:space="preserve"> </w:t>
      </w:r>
      <w:r>
        <w:rPr>
          <w:lang w:val="en-GB" w:eastAsia="en-AU"/>
        </w:rPr>
        <w:t xml:space="preserve">has </w:t>
      </w:r>
      <w:r w:rsidR="0081443D">
        <w:rPr>
          <w:lang w:val="en-GB" w:eastAsia="en-AU"/>
        </w:rPr>
        <w:t>committed</w:t>
      </w:r>
      <w:r>
        <w:rPr>
          <w:lang w:val="en-GB" w:eastAsia="en-AU"/>
        </w:rPr>
        <w:t xml:space="preserve"> </w:t>
      </w:r>
      <w:r w:rsidR="0037260F">
        <w:rPr>
          <w:lang w:val="en-GB" w:eastAsia="en-AU"/>
        </w:rPr>
        <w:t>to source</w:t>
      </w:r>
      <w:r>
        <w:rPr>
          <w:lang w:val="en-GB" w:eastAsia="en-AU"/>
        </w:rPr>
        <w:t xml:space="preserve"> 50</w:t>
      </w:r>
      <w:r w:rsidR="0037260F">
        <w:rPr>
          <w:lang w:val="en-GB" w:eastAsia="en-AU"/>
        </w:rPr>
        <w:t> </w:t>
      </w:r>
      <w:r>
        <w:rPr>
          <w:lang w:val="en-GB" w:eastAsia="en-AU"/>
        </w:rPr>
        <w:t>per</w:t>
      </w:r>
      <w:r w:rsidR="0037260F">
        <w:rPr>
          <w:lang w:val="en-GB" w:eastAsia="en-AU"/>
        </w:rPr>
        <w:t> </w:t>
      </w:r>
      <w:r>
        <w:rPr>
          <w:lang w:val="en-GB" w:eastAsia="en-AU"/>
        </w:rPr>
        <w:t>cent renewable generation by 2025</w:t>
      </w:r>
      <w:r w:rsidR="00D34F3F">
        <w:rPr>
          <w:lang w:val="en-GB" w:eastAsia="en-AU"/>
        </w:rPr>
        <w:t xml:space="preserve"> </w:t>
      </w:r>
      <w:bookmarkStart w:id="154" w:name="_CTVP001fad7716aca344a079e44fe8b81c7fbc2"/>
      <w:r w:rsidR="0059109A">
        <w:rPr>
          <w:lang w:val="en-GB" w:eastAsia="en-AU"/>
        </w:rPr>
        <w:t>(Department of Environment, Water and Natural Resources 2014)</w:t>
      </w:r>
      <w:bookmarkEnd w:id="154"/>
      <w:r w:rsidR="00D34F3F">
        <w:rPr>
          <w:lang w:val="en-GB" w:eastAsia="en-AU"/>
        </w:rPr>
        <w:t>.</w:t>
      </w:r>
    </w:p>
    <w:p w:rsidR="0081443D" w:rsidRDefault="00AA64EE" w:rsidP="009818D9">
      <w:pPr>
        <w:pStyle w:val="ListBullet"/>
        <w:numPr>
          <w:ilvl w:val="0"/>
          <w:numId w:val="26"/>
        </w:numPr>
        <w:rPr>
          <w:lang w:val="en-GB" w:eastAsia="en-AU"/>
        </w:rPr>
      </w:pPr>
      <w:r>
        <w:rPr>
          <w:lang w:val="en-GB" w:eastAsia="en-AU"/>
        </w:rPr>
        <w:t>The Queensland G</w:t>
      </w:r>
      <w:r w:rsidR="0081443D">
        <w:rPr>
          <w:lang w:val="en-GB" w:eastAsia="en-AU"/>
        </w:rPr>
        <w:t xml:space="preserve">overnment </w:t>
      </w:r>
      <w:r w:rsidR="008D03F8">
        <w:rPr>
          <w:lang w:val="en-GB" w:eastAsia="en-AU"/>
        </w:rPr>
        <w:t>is investigating</w:t>
      </w:r>
      <w:r w:rsidR="0081443D">
        <w:rPr>
          <w:lang w:val="en-GB" w:eastAsia="en-AU"/>
        </w:rPr>
        <w:t xml:space="preserve"> a credible pathway to achiev</w:t>
      </w:r>
      <w:r w:rsidR="0007799D">
        <w:rPr>
          <w:lang w:val="en-GB" w:eastAsia="en-AU"/>
        </w:rPr>
        <w:t>e</w:t>
      </w:r>
      <w:r w:rsidR="0081443D">
        <w:rPr>
          <w:lang w:val="en-GB" w:eastAsia="en-AU"/>
        </w:rPr>
        <w:t xml:space="preserve"> a goal of 50 per cent renewable generation by 2030</w:t>
      </w:r>
      <w:r w:rsidR="008D03F8">
        <w:rPr>
          <w:lang w:val="en-GB" w:eastAsia="en-AU"/>
        </w:rPr>
        <w:t xml:space="preserve"> </w:t>
      </w:r>
      <w:bookmarkStart w:id="155" w:name="_CTVP0011401c7c5861045689aea9a59597b06e6"/>
      <w:r w:rsidR="0059109A">
        <w:rPr>
          <w:lang w:val="en-GB" w:eastAsia="en-AU"/>
        </w:rPr>
        <w:t>(Queensland Government 2016)</w:t>
      </w:r>
      <w:bookmarkEnd w:id="155"/>
      <w:r w:rsidR="0081443D">
        <w:rPr>
          <w:lang w:val="en-GB" w:eastAsia="en-AU"/>
        </w:rPr>
        <w:t xml:space="preserve">. </w:t>
      </w:r>
      <w:r w:rsidR="0007799D">
        <w:rPr>
          <w:lang w:val="en-GB" w:eastAsia="en-AU"/>
        </w:rPr>
        <w:t xml:space="preserve">The Queensland Renewable Energy Expert Panel released an issues paper in May 2016 to </w:t>
      </w:r>
      <w:r w:rsidR="007673B5">
        <w:rPr>
          <w:lang w:val="en-GB" w:eastAsia="en-AU"/>
        </w:rPr>
        <w:t xml:space="preserve">inform the development of these </w:t>
      </w:r>
      <w:r w:rsidR="0007799D">
        <w:rPr>
          <w:lang w:val="en-GB" w:eastAsia="en-AU"/>
        </w:rPr>
        <w:t>pathways</w:t>
      </w:r>
      <w:r w:rsidR="007B36DC">
        <w:rPr>
          <w:lang w:val="en-GB" w:eastAsia="en-AU"/>
        </w:rPr>
        <w:t xml:space="preserve"> </w:t>
      </w:r>
      <w:bookmarkStart w:id="156" w:name="_CTVP00177bdf821f0f949e8b63a869d58f406a1"/>
      <w:r w:rsidR="0059109A">
        <w:rPr>
          <w:lang w:val="en-GB" w:eastAsia="en-AU"/>
        </w:rPr>
        <w:t>(Queensland Renewable Energy Expert Panel 2016)</w:t>
      </w:r>
      <w:bookmarkEnd w:id="156"/>
      <w:r w:rsidR="0007799D">
        <w:rPr>
          <w:lang w:val="en-GB" w:eastAsia="en-AU"/>
        </w:rPr>
        <w:t>.</w:t>
      </w:r>
    </w:p>
    <w:p w:rsidR="00A35522" w:rsidRPr="001F141C" w:rsidRDefault="00A35522" w:rsidP="009818D9">
      <w:pPr>
        <w:pStyle w:val="ListBullet"/>
        <w:numPr>
          <w:ilvl w:val="0"/>
          <w:numId w:val="26"/>
        </w:numPr>
        <w:rPr>
          <w:lang w:val="en-GB" w:eastAsia="en-AU"/>
        </w:rPr>
      </w:pPr>
      <w:r w:rsidRPr="001F141C">
        <w:rPr>
          <w:lang w:val="en-GB" w:eastAsia="en-AU"/>
        </w:rPr>
        <w:t xml:space="preserve">The Victorian Government </w:t>
      </w:r>
      <w:r w:rsidR="006A0D64">
        <w:rPr>
          <w:lang w:val="en-GB" w:eastAsia="en-AU"/>
        </w:rPr>
        <w:t>has committed to generate 25</w:t>
      </w:r>
      <w:r w:rsidR="00DD1EFD">
        <w:rPr>
          <w:lang w:val="en-GB" w:eastAsia="en-AU"/>
        </w:rPr>
        <w:t> </w:t>
      </w:r>
      <w:r w:rsidR="006A0D64">
        <w:rPr>
          <w:lang w:val="en-GB" w:eastAsia="en-AU"/>
        </w:rPr>
        <w:t>per</w:t>
      </w:r>
      <w:r w:rsidR="00DD1EFD">
        <w:rPr>
          <w:lang w:val="en-GB" w:eastAsia="en-AU"/>
        </w:rPr>
        <w:t> </w:t>
      </w:r>
      <w:r w:rsidR="006A0D64">
        <w:rPr>
          <w:lang w:val="en-GB" w:eastAsia="en-AU"/>
        </w:rPr>
        <w:t>cent of its electricity from renewable sources by 2020</w:t>
      </w:r>
      <w:r w:rsidR="003B144C">
        <w:rPr>
          <w:lang w:val="en-GB" w:eastAsia="en-AU"/>
        </w:rPr>
        <w:t>, rising to 40 per cent by 2025.</w:t>
      </w:r>
      <w:r w:rsidR="006A0D64">
        <w:rPr>
          <w:lang w:val="en-GB" w:eastAsia="en-AU"/>
        </w:rPr>
        <w:t xml:space="preserve"> It has also announced that it will provide long-term contracts to support new projects through an auction scheme</w:t>
      </w:r>
      <w:r w:rsidR="003A63F3">
        <w:rPr>
          <w:lang w:val="en-GB" w:eastAsia="en-AU"/>
        </w:rPr>
        <w:t xml:space="preserve"> </w:t>
      </w:r>
      <w:bookmarkStart w:id="157" w:name="_CTVP001c7ecb1876c114e43b42b80f6a29b6fdd"/>
      <w:r w:rsidR="0059109A">
        <w:rPr>
          <w:lang w:val="en-GB" w:eastAsia="en-AU"/>
        </w:rPr>
        <w:t>(Victorian Government 2016)</w:t>
      </w:r>
      <w:bookmarkEnd w:id="157"/>
      <w:r w:rsidRPr="001F141C">
        <w:rPr>
          <w:lang w:val="en-GB" w:eastAsia="en-AU"/>
        </w:rPr>
        <w:t xml:space="preserve">. </w:t>
      </w:r>
    </w:p>
    <w:p w:rsidR="00B053FC" w:rsidRDefault="00A35522" w:rsidP="00A35522">
      <w:pPr>
        <w:pStyle w:val="BodyText"/>
      </w:pPr>
      <w:r>
        <w:t xml:space="preserve">The latest </w:t>
      </w:r>
      <w:r w:rsidR="00EC73D0">
        <w:t xml:space="preserve">official emissions </w:t>
      </w:r>
      <w:r>
        <w:t>projections, which extend to 2020, project emissions from electricity generation to be broadly flat over</w:t>
      </w:r>
      <w:r w:rsidR="00D95899">
        <w:t xml:space="preserve"> that</w:t>
      </w:r>
      <w:r>
        <w:t xml:space="preserve"> period.</w:t>
      </w:r>
      <w:r>
        <w:rPr>
          <w:rStyle w:val="FootnoteReference"/>
        </w:rPr>
        <w:footnoteReference w:id="3"/>
      </w:r>
      <w:r>
        <w:t xml:space="preserve"> Given this outlook, the sectoral baseline established under the Emissions Reduction Fund safeguard mechanism is not</w:t>
      </w:r>
      <w:r w:rsidR="00CE2B08">
        <w:t xml:space="preserve"> expected to be breached before </w:t>
      </w:r>
      <w:r>
        <w:t xml:space="preserve">2020, so the safeguard will most likely not constrain </w:t>
      </w:r>
      <w:r w:rsidR="000F68E6">
        <w:t xml:space="preserve">electricity generation </w:t>
      </w:r>
      <w:r>
        <w:t>facilities’ emissions. This means the main Commonwealth</w:t>
      </w:r>
      <w:r w:rsidR="007C31C3">
        <w:t xml:space="preserve"> emissions </w:t>
      </w:r>
      <w:proofErr w:type="spellStart"/>
      <w:r w:rsidR="007C31C3">
        <w:t>redictions</w:t>
      </w:r>
      <w:proofErr w:type="spellEnd"/>
      <w:r>
        <w:t xml:space="preserve"> policy in the </w:t>
      </w:r>
      <w:r w:rsidR="00495BE5">
        <w:t xml:space="preserve">electricity generation </w:t>
      </w:r>
      <w:r>
        <w:t>sector is the Large-Scale Renewable Energy Target of 33,000</w:t>
      </w:r>
      <w:r w:rsidR="0001178D">
        <w:t> </w:t>
      </w:r>
      <w:proofErr w:type="spellStart"/>
      <w:r>
        <w:t>GWh</w:t>
      </w:r>
      <w:proofErr w:type="spellEnd"/>
      <w:r>
        <w:t xml:space="preserve"> of renewable electricity by 2020.</w:t>
      </w:r>
    </w:p>
    <w:p w:rsidR="00B053FC" w:rsidRDefault="00B053FC" w:rsidP="00B053FC">
      <w:pPr>
        <w:pStyle w:val="ChapterHeading2"/>
        <w:numPr>
          <w:ilvl w:val="1"/>
          <w:numId w:val="15"/>
        </w:numPr>
        <w:tabs>
          <w:tab w:val="left" w:pos="720"/>
        </w:tabs>
      </w:pPr>
      <w:bookmarkStart w:id="158" w:name="_Toc444011882"/>
      <w:bookmarkStart w:id="159" w:name="_Toc444610035"/>
      <w:bookmarkStart w:id="160" w:name="_Toc447099896"/>
      <w:bookmarkStart w:id="161" w:name="_Toc448132684"/>
      <w:bookmarkStart w:id="162" w:name="_Toc448151744"/>
      <w:bookmarkStart w:id="163" w:name="_Toc448151812"/>
      <w:bookmarkStart w:id="164" w:name="_Toc460317982"/>
      <w:r>
        <w:t>The role of the electricity sector in Australia’s emissions reduction goals</w:t>
      </w:r>
      <w:bookmarkEnd w:id="158"/>
      <w:bookmarkEnd w:id="159"/>
      <w:bookmarkEnd w:id="160"/>
      <w:bookmarkEnd w:id="161"/>
      <w:bookmarkEnd w:id="162"/>
      <w:bookmarkEnd w:id="163"/>
      <w:bookmarkEnd w:id="164"/>
    </w:p>
    <w:p w:rsidR="00B053FC" w:rsidRDefault="00B053FC" w:rsidP="00B053FC">
      <w:pPr>
        <w:pStyle w:val="BodyText"/>
      </w:pPr>
      <w:r>
        <w:t xml:space="preserve">As discussed in </w:t>
      </w:r>
      <w:r w:rsidR="00CA762C">
        <w:t>Chapter 1</w:t>
      </w:r>
      <w:r>
        <w:t>, Australia, along with the international community, has agreed to a global goal of limiting warming to well below 2 degrees and to pursue efforts to limit warming to 1.5 degrees. Electricity supply businesses and many environmental groups commented in their Report Two submissions on the importance of the electricity sector for Australia making its contribution to global emissions reduction goals. The Australian Energy Council—the body representing electricity generators and retailers—observes that keeping the rise to less than 2 degrees is ‘likely to require Australia and other developed countries to reach net zero greenhouse gas emissions over the next few decades’ and that ‘the magnitude of the transformation to meet this goal should not be underestimated’ (Report Two submission, p.1).</w:t>
      </w:r>
    </w:p>
    <w:p w:rsidR="00B053FC" w:rsidRDefault="00B053FC" w:rsidP="00B053FC">
      <w:pPr>
        <w:pStyle w:val="BodyText"/>
      </w:pPr>
      <w:r>
        <w:t xml:space="preserve">The electricity sector features prominently in Australian and international research on achieving the global goal, with a consistent finding that limiting warming to no more than 2 degrees would require virtual decarbonisation of global electricity systems by 2050 </w:t>
      </w:r>
      <w:bookmarkStart w:id="165" w:name="_CTVP001b98616d428ba495d89ba68ff4878bffd"/>
      <w:r>
        <w:t>(Bruckner et al. 2014, p. 516; IEA 2015c, p. 3; DDPP 2015, p. 9)</w:t>
      </w:r>
      <w:bookmarkEnd w:id="165"/>
      <w:r>
        <w:t>.</w:t>
      </w:r>
    </w:p>
    <w:p w:rsidR="00B053FC" w:rsidRDefault="00B053FC" w:rsidP="00B053FC">
      <w:pPr>
        <w:pStyle w:val="BodyText"/>
      </w:pPr>
      <w:r>
        <w:t>The electricity sector is important for three reasons:</w:t>
      </w:r>
    </w:p>
    <w:p w:rsidR="00B053FC" w:rsidRDefault="00B053FC" w:rsidP="00B053FC">
      <w:pPr>
        <w:pStyle w:val="ListBullet"/>
      </w:pPr>
      <w:r>
        <w:t>It accounts for a significant share of current emissions—one-third of Australia's total emissions and 28 per cent of total global emissions (</w:t>
      </w:r>
      <w:bookmarkStart w:id="166" w:name="_CTVP001c96cd9376f2e4f389c3bb94b7c18fae5"/>
      <w:proofErr w:type="spellStart"/>
      <w:r>
        <w:t>Audoly</w:t>
      </w:r>
      <w:proofErr w:type="spellEnd"/>
      <w:r>
        <w:t xml:space="preserve"> et al. 2014, p. 1</w:t>
      </w:r>
      <w:bookmarkEnd w:id="166"/>
      <w:r>
        <w:t xml:space="preserve">; </w:t>
      </w:r>
      <w:bookmarkStart w:id="167" w:name="_CTVP001c91becd6a12442259fab39c3a1a1f758"/>
      <w:r>
        <w:t>DoE 2015b, p. 9</w:t>
      </w:r>
      <w:bookmarkEnd w:id="167"/>
      <w:r>
        <w:t>).</w:t>
      </w:r>
    </w:p>
    <w:p w:rsidR="00B053FC" w:rsidRDefault="00B053FC" w:rsidP="00B053FC">
      <w:pPr>
        <w:pStyle w:val="ListBullet"/>
      </w:pPr>
      <w:r>
        <w:t xml:space="preserve">Significant reductions in electricity sector emissions are technically feasible with currently known technologies, and more cost-effective than </w:t>
      </w:r>
      <w:r w:rsidRPr="009D7B10">
        <w:t>cuts</w:t>
      </w:r>
      <w:r>
        <w:t xml:space="preserve"> in some other sectors (</w:t>
      </w:r>
      <w:bookmarkStart w:id="168" w:name="_CTVP00180c9b6edd5434b49874d33e1941e89f3"/>
      <w:r>
        <w:t>Bruckner et al. 2014, p. 516</w:t>
      </w:r>
      <w:bookmarkEnd w:id="168"/>
      <w:r>
        <w:t xml:space="preserve">; </w:t>
      </w:r>
      <w:bookmarkStart w:id="169" w:name="_CTVP00129a64666ec4e44e7b3f7a0415da93eca"/>
      <w:r>
        <w:t>IEA 2015e</w:t>
      </w:r>
      <w:bookmarkEnd w:id="169"/>
      <w:r>
        <w:t xml:space="preserve">; </w:t>
      </w:r>
      <w:bookmarkStart w:id="170" w:name="_CTVP001632325b40db649ddb79e8ef94941bf1f"/>
      <w:proofErr w:type="spellStart"/>
      <w:r>
        <w:t>ClimateWorks</w:t>
      </w:r>
      <w:proofErr w:type="spellEnd"/>
      <w:r>
        <w:t xml:space="preserve"> Australia et al. 2014</w:t>
      </w:r>
      <w:bookmarkEnd w:id="170"/>
      <w:r>
        <w:t>).</w:t>
      </w:r>
    </w:p>
    <w:p w:rsidR="00A35522" w:rsidRDefault="00B053FC" w:rsidP="00B053FC">
      <w:pPr>
        <w:pStyle w:val="ListBullet"/>
      </w:pPr>
      <w:r>
        <w:lastRenderedPageBreak/>
        <w:t xml:space="preserve">Low- and zero-emissions electricity generation can be a precursor to feasible, least-cost emissions reductions for the sectors that use energy, such as industry, buildings and road transport </w:t>
      </w:r>
      <w:bookmarkStart w:id="171" w:name="_CTVP001fcc7085821ae44d98fbe7727d29056d8"/>
      <w:r>
        <w:t xml:space="preserve">(CCA 2014a, p. 17; </w:t>
      </w:r>
      <w:proofErr w:type="spellStart"/>
      <w:r>
        <w:t>ClimateWorks</w:t>
      </w:r>
      <w:proofErr w:type="spellEnd"/>
      <w:r>
        <w:t xml:space="preserve"> Australia et al. 2014, pp. 69,120; </w:t>
      </w:r>
      <w:proofErr w:type="spellStart"/>
      <w:r>
        <w:t>ClimateWorks</w:t>
      </w:r>
      <w:proofErr w:type="spellEnd"/>
      <w:r>
        <w:t xml:space="preserve"> Australia &amp; ANU 2014, p. 25)</w:t>
      </w:r>
      <w:bookmarkEnd w:id="171"/>
      <w:r>
        <w:t>.</w:t>
      </w:r>
      <w:r w:rsidR="00A35522">
        <w:t xml:space="preserve"> </w:t>
      </w:r>
    </w:p>
    <w:p w:rsidR="00A35522" w:rsidRDefault="002B19A8" w:rsidP="00A35522">
      <w:pPr>
        <w:pStyle w:val="Caption"/>
      </w:pPr>
      <w:bookmarkStart w:id="172" w:name="_Ref443481607"/>
      <w:bookmarkStart w:id="173" w:name="_Toc444011916"/>
      <w:bookmarkStart w:id="174" w:name="_Toc444011907"/>
      <w:bookmarkStart w:id="175" w:name="_Toc444003668"/>
      <w:bookmarkStart w:id="176" w:name="_Toc443992348"/>
      <w:bookmarkStart w:id="177" w:name="_Ref443481602"/>
      <w:bookmarkStart w:id="178" w:name="_Toc460318069"/>
      <w:r>
        <w:t>Table </w:t>
      </w:r>
      <w:r w:rsidR="00CA762C">
        <w:rPr>
          <w:noProof/>
        </w:rPr>
        <w:t>1</w:t>
      </w:r>
      <w:bookmarkEnd w:id="172"/>
      <w:r w:rsidR="00A6425D">
        <w:tab/>
      </w:r>
      <w:r w:rsidR="005504F5">
        <w:t>Major c</w:t>
      </w:r>
      <w:r w:rsidR="00A35522">
        <w:t>limate change policies</w:t>
      </w:r>
      <w:r w:rsidR="005504F5">
        <w:t>—</w:t>
      </w:r>
      <w:bookmarkEnd w:id="173"/>
      <w:bookmarkEnd w:id="174"/>
      <w:bookmarkEnd w:id="175"/>
      <w:bookmarkEnd w:id="176"/>
      <w:bookmarkEnd w:id="177"/>
      <w:r w:rsidR="005504F5">
        <w:t>large-scale electricity supply sector</w:t>
      </w:r>
      <w:bookmarkEnd w:id="178"/>
    </w:p>
    <w:tbl>
      <w:tblPr>
        <w:tblStyle w:val="CCATable"/>
        <w:tblW w:w="9889" w:type="dxa"/>
        <w:tblLayout w:type="fixed"/>
        <w:tblLook w:val="04A0" w:firstRow="1" w:lastRow="0" w:firstColumn="1" w:lastColumn="0" w:noHBand="0" w:noVBand="1"/>
      </w:tblPr>
      <w:tblGrid>
        <w:gridCol w:w="1668"/>
        <w:gridCol w:w="1276"/>
        <w:gridCol w:w="6945"/>
      </w:tblGrid>
      <w:tr w:rsidR="00A35522" w:rsidTr="002927CF">
        <w:trPr>
          <w:cnfStyle w:val="100000000000" w:firstRow="1" w:lastRow="0" w:firstColumn="0" w:lastColumn="0" w:oddVBand="0" w:evenVBand="0" w:oddHBand="0" w:evenHBand="0" w:firstRowFirstColumn="0" w:firstRowLastColumn="0" w:lastRowFirstColumn="0" w:lastRowLastColumn="0"/>
        </w:trPr>
        <w:tc>
          <w:tcPr>
            <w:tcW w:w="1668"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Heading"/>
              <w:keepLines w:val="0"/>
              <w:jc w:val="center"/>
              <w:rPr>
                <w:lang w:val="en-US"/>
              </w:rPr>
            </w:pPr>
            <w:r>
              <w:rPr>
                <w:lang w:val="en-US"/>
              </w:rPr>
              <w:t>Jurisdiction</w:t>
            </w:r>
          </w:p>
        </w:tc>
        <w:tc>
          <w:tcPr>
            <w:tcW w:w="1276"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Heading"/>
              <w:keepLines w:val="0"/>
              <w:jc w:val="center"/>
              <w:rPr>
                <w:lang w:val="en-US"/>
              </w:rPr>
            </w:pPr>
            <w:r>
              <w:rPr>
                <w:lang w:val="en-US"/>
              </w:rPr>
              <w:t>Policy</w:t>
            </w:r>
          </w:p>
        </w:tc>
        <w:tc>
          <w:tcPr>
            <w:tcW w:w="6945"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Heading"/>
              <w:keepLines w:val="0"/>
              <w:jc w:val="center"/>
              <w:rPr>
                <w:lang w:val="en-US"/>
              </w:rPr>
            </w:pPr>
            <w:r>
              <w:rPr>
                <w:lang w:val="en-US"/>
              </w:rPr>
              <w:t>Details</w:t>
            </w:r>
          </w:p>
        </w:tc>
      </w:tr>
      <w:tr w:rsidR="00A35522" w:rsidTr="002927CF">
        <w:trPr>
          <w:cnfStyle w:val="000000100000" w:firstRow="0" w:lastRow="0" w:firstColumn="0" w:lastColumn="0" w:oddVBand="0" w:evenVBand="0" w:oddHBand="1" w:evenHBand="0" w:firstRowFirstColumn="0" w:firstRowLastColumn="0" w:lastRowFirstColumn="0" w:lastRowLastColumn="0"/>
          <w:trHeight w:val="2141"/>
        </w:trPr>
        <w:tc>
          <w:tcPr>
            <w:tcW w:w="1668"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b/>
                <w:lang w:val="en-US"/>
              </w:rPr>
            </w:pPr>
            <w:r>
              <w:rPr>
                <w:b/>
                <w:lang w:val="en-US"/>
              </w:rPr>
              <w:t>Commonwealth</w:t>
            </w:r>
          </w:p>
        </w:tc>
        <w:tc>
          <w:tcPr>
            <w:tcW w:w="1276"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b/>
                <w:lang w:val="en-US"/>
              </w:rPr>
            </w:pPr>
            <w:r>
              <w:rPr>
                <w:b/>
                <w:lang w:val="en-US"/>
              </w:rPr>
              <w:t>Renewable Energy Target (RET)</w:t>
            </w:r>
          </w:p>
        </w:tc>
        <w:tc>
          <w:tcPr>
            <w:tcW w:w="6945"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lang w:val="en-GB"/>
              </w:rPr>
            </w:pPr>
            <w:r>
              <w:rPr>
                <w:color w:val="000000" w:themeColor="text1"/>
                <w:lang w:val="en-US"/>
              </w:rPr>
              <w:t xml:space="preserve">The RET </w:t>
            </w:r>
            <w:r>
              <w:rPr>
                <w:lang w:val="en-GB"/>
              </w:rPr>
              <w:t xml:space="preserve">aims to ensure that at least 20 per cent of Australia’s electricity generation comes from renewable resources by 2020. It works by creating a market for additional renewable electricity that supports investment in new renewable generation capacity. </w:t>
            </w:r>
          </w:p>
          <w:p w:rsidR="00A35522" w:rsidRDefault="00A35522">
            <w:pPr>
              <w:pStyle w:val="TableText"/>
              <w:keepLines w:val="0"/>
              <w:rPr>
                <w:lang w:val="en-GB"/>
              </w:rPr>
            </w:pPr>
            <w:r>
              <w:rPr>
                <w:lang w:val="en-GB"/>
              </w:rPr>
              <w:t>The RET places a legal obligation on entities that purchase wholesale electricity (mainly electricity retailers) to surrender a certain number of certificates each year. These certificates are generated by accredited renewable power stations and eligible small</w:t>
            </w:r>
            <w:r w:rsidR="008E49E1">
              <w:rPr>
                <w:lang w:val="en-GB"/>
              </w:rPr>
              <w:noBreakHyphen/>
            </w:r>
            <w:r>
              <w:rPr>
                <w:lang w:val="en-GB"/>
              </w:rPr>
              <w:t>scale technologies. Each certificate represents one megawatt hour (MWh) of renewable generation.</w:t>
            </w:r>
          </w:p>
          <w:p w:rsidR="00A35522" w:rsidRDefault="00A35522" w:rsidP="00A82A29">
            <w:pPr>
              <w:pStyle w:val="TableText"/>
              <w:keepLines w:val="0"/>
              <w:rPr>
                <w:color w:val="000000" w:themeColor="text1"/>
                <w:lang w:val="en-US"/>
              </w:rPr>
            </w:pPr>
            <w:r>
              <w:rPr>
                <w:lang w:val="en-GB"/>
              </w:rPr>
              <w:t xml:space="preserve">Since 2011, the RET has operated as two schemes—the Large-scale Renewable Energy Target (LRET) and the Small-scale Renewable Energy Scheme (SRES). The LRET has </w:t>
            </w:r>
            <w:r w:rsidR="00831714">
              <w:rPr>
                <w:lang w:val="en-GB"/>
              </w:rPr>
              <w:t xml:space="preserve">fixed </w:t>
            </w:r>
            <w:r>
              <w:rPr>
                <w:lang w:val="en-GB"/>
              </w:rPr>
              <w:t>annual targets for the amount of large-scale renewable energy; these targets rise to 33,000 </w:t>
            </w:r>
            <w:proofErr w:type="spellStart"/>
            <w:r>
              <w:rPr>
                <w:lang w:val="en-GB"/>
              </w:rPr>
              <w:t>GWh</w:t>
            </w:r>
            <w:proofErr w:type="spellEnd"/>
            <w:r>
              <w:rPr>
                <w:lang w:val="en-GB"/>
              </w:rPr>
              <w:t xml:space="preserve"> in 2020 and stay constant at that level until the scheme ends in 2030. The SRES has no fixed annual targets; rather, liable entities are obliged to purchase all of the certificates generated from the installation of eligible small-scale systems. </w:t>
            </w:r>
            <w:r w:rsidR="00A82A29">
              <w:rPr>
                <w:lang w:val="en-GB"/>
              </w:rPr>
              <w:t>Assistance under t</w:t>
            </w:r>
            <w:r>
              <w:rPr>
                <w:lang w:val="en-GB"/>
              </w:rPr>
              <w:t>he SRES will phase out gradually from 2017</w:t>
            </w:r>
            <w:r w:rsidR="00EC73D0">
              <w:rPr>
                <w:lang w:val="en-GB"/>
              </w:rPr>
              <w:t xml:space="preserve"> and</w:t>
            </w:r>
            <w:r>
              <w:rPr>
                <w:lang w:val="en-GB"/>
              </w:rPr>
              <w:t xml:space="preserve"> ends in 2030.</w:t>
            </w:r>
          </w:p>
        </w:tc>
      </w:tr>
      <w:tr w:rsidR="00A35522" w:rsidTr="002927CF">
        <w:tc>
          <w:tcPr>
            <w:tcW w:w="1668"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b/>
                <w:lang w:val="en-US"/>
              </w:rPr>
            </w:pPr>
            <w:r>
              <w:rPr>
                <w:b/>
                <w:lang w:val="en-US"/>
              </w:rPr>
              <w:t>Commonwealth</w:t>
            </w:r>
          </w:p>
        </w:tc>
        <w:tc>
          <w:tcPr>
            <w:tcW w:w="1276"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b/>
                <w:lang w:val="en-US"/>
              </w:rPr>
            </w:pPr>
            <w:r>
              <w:rPr>
                <w:b/>
                <w:lang w:val="en-US"/>
              </w:rPr>
              <w:t xml:space="preserve">Emissions Reduction Fund </w:t>
            </w:r>
            <w:r>
              <w:rPr>
                <w:b/>
                <w:lang w:val="en-US"/>
              </w:rPr>
              <w:br/>
              <w:t>(ERF) crediting and purchasing mechanism</w:t>
            </w:r>
          </w:p>
        </w:tc>
        <w:tc>
          <w:tcPr>
            <w:tcW w:w="6945"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lang w:val="en-GB"/>
              </w:rPr>
            </w:pPr>
            <w:r>
              <w:rPr>
                <w:lang w:val="en-US"/>
              </w:rPr>
              <w:t>The ERF crediting and purchasing mechanism is a voluntary scheme aimed at encouraging emissions reduction activities in the economy at lowest cost</w:t>
            </w:r>
            <w:r w:rsidR="002E518A">
              <w:rPr>
                <w:lang w:val="en-US"/>
              </w:rPr>
              <w:t xml:space="preserve"> across all sectors</w:t>
            </w:r>
            <w:r>
              <w:rPr>
                <w:lang w:val="en-US"/>
              </w:rPr>
              <w:t xml:space="preserve">. The crediting mechanism </w:t>
            </w:r>
            <w:r>
              <w:rPr>
                <w:lang w:val="en-GB"/>
              </w:rPr>
              <w:t>involves businesses, community organisations, local councils and others undertaking eligible activities that reduce emissions, and receiving ‘credits’ for the reductions. To be eligible, the activity must conform to the requirements of an emissions reduction ‘method’. Methods have been established for a range of ac</w:t>
            </w:r>
            <w:r w:rsidR="00D07DAE">
              <w:rPr>
                <w:lang w:val="en-GB"/>
              </w:rPr>
              <w:t xml:space="preserve">tivities including reducing </w:t>
            </w:r>
            <w:r>
              <w:rPr>
                <w:lang w:val="en-GB"/>
              </w:rPr>
              <w:t xml:space="preserve">emissions from electricity generation. Credits are issued once emissions reductions occur. </w:t>
            </w:r>
          </w:p>
          <w:p w:rsidR="00A35522" w:rsidRDefault="00A35522">
            <w:pPr>
              <w:pStyle w:val="TableText"/>
              <w:keepLines w:val="0"/>
              <w:rPr>
                <w:lang w:val="en-GB"/>
              </w:rPr>
            </w:pPr>
            <w:r>
              <w:rPr>
                <w:lang w:val="en-GB"/>
              </w:rPr>
              <w:t>The Government uses a competitive process to purchase credits at the lowest available cost. The Government has committed $2.55 billion for purchasing credits,</w:t>
            </w:r>
            <w:r>
              <w:rPr>
                <w:rFonts w:ascii="Verdana" w:hAnsi="Verdana"/>
                <w:sz w:val="19"/>
                <w:szCs w:val="19"/>
              </w:rPr>
              <w:t xml:space="preserve"> </w:t>
            </w:r>
            <w:r>
              <w:t>with further funding to be considered in future budgets</w:t>
            </w:r>
            <w:r>
              <w:rPr>
                <w:lang w:val="en-GB"/>
              </w:rPr>
              <w:t>.</w:t>
            </w:r>
          </w:p>
        </w:tc>
      </w:tr>
      <w:tr w:rsidR="00A35522" w:rsidTr="002927CF">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0C9FCD"/>
              <w:left w:val="single" w:sz="4" w:space="0" w:color="0C9FCD"/>
              <w:bottom w:val="single" w:sz="4" w:space="0" w:color="0C9FCD"/>
              <w:right w:val="single" w:sz="4" w:space="0" w:color="0C9FCD"/>
            </w:tcBorders>
            <w:hideMark/>
          </w:tcPr>
          <w:p w:rsidR="00A35522" w:rsidRDefault="00A35522">
            <w:pPr>
              <w:pStyle w:val="TableText"/>
              <w:keepLines w:val="0"/>
              <w:rPr>
                <w:b/>
                <w:lang w:val="en-US"/>
              </w:rPr>
            </w:pPr>
            <w:r>
              <w:rPr>
                <w:b/>
                <w:lang w:val="en-US"/>
              </w:rPr>
              <w:t>Commonwealth</w:t>
            </w:r>
          </w:p>
        </w:tc>
        <w:tc>
          <w:tcPr>
            <w:tcW w:w="1276" w:type="dxa"/>
            <w:tcBorders>
              <w:top w:val="single" w:sz="4" w:space="0" w:color="0C9FCD"/>
              <w:left w:val="single" w:sz="4" w:space="0" w:color="0C9FCD"/>
              <w:bottom w:val="single" w:sz="4" w:space="0" w:color="0C9FCD"/>
              <w:right w:val="single" w:sz="4" w:space="0" w:color="0C9FCD"/>
            </w:tcBorders>
            <w:hideMark/>
          </w:tcPr>
          <w:p w:rsidR="00A35522" w:rsidRDefault="00A35522" w:rsidP="0086023B">
            <w:pPr>
              <w:pStyle w:val="TableText"/>
              <w:keepLines w:val="0"/>
              <w:rPr>
                <w:b/>
                <w:lang w:val="en-US"/>
              </w:rPr>
            </w:pPr>
            <w:r>
              <w:rPr>
                <w:b/>
                <w:lang w:val="en-US"/>
              </w:rPr>
              <w:t xml:space="preserve">Emissions Reduction Fund (ERF) </w:t>
            </w:r>
            <w:r w:rsidR="004A04B8">
              <w:rPr>
                <w:b/>
                <w:lang w:val="en-US"/>
              </w:rPr>
              <w:t xml:space="preserve">safeguard mechanism </w:t>
            </w:r>
          </w:p>
        </w:tc>
        <w:tc>
          <w:tcPr>
            <w:tcW w:w="6945" w:type="dxa"/>
            <w:tcBorders>
              <w:top w:val="single" w:sz="4" w:space="0" w:color="0C9FCD"/>
              <w:left w:val="single" w:sz="4" w:space="0" w:color="0C9FCD"/>
              <w:bottom w:val="single" w:sz="4" w:space="0" w:color="0C9FCD"/>
              <w:right w:val="single" w:sz="4" w:space="0" w:color="0C9FCD"/>
            </w:tcBorders>
            <w:hideMark/>
          </w:tcPr>
          <w:p w:rsidR="00A35522" w:rsidRDefault="00D07DAE">
            <w:pPr>
              <w:pStyle w:val="TableText"/>
              <w:keepLines w:val="0"/>
              <w:rPr>
                <w:lang w:val="en-US"/>
              </w:rPr>
            </w:pPr>
            <w:r>
              <w:rPr>
                <w:lang w:val="en-US"/>
              </w:rPr>
              <w:t xml:space="preserve">The </w:t>
            </w:r>
            <w:r w:rsidR="004A04B8">
              <w:rPr>
                <w:lang w:val="en-US"/>
              </w:rPr>
              <w:t xml:space="preserve">safeguard mechanism </w:t>
            </w:r>
            <w:r w:rsidR="00A35522">
              <w:rPr>
                <w:lang w:val="en-US"/>
              </w:rPr>
              <w:t>is a regulatory measure aimed at ensuring emissions reductions purchased through the ERF crediting and purchasing mechanism are not offset</w:t>
            </w:r>
            <w:r w:rsidR="00E82C23">
              <w:rPr>
                <w:lang w:val="en-US"/>
              </w:rPr>
              <w:t xml:space="preserve"> by</w:t>
            </w:r>
            <w:r w:rsidR="00F47EC7">
              <w:rPr>
                <w:lang w:val="en-US"/>
              </w:rPr>
              <w:t xml:space="preserve"> </w:t>
            </w:r>
            <w:r w:rsidR="00E82C23">
              <w:rPr>
                <w:lang w:val="en-US"/>
              </w:rPr>
              <w:t>emissions growth</w:t>
            </w:r>
            <w:r w:rsidR="007C31C3">
              <w:rPr>
                <w:lang w:val="en-US"/>
              </w:rPr>
              <w:t xml:space="preserve"> beyond business as </w:t>
            </w:r>
            <w:r w:rsidR="00C818AE">
              <w:rPr>
                <w:lang w:val="en-US"/>
              </w:rPr>
              <w:t>usual</w:t>
            </w:r>
            <w:r w:rsidR="00A35522">
              <w:rPr>
                <w:lang w:val="en-US"/>
              </w:rPr>
              <w:t xml:space="preserve"> elsewhere in the economy. The policy requires large emitters to keep their net emissions below a bas</w:t>
            </w:r>
            <w:r w:rsidR="002927CF">
              <w:rPr>
                <w:lang w:val="en-US"/>
              </w:rPr>
              <w:t>eline level. It start</w:t>
            </w:r>
            <w:r w:rsidR="007F59C7">
              <w:rPr>
                <w:lang w:val="en-US"/>
              </w:rPr>
              <w:t>ed</w:t>
            </w:r>
            <w:r w:rsidR="002927CF">
              <w:rPr>
                <w:lang w:val="en-US"/>
              </w:rPr>
              <w:t xml:space="preserve"> on 1 July </w:t>
            </w:r>
            <w:r w:rsidR="00A35522">
              <w:rPr>
                <w:lang w:val="en-US"/>
              </w:rPr>
              <w:t>2016 and appl</w:t>
            </w:r>
            <w:r w:rsidR="007F59C7">
              <w:rPr>
                <w:lang w:val="en-US"/>
              </w:rPr>
              <w:t>ies</w:t>
            </w:r>
            <w:r w:rsidR="00A35522">
              <w:rPr>
                <w:lang w:val="en-US"/>
              </w:rPr>
              <w:t xml:space="preserve"> to around 140 large businesses that have facilities with direct emissions of more than 100,000</w:t>
            </w:r>
            <w:r w:rsidR="00EC73D0">
              <w:rPr>
                <w:lang w:val="en-US"/>
              </w:rPr>
              <w:t> </w:t>
            </w:r>
            <w:r w:rsidR="006F129B">
              <w:rPr>
                <w:lang w:val="en-US"/>
              </w:rPr>
              <w:t>t</w:t>
            </w:r>
            <w:r w:rsidR="00F52919">
              <w:rPr>
                <w:lang w:val="en-US"/>
              </w:rPr>
              <w:t> </w:t>
            </w:r>
            <w:r w:rsidR="00A35522">
              <w:rPr>
                <w:lang w:val="en-US"/>
              </w:rPr>
              <w:t>CO</w:t>
            </w:r>
            <w:r w:rsidR="00A35522">
              <w:rPr>
                <w:rStyle w:val="Textsubscript"/>
                <w:lang w:val="en-US"/>
              </w:rPr>
              <w:t>2</w:t>
            </w:r>
            <w:r w:rsidR="00A35522">
              <w:rPr>
                <w:lang w:val="en-US"/>
              </w:rPr>
              <w:t>-e per year.</w:t>
            </w:r>
          </w:p>
          <w:p w:rsidR="00C818AE" w:rsidRDefault="00A35522" w:rsidP="006C04FA">
            <w:pPr>
              <w:pStyle w:val="TableText"/>
              <w:keepLines w:val="0"/>
              <w:rPr>
                <w:lang w:val="en-US"/>
              </w:rPr>
            </w:pPr>
            <w:r>
              <w:rPr>
                <w:lang w:val="en-US"/>
              </w:rPr>
              <w:t xml:space="preserve">The electricity sector </w:t>
            </w:r>
            <w:r w:rsidR="007F59C7">
              <w:rPr>
                <w:lang w:val="en-US"/>
              </w:rPr>
              <w:t>has</w:t>
            </w:r>
            <w:r>
              <w:rPr>
                <w:lang w:val="en-US"/>
              </w:rPr>
              <w:t xml:space="preserve"> a sectoral baseline set at </w:t>
            </w:r>
            <w:r w:rsidR="006C04FA">
              <w:rPr>
                <w:lang w:val="en-US"/>
              </w:rPr>
              <w:t>198 Mt</w:t>
            </w:r>
            <w:r w:rsidR="00F52919">
              <w:rPr>
                <w:lang w:val="en-US"/>
              </w:rPr>
              <w:t> </w:t>
            </w:r>
            <w:r w:rsidR="006C04FA">
              <w:rPr>
                <w:lang w:val="en-US"/>
              </w:rPr>
              <w:t>CO</w:t>
            </w:r>
            <w:r w:rsidR="006C04FA" w:rsidRPr="009948CB">
              <w:rPr>
                <w:vertAlign w:val="subscript"/>
                <w:lang w:val="en-US"/>
              </w:rPr>
              <w:t>2</w:t>
            </w:r>
            <w:r w:rsidR="006C04FA">
              <w:rPr>
                <w:lang w:val="en-US"/>
              </w:rPr>
              <w:t xml:space="preserve">-e, </w:t>
            </w:r>
            <w:r>
              <w:rPr>
                <w:lang w:val="en-US"/>
              </w:rPr>
              <w:t xml:space="preserve">the highest level of reported emissions over the five years </w:t>
            </w:r>
            <w:r w:rsidR="006C04FA">
              <w:rPr>
                <w:lang w:val="en-US"/>
              </w:rPr>
              <w:t>to</w:t>
            </w:r>
            <w:r w:rsidR="0051126D">
              <w:rPr>
                <w:lang w:val="en-US"/>
              </w:rPr>
              <w:t xml:space="preserve"> 2013–</w:t>
            </w:r>
            <w:r>
              <w:rPr>
                <w:lang w:val="en-US"/>
              </w:rPr>
              <w:t>14.</w:t>
            </w:r>
            <w:r w:rsidR="00EC73D0">
              <w:rPr>
                <w:lang w:val="en-US"/>
              </w:rPr>
              <w:t xml:space="preserve"> </w:t>
            </w:r>
            <w:r>
              <w:rPr>
                <w:lang w:val="en-US"/>
              </w:rPr>
              <w:t xml:space="preserve">If the sectoral emissions baseline is breached, individual baselines </w:t>
            </w:r>
            <w:r w:rsidR="007C31C3">
              <w:rPr>
                <w:lang w:val="en-US"/>
              </w:rPr>
              <w:t>will come into effect which would</w:t>
            </w:r>
            <w:r>
              <w:rPr>
                <w:lang w:val="en-US"/>
              </w:rPr>
              <w:t xml:space="preserve"> be based on each facility’s highest level of emissions ove</w:t>
            </w:r>
            <w:r w:rsidR="0051126D">
              <w:rPr>
                <w:lang w:val="en-US"/>
              </w:rPr>
              <w:t>r the five years ending in 2013–</w:t>
            </w:r>
            <w:r>
              <w:rPr>
                <w:lang w:val="en-US"/>
              </w:rPr>
              <w:t xml:space="preserve">14. </w:t>
            </w:r>
          </w:p>
          <w:p w:rsidR="00A35522" w:rsidRDefault="00A35522" w:rsidP="006C04FA">
            <w:pPr>
              <w:pStyle w:val="TableText"/>
              <w:keepLines w:val="0"/>
              <w:rPr>
                <w:lang w:val="en-US"/>
              </w:rPr>
            </w:pPr>
            <w:r>
              <w:rPr>
                <w:lang w:val="en-US"/>
              </w:rPr>
              <w:t>Baselines can be increased to accommodate factors including economic growth, and will also be set for new investments.</w:t>
            </w:r>
          </w:p>
        </w:tc>
      </w:tr>
      <w:tr w:rsidR="00A35522" w:rsidTr="002927CF">
        <w:tc>
          <w:tcPr>
            <w:tcW w:w="1668" w:type="dxa"/>
            <w:tcBorders>
              <w:top w:val="single" w:sz="4" w:space="0" w:color="0C9FCD"/>
              <w:left w:val="single" w:sz="4" w:space="0" w:color="0C9FCD"/>
              <w:bottom w:val="single" w:sz="4" w:space="0" w:color="0C9FCD"/>
              <w:right w:val="single" w:sz="4" w:space="0" w:color="0C9FCD"/>
            </w:tcBorders>
            <w:hideMark/>
          </w:tcPr>
          <w:p w:rsidR="00A35522" w:rsidRDefault="00D60948">
            <w:pPr>
              <w:pStyle w:val="TableText"/>
              <w:keepLines w:val="0"/>
              <w:rPr>
                <w:b/>
                <w:lang w:val="en-US"/>
              </w:rPr>
            </w:pPr>
            <w:r>
              <w:rPr>
                <w:b/>
                <w:lang w:val="en-US"/>
              </w:rPr>
              <w:t>Australian Capital Territory</w:t>
            </w:r>
          </w:p>
        </w:tc>
        <w:tc>
          <w:tcPr>
            <w:tcW w:w="1276" w:type="dxa"/>
            <w:tcBorders>
              <w:top w:val="single" w:sz="4" w:space="0" w:color="0C9FCD"/>
              <w:left w:val="single" w:sz="4" w:space="0" w:color="0C9FCD"/>
              <w:bottom w:val="single" w:sz="4" w:space="0" w:color="0C9FCD"/>
              <w:right w:val="single" w:sz="4" w:space="0" w:color="0C9FCD"/>
            </w:tcBorders>
            <w:hideMark/>
          </w:tcPr>
          <w:p w:rsidR="00A35522" w:rsidRDefault="00A35522" w:rsidP="00245AB6">
            <w:pPr>
              <w:pStyle w:val="TableText"/>
              <w:keepLines w:val="0"/>
              <w:rPr>
                <w:b/>
                <w:lang w:val="en-US"/>
              </w:rPr>
            </w:pPr>
            <w:r>
              <w:rPr>
                <w:b/>
                <w:lang w:val="en-US"/>
              </w:rPr>
              <w:t xml:space="preserve">Large-scale </w:t>
            </w:r>
            <w:r w:rsidR="004E31A9">
              <w:rPr>
                <w:b/>
                <w:lang w:val="en-US"/>
              </w:rPr>
              <w:t>contracts for difference</w:t>
            </w:r>
            <w:r>
              <w:rPr>
                <w:b/>
                <w:lang w:val="en-US"/>
              </w:rPr>
              <w:t xml:space="preserve"> </w:t>
            </w:r>
            <w:r w:rsidR="00245AB6">
              <w:rPr>
                <w:b/>
                <w:lang w:val="en-US"/>
              </w:rPr>
              <w:t xml:space="preserve">with reverse auction </w:t>
            </w:r>
          </w:p>
        </w:tc>
        <w:tc>
          <w:tcPr>
            <w:tcW w:w="6945" w:type="dxa"/>
            <w:tcBorders>
              <w:top w:val="single" w:sz="4" w:space="0" w:color="0C9FCD"/>
              <w:left w:val="single" w:sz="4" w:space="0" w:color="0C9FCD"/>
              <w:bottom w:val="single" w:sz="4" w:space="0" w:color="0C9FCD"/>
              <w:right w:val="single" w:sz="4" w:space="0" w:color="0C9FCD"/>
            </w:tcBorders>
            <w:hideMark/>
          </w:tcPr>
          <w:p w:rsidR="00A35522" w:rsidRDefault="004E31A9">
            <w:pPr>
              <w:pStyle w:val="TableText"/>
              <w:keepLines w:val="0"/>
              <w:rPr>
                <w:lang w:val="en-US"/>
              </w:rPr>
            </w:pPr>
            <w:r>
              <w:rPr>
                <w:lang w:val="en-US"/>
              </w:rPr>
              <w:t>The ACT g</w:t>
            </w:r>
            <w:r w:rsidR="00A35522">
              <w:rPr>
                <w:lang w:val="en-US"/>
              </w:rPr>
              <w:t xml:space="preserve">overnment’s large-scale </w:t>
            </w:r>
            <w:proofErr w:type="gramStart"/>
            <w:r>
              <w:rPr>
                <w:lang w:val="en-US"/>
              </w:rPr>
              <w:t>contracts for difference</w:t>
            </w:r>
            <w:r w:rsidR="00A35522">
              <w:rPr>
                <w:lang w:val="en-US"/>
              </w:rPr>
              <w:t xml:space="preserve"> policy was</w:t>
            </w:r>
            <w:proofErr w:type="gramEnd"/>
            <w:r w:rsidR="00A35522">
              <w:rPr>
                <w:lang w:val="en-US"/>
              </w:rPr>
              <w:t xml:space="preserve"> established to assist the ACT Government in achieving its</w:t>
            </w:r>
            <w:r w:rsidR="00371B93">
              <w:rPr>
                <w:lang w:val="en-US"/>
              </w:rPr>
              <w:t xml:space="preserve"> legislated</w:t>
            </w:r>
            <w:r w:rsidR="00A35522">
              <w:rPr>
                <w:lang w:val="en-US"/>
              </w:rPr>
              <w:t xml:space="preserve"> renewable energy consumption target of </w:t>
            </w:r>
            <w:r w:rsidR="006E4280">
              <w:rPr>
                <w:lang w:val="en-US"/>
              </w:rPr>
              <w:t>100 </w:t>
            </w:r>
            <w:r w:rsidR="00A35522">
              <w:rPr>
                <w:lang w:val="en-US"/>
              </w:rPr>
              <w:t>per cent renewables by 202</w:t>
            </w:r>
            <w:r w:rsidR="00371B93">
              <w:rPr>
                <w:lang w:val="en-US"/>
              </w:rPr>
              <w:t>0</w:t>
            </w:r>
            <w:r w:rsidR="00A35522">
              <w:rPr>
                <w:lang w:val="en-US"/>
              </w:rPr>
              <w:t xml:space="preserve">. Under the policy, new renewable energy projects </w:t>
            </w:r>
            <w:r w:rsidR="00D74E6B">
              <w:rPr>
                <w:lang w:val="en-US"/>
              </w:rPr>
              <w:t>bid in</w:t>
            </w:r>
            <w:r w:rsidR="00A35522">
              <w:rPr>
                <w:lang w:val="en-US"/>
              </w:rPr>
              <w:t xml:space="preserve"> a reverse auction for 20 year contracts with the government. The ACT </w:t>
            </w:r>
            <w:r w:rsidR="00EC73D0">
              <w:rPr>
                <w:lang w:val="en-US"/>
              </w:rPr>
              <w:t>aims</w:t>
            </w:r>
            <w:r w:rsidR="00A35522">
              <w:rPr>
                <w:lang w:val="en-US"/>
              </w:rPr>
              <w:t xml:space="preserve"> to contract a total of </w:t>
            </w:r>
            <w:r w:rsidR="006E4280">
              <w:rPr>
                <w:lang w:val="en-US"/>
              </w:rPr>
              <w:t xml:space="preserve">650 </w:t>
            </w:r>
            <w:r w:rsidR="00A35522">
              <w:rPr>
                <w:lang w:val="en-US"/>
              </w:rPr>
              <w:t>MW of renewable capacity to help meet its target.</w:t>
            </w:r>
          </w:p>
          <w:p w:rsidR="00371B93" w:rsidRDefault="00A35522" w:rsidP="00EC73D0">
            <w:pPr>
              <w:pStyle w:val="TableText"/>
              <w:keepLines w:val="0"/>
              <w:rPr>
                <w:lang w:val="en-US"/>
              </w:rPr>
            </w:pPr>
            <w:r>
              <w:rPr>
                <w:lang w:val="en-US"/>
              </w:rPr>
              <w:t>This scheme is funded through a retail tariff added to electricity bills.</w:t>
            </w:r>
          </w:p>
        </w:tc>
      </w:tr>
    </w:tbl>
    <w:p w:rsidR="00A35522" w:rsidRDefault="00A35522" w:rsidP="00A35522">
      <w:pPr>
        <w:pStyle w:val="TableNote"/>
        <w:rPr>
          <w:lang w:val="en-GB"/>
        </w:rPr>
      </w:pPr>
      <w:r w:rsidRPr="007A6392">
        <w:rPr>
          <w:b/>
          <w:lang w:val="en-GB"/>
        </w:rPr>
        <w:t>Source:</w:t>
      </w:r>
      <w:r>
        <w:rPr>
          <w:lang w:val="en-GB"/>
        </w:rPr>
        <w:t xml:space="preserve"> </w:t>
      </w:r>
      <w:r w:rsidR="004B452E">
        <w:rPr>
          <w:lang w:val="en-GB"/>
        </w:rPr>
        <w:t>C</w:t>
      </w:r>
      <w:r w:rsidR="00040C19">
        <w:rPr>
          <w:lang w:val="en-GB"/>
        </w:rPr>
        <w:t xml:space="preserve">limate </w:t>
      </w:r>
      <w:r w:rsidR="004B452E">
        <w:rPr>
          <w:lang w:val="en-GB"/>
        </w:rPr>
        <w:t>C</w:t>
      </w:r>
      <w:r w:rsidR="00040C19">
        <w:rPr>
          <w:lang w:val="en-GB"/>
        </w:rPr>
        <w:t xml:space="preserve">hange </w:t>
      </w:r>
      <w:r w:rsidR="004B452E">
        <w:rPr>
          <w:lang w:val="en-GB"/>
        </w:rPr>
        <w:t>A</w:t>
      </w:r>
      <w:r w:rsidR="00040C19">
        <w:rPr>
          <w:lang w:val="en-GB"/>
        </w:rPr>
        <w:t>uthority</w:t>
      </w:r>
      <w:r w:rsidR="004B452E">
        <w:rPr>
          <w:lang w:val="en-GB"/>
        </w:rPr>
        <w:t xml:space="preserve"> based on</w:t>
      </w:r>
      <w:r w:rsidR="00F34A62">
        <w:rPr>
          <w:lang w:val="en-GB"/>
        </w:rPr>
        <w:t xml:space="preserve"> </w:t>
      </w:r>
      <w:bookmarkStart w:id="179" w:name="_CTVP001063514de9b1e434ab83a5df5b93ddb92"/>
      <w:r w:rsidR="0059109A">
        <w:rPr>
          <w:lang w:val="en-GB"/>
        </w:rPr>
        <w:t>CCA 2014b, s. 2.2.1 and Box 1</w:t>
      </w:r>
      <w:bookmarkEnd w:id="179"/>
      <w:r w:rsidR="00593D8A">
        <w:rPr>
          <w:lang w:val="en-GB"/>
        </w:rPr>
        <w:t xml:space="preserve">; </w:t>
      </w:r>
      <w:bookmarkStart w:id="180" w:name="_CTVP0015291cee6a7ac45248a6c939134648a54"/>
      <w:r w:rsidR="0059109A">
        <w:rPr>
          <w:lang w:val="en-GB"/>
        </w:rPr>
        <w:t>DoE 2014, 2016a, 2016b</w:t>
      </w:r>
      <w:bookmarkEnd w:id="180"/>
      <w:r w:rsidR="002D21EC">
        <w:rPr>
          <w:lang w:val="en-GB"/>
        </w:rPr>
        <w:t>;</w:t>
      </w:r>
      <w:r w:rsidR="00B87600">
        <w:rPr>
          <w:lang w:val="en-GB"/>
        </w:rPr>
        <w:t xml:space="preserve"> </w:t>
      </w:r>
      <w:bookmarkStart w:id="181" w:name="_CTVP00198a4a0e2f2a64310885f4ce30d24b278"/>
      <w:r w:rsidR="0059109A">
        <w:rPr>
          <w:lang w:val="en-GB"/>
        </w:rPr>
        <w:t>Government of the ACT 2016</w:t>
      </w:r>
      <w:bookmarkEnd w:id="181"/>
      <w:r w:rsidR="00BD679C">
        <w:rPr>
          <w:lang w:val="en-GB"/>
        </w:rPr>
        <w:t xml:space="preserve">; </w:t>
      </w:r>
      <w:bookmarkStart w:id="182" w:name="_CTVP001c85e0c9aea174046975477b0c3f31526"/>
      <w:r w:rsidR="0059109A">
        <w:rPr>
          <w:lang w:val="en-GB"/>
        </w:rPr>
        <w:t>Government of the ACT 2011</w:t>
      </w:r>
      <w:bookmarkEnd w:id="182"/>
      <w:r w:rsidR="005504F5">
        <w:rPr>
          <w:lang w:val="en-GB"/>
        </w:rPr>
        <w:t>.</w:t>
      </w:r>
    </w:p>
    <w:tbl>
      <w:tblPr>
        <w:tblStyle w:val="CCATablebox"/>
        <w:tblW w:w="9890" w:type="dxa"/>
        <w:tblLook w:val="04A0" w:firstRow="1" w:lastRow="0" w:firstColumn="1" w:lastColumn="0" w:noHBand="0" w:noVBand="1"/>
      </w:tblPr>
      <w:tblGrid>
        <w:gridCol w:w="9890"/>
      </w:tblGrid>
      <w:tr w:rsidR="00B053FC" w:rsidTr="00B053FC">
        <w:trPr>
          <w:cnfStyle w:val="100000000000" w:firstRow="1" w:lastRow="0" w:firstColumn="0" w:lastColumn="0" w:oddVBand="0" w:evenVBand="0" w:oddHBand="0" w:evenHBand="0" w:firstRowFirstColumn="0" w:firstRowLastColumn="0" w:lastRowFirstColumn="0" w:lastRowLastColumn="0"/>
        </w:trPr>
        <w:tc>
          <w:tcPr>
            <w:tcW w:w="9890" w:type="dxa"/>
            <w:hideMark/>
          </w:tcPr>
          <w:p w:rsidR="00B053FC" w:rsidRDefault="00B053FC" w:rsidP="00B053FC">
            <w:pPr>
              <w:pStyle w:val="Headingnumberedbox"/>
              <w:keepLines w:val="0"/>
              <w:numPr>
                <w:ilvl w:val="0"/>
                <w:numId w:val="27"/>
              </w:numPr>
              <w:ind w:left="907" w:hanging="907"/>
              <w:rPr>
                <w:lang w:eastAsia="en-US"/>
              </w:rPr>
            </w:pPr>
            <w:bookmarkStart w:id="183" w:name="_Ref443480260"/>
            <w:bookmarkStart w:id="184" w:name="_Toc444011927"/>
            <w:bookmarkStart w:id="185" w:name="_Ref447023946"/>
            <w:bookmarkStart w:id="186" w:name="_Toc460318082"/>
            <w:r>
              <w:rPr>
                <w:lang w:eastAsia="en-US"/>
              </w:rPr>
              <w:lastRenderedPageBreak/>
              <w:t xml:space="preserve">Electricity reliability, security and </w:t>
            </w:r>
            <w:bookmarkEnd w:id="183"/>
            <w:bookmarkEnd w:id="184"/>
            <w:r>
              <w:rPr>
                <w:lang w:eastAsia="en-US"/>
              </w:rPr>
              <w:t>intermittent renewable generation</w:t>
            </w:r>
            <w:bookmarkEnd w:id="185"/>
            <w:bookmarkEnd w:id="186"/>
          </w:p>
          <w:p w:rsidR="00B053FC" w:rsidRPr="00A23CC9" w:rsidRDefault="00B053FC" w:rsidP="00B053FC">
            <w:pPr>
              <w:pStyle w:val="TableText"/>
              <w:rPr>
                <w:lang w:val="en-US"/>
              </w:rPr>
            </w:pPr>
            <w:r w:rsidRPr="00A23CC9">
              <w:rPr>
                <w:lang w:val="en-US"/>
              </w:rPr>
              <w:t xml:space="preserve">Two important aspects of electricity market operation are its reliability (broadly speaking, whether capacity is adequate to meet demand) and its security (broadly speaking, the ability of the power system to continue operating within defined technical limits even if a major piece of power system infrastructure fails). </w:t>
            </w:r>
          </w:p>
          <w:p w:rsidR="00B053FC" w:rsidRDefault="00B053FC" w:rsidP="00B053FC">
            <w:pPr>
              <w:pStyle w:val="TableText"/>
              <w:rPr>
                <w:lang w:val="en-US"/>
              </w:rPr>
            </w:pPr>
            <w:r w:rsidRPr="00A23CC9">
              <w:rPr>
                <w:lang w:val="en-US"/>
              </w:rPr>
              <w:t xml:space="preserve">The Australian community expects very high levels of electricity reliability and security and these have generally been maintained through two decades of electricity market disaggregation, </w:t>
            </w:r>
            <w:proofErr w:type="spellStart"/>
            <w:r w:rsidRPr="00A23CC9">
              <w:rPr>
                <w:lang w:val="en-US"/>
              </w:rPr>
              <w:t>privatisation</w:t>
            </w:r>
            <w:proofErr w:type="spellEnd"/>
            <w:r w:rsidRPr="00A23CC9">
              <w:rPr>
                <w:lang w:val="en-US"/>
              </w:rPr>
              <w:t xml:space="preserve"> and competition </w:t>
            </w:r>
            <w:bookmarkStart w:id="187" w:name="_CTVP001ca20f86f00d84027832331df87f84485"/>
            <w:r>
              <w:rPr>
                <w:lang w:val="en-US"/>
              </w:rPr>
              <w:t>(Reliability Panel 2015)</w:t>
            </w:r>
            <w:bookmarkEnd w:id="187"/>
            <w:r w:rsidRPr="00A23CC9">
              <w:rPr>
                <w:lang w:val="en-US"/>
              </w:rPr>
              <w:t xml:space="preserve">. Until recently, electricity markets have not </w:t>
            </w:r>
            <w:r>
              <w:rPr>
                <w:lang w:val="en-US"/>
              </w:rPr>
              <w:t xml:space="preserve">had to integrate </w:t>
            </w:r>
            <w:r w:rsidRPr="00A23CC9">
              <w:rPr>
                <w:lang w:val="en-US"/>
              </w:rPr>
              <w:t>large quantities of intermittent renewable generation</w:t>
            </w:r>
            <w:r>
              <w:rPr>
                <w:lang w:val="en-US"/>
              </w:rPr>
              <w:t>. But as</w:t>
            </w:r>
            <w:r w:rsidRPr="00A23CC9">
              <w:rPr>
                <w:lang w:val="en-US"/>
              </w:rPr>
              <w:t xml:space="preserve"> wind and solar PV generation</w:t>
            </w:r>
            <w:r>
              <w:rPr>
                <w:lang w:val="en-US"/>
              </w:rPr>
              <w:t xml:space="preserve"> increase, integration is becoming more of a focus</w:t>
            </w:r>
            <w:r w:rsidRPr="00A23CC9">
              <w:rPr>
                <w:lang w:val="en-US"/>
              </w:rPr>
              <w:t xml:space="preserve">. </w:t>
            </w:r>
          </w:p>
          <w:p w:rsidR="00B053FC" w:rsidRPr="00A23CC9" w:rsidRDefault="00B053FC" w:rsidP="00B053FC">
            <w:pPr>
              <w:pStyle w:val="TableText"/>
              <w:rPr>
                <w:lang w:val="en-US"/>
              </w:rPr>
            </w:pPr>
            <w:r w:rsidRPr="00A23CC9">
              <w:rPr>
                <w:lang w:val="en-US"/>
              </w:rPr>
              <w:t xml:space="preserve">This </w:t>
            </w:r>
            <w:r>
              <w:rPr>
                <w:lang w:val="en-US"/>
              </w:rPr>
              <w:t>integration</w:t>
            </w:r>
            <w:r w:rsidRPr="00A23CC9">
              <w:rPr>
                <w:lang w:val="en-US"/>
              </w:rPr>
              <w:t xml:space="preserve"> is already underway, and is most notable in the South Australian region of the National Electricity Market (NEM). In 2014</w:t>
            </w:r>
            <w:r>
              <w:rPr>
                <w:lang w:val="en-US"/>
              </w:rPr>
              <w:t>–</w:t>
            </w:r>
            <w:r w:rsidRPr="00A23CC9">
              <w:rPr>
                <w:lang w:val="en-US"/>
              </w:rPr>
              <w:t xml:space="preserve">15, intermittent wind generation contributed about 33 per cent of </w:t>
            </w:r>
            <w:r>
              <w:rPr>
                <w:lang w:val="en-US"/>
              </w:rPr>
              <w:t>South Australia’s large</w:t>
            </w:r>
            <w:r>
              <w:rPr>
                <w:lang w:val="en-US"/>
              </w:rPr>
              <w:noBreakHyphen/>
              <w:t>scale</w:t>
            </w:r>
            <w:r w:rsidRPr="00A23CC9">
              <w:rPr>
                <w:lang w:val="en-US"/>
              </w:rPr>
              <w:t xml:space="preserve"> electricity generation—one of the highest shares in the world </w:t>
            </w:r>
            <w:bookmarkStart w:id="188" w:name="_CTVP0013172d364777e41f5ac083827baf61049"/>
            <w:r>
              <w:rPr>
                <w:lang w:val="en-US"/>
              </w:rPr>
              <w:t xml:space="preserve">(AER 2015; AEMO &amp; </w:t>
            </w:r>
            <w:proofErr w:type="spellStart"/>
            <w:r>
              <w:rPr>
                <w:lang w:val="en-US"/>
              </w:rPr>
              <w:t>Electranet</w:t>
            </w:r>
            <w:proofErr w:type="spellEnd"/>
            <w:r>
              <w:rPr>
                <w:lang w:val="en-US"/>
              </w:rPr>
              <w:t> 2016)</w:t>
            </w:r>
            <w:bookmarkEnd w:id="188"/>
            <w:r w:rsidRPr="00A23CC9">
              <w:rPr>
                <w:lang w:val="en-US"/>
              </w:rPr>
              <w:t xml:space="preserve">. </w:t>
            </w:r>
            <w:r>
              <w:rPr>
                <w:lang w:val="en-US"/>
              </w:rPr>
              <w:t>While</w:t>
            </w:r>
            <w:r w:rsidRPr="00A23CC9">
              <w:rPr>
                <w:lang w:val="en-US"/>
              </w:rPr>
              <w:t xml:space="preserve"> 75 per cent of South Australia’s </w:t>
            </w:r>
            <w:r>
              <w:rPr>
                <w:lang w:val="en-US"/>
              </w:rPr>
              <w:t>large</w:t>
            </w:r>
            <w:r>
              <w:rPr>
                <w:lang w:val="en-US"/>
              </w:rPr>
              <w:noBreakHyphen/>
              <w:t>scale</w:t>
            </w:r>
            <w:r w:rsidRPr="00A23CC9">
              <w:rPr>
                <w:lang w:val="en-US"/>
              </w:rPr>
              <w:t xml:space="preserve"> generation came from wind generation</w:t>
            </w:r>
            <w:r>
              <w:rPr>
                <w:lang w:val="en-US"/>
              </w:rPr>
              <w:t xml:space="preserve"> on some single days in 2014, wind generation</w:t>
            </w:r>
            <w:r w:rsidRPr="00A23CC9">
              <w:rPr>
                <w:lang w:val="en-US"/>
              </w:rPr>
              <w:t xml:space="preserve"> tends to be lower at times of</w:t>
            </w:r>
            <w:r>
              <w:rPr>
                <w:lang w:val="en-US"/>
              </w:rPr>
              <w:t xml:space="preserve"> South Australian</w:t>
            </w:r>
            <w:r w:rsidRPr="00A23CC9">
              <w:rPr>
                <w:lang w:val="en-US"/>
              </w:rPr>
              <w:t xml:space="preserve"> peak demand,</w:t>
            </w:r>
            <w:r>
              <w:rPr>
                <w:lang w:val="en-US"/>
              </w:rPr>
              <w:t xml:space="preserve"> and</w:t>
            </w:r>
            <w:r w:rsidRPr="00A23CC9">
              <w:rPr>
                <w:lang w:val="en-US"/>
              </w:rPr>
              <w:t xml:space="preserve"> ma</w:t>
            </w:r>
            <w:r>
              <w:rPr>
                <w:lang w:val="en-US"/>
              </w:rPr>
              <w:t>de</w:t>
            </w:r>
            <w:r w:rsidRPr="00A23CC9">
              <w:rPr>
                <w:lang w:val="en-US"/>
              </w:rPr>
              <w:t xml:space="preserve"> up </w:t>
            </w:r>
            <w:r>
              <w:rPr>
                <w:lang w:val="en-US"/>
              </w:rPr>
              <w:t>on average about</w:t>
            </w:r>
            <w:r w:rsidRPr="00A23CC9">
              <w:rPr>
                <w:lang w:val="en-US"/>
              </w:rPr>
              <w:t xml:space="preserve"> 10 per cent of South Australia’s </w:t>
            </w:r>
            <w:r>
              <w:rPr>
                <w:lang w:val="en-US"/>
              </w:rPr>
              <w:t>large</w:t>
            </w:r>
            <w:r>
              <w:rPr>
                <w:lang w:val="en-US"/>
              </w:rPr>
              <w:noBreakHyphen/>
              <w:t>scale</w:t>
            </w:r>
            <w:r w:rsidRPr="00A23CC9">
              <w:rPr>
                <w:lang w:val="en-US"/>
              </w:rPr>
              <w:t xml:space="preserve"> generation in</w:t>
            </w:r>
            <w:r>
              <w:rPr>
                <w:lang w:val="en-US"/>
              </w:rPr>
              <w:t xml:space="preserve"> the</w:t>
            </w:r>
            <w:r w:rsidRPr="00A23CC9">
              <w:rPr>
                <w:lang w:val="en-US"/>
              </w:rPr>
              <w:t xml:space="preserve"> summer</w:t>
            </w:r>
            <w:r>
              <w:rPr>
                <w:lang w:val="en-US"/>
              </w:rPr>
              <w:t xml:space="preserve">s of 2010–11 to 2014–15 </w:t>
            </w:r>
            <w:bookmarkStart w:id="189" w:name="_CTVP00147671bb3ec3d40b9b087eb9686bc89dc"/>
            <w:r>
              <w:rPr>
                <w:lang w:val="en-US"/>
              </w:rPr>
              <w:t xml:space="preserve">(AEMO &amp; </w:t>
            </w:r>
            <w:proofErr w:type="spellStart"/>
            <w:r>
              <w:rPr>
                <w:lang w:val="en-US"/>
              </w:rPr>
              <w:t>Electranet</w:t>
            </w:r>
            <w:proofErr w:type="spellEnd"/>
            <w:r>
              <w:rPr>
                <w:lang w:val="en-US"/>
              </w:rPr>
              <w:t> 2014; AEMO 2015d; AER 2015)</w:t>
            </w:r>
            <w:bookmarkEnd w:id="189"/>
            <w:r>
              <w:rPr>
                <w:lang w:val="en-US"/>
              </w:rPr>
              <w:t>.</w:t>
            </w:r>
          </w:p>
          <w:p w:rsidR="00B053FC" w:rsidRPr="00A23CC9" w:rsidRDefault="00B053FC" w:rsidP="00B053FC">
            <w:pPr>
              <w:pStyle w:val="TableText"/>
              <w:rPr>
                <w:lang w:val="en-US"/>
              </w:rPr>
            </w:pPr>
            <w:r w:rsidRPr="00A23CC9">
              <w:rPr>
                <w:lang w:val="en-US"/>
              </w:rPr>
              <w:t xml:space="preserve">There are some public concerns about the increase </w:t>
            </w:r>
            <w:r>
              <w:rPr>
                <w:lang w:val="en-US"/>
              </w:rPr>
              <w:t>in</w:t>
            </w:r>
            <w:r w:rsidRPr="00A23CC9">
              <w:rPr>
                <w:lang w:val="en-US"/>
              </w:rPr>
              <w:t xml:space="preserve"> intermittent generation and </w:t>
            </w:r>
            <w:r>
              <w:rPr>
                <w:lang w:val="en-US"/>
              </w:rPr>
              <w:t>its</w:t>
            </w:r>
            <w:r w:rsidRPr="00A23CC9">
              <w:rPr>
                <w:lang w:val="en-US"/>
              </w:rPr>
              <w:t xml:space="preserve"> potential impact on electricity market reliability. </w:t>
            </w:r>
            <w:r>
              <w:rPr>
                <w:lang w:val="en-US"/>
              </w:rPr>
              <w:t>Common concerns are</w:t>
            </w:r>
            <w:r w:rsidRPr="00A23CC9">
              <w:rPr>
                <w:lang w:val="en-US"/>
              </w:rPr>
              <w:t xml:space="preserve"> that intermittency reduces power system reliability and that renewable generation</w:t>
            </w:r>
            <w:r>
              <w:rPr>
                <w:lang w:val="en-US"/>
              </w:rPr>
              <w:t>’s</w:t>
            </w:r>
            <w:r w:rsidRPr="00A23CC9">
              <w:rPr>
                <w:lang w:val="en-US"/>
              </w:rPr>
              <w:t xml:space="preserve"> very low operating costs</w:t>
            </w:r>
            <w:r>
              <w:rPr>
                <w:lang w:val="en-US"/>
              </w:rPr>
              <w:t xml:space="preserve"> tend to</w:t>
            </w:r>
            <w:r w:rsidRPr="00A23CC9">
              <w:rPr>
                <w:lang w:val="en-US"/>
              </w:rPr>
              <w:t xml:space="preserve"> lower wholesale prices and erode revenues and profitability for other generators. However</w:t>
            </w:r>
            <w:r>
              <w:rPr>
                <w:lang w:val="en-US"/>
              </w:rPr>
              <w:t>,</w:t>
            </w:r>
            <w:r w:rsidRPr="00A23CC9">
              <w:rPr>
                <w:lang w:val="en-US"/>
              </w:rPr>
              <w:t xml:space="preserve"> both the NEM and the </w:t>
            </w:r>
            <w:r w:rsidRPr="00A23CC9">
              <w:rPr>
                <w:lang w:val="en-GB" w:eastAsia="en-AU"/>
              </w:rPr>
              <w:t>Western Australia</w:t>
            </w:r>
            <w:r>
              <w:rPr>
                <w:lang w:val="en-GB" w:eastAsia="en-AU"/>
              </w:rPr>
              <w:t>n</w:t>
            </w:r>
            <w:r w:rsidRPr="00A23CC9">
              <w:rPr>
                <w:lang w:val="en-GB" w:eastAsia="en-AU"/>
              </w:rPr>
              <w:t xml:space="preserve"> Wholesale Electricity Market</w:t>
            </w:r>
            <w:r w:rsidRPr="00A23CC9">
              <w:rPr>
                <w:lang w:val="en-US"/>
              </w:rPr>
              <w:t xml:space="preserve"> (WEM) include mechanisms that </w:t>
            </w:r>
            <w:r>
              <w:rPr>
                <w:lang w:val="en-US"/>
              </w:rPr>
              <w:t>seek</w:t>
            </w:r>
            <w:r w:rsidRPr="00A23CC9">
              <w:rPr>
                <w:lang w:val="en-US"/>
              </w:rPr>
              <w:t xml:space="preserve"> to deliver reliability in the presence of substantial generation from intermittent sources. This is because non</w:t>
            </w:r>
            <w:r w:rsidRPr="00A23CC9">
              <w:rPr>
                <w:lang w:val="en-US"/>
              </w:rPr>
              <w:noBreakHyphen/>
              <w:t xml:space="preserve">intermittent generators, which step in to cover the lulls in the wind and sun, receive income for providing this backup. </w:t>
            </w:r>
            <w:r w:rsidRPr="00A23CC9">
              <w:t>In the WEM this is through a capacity payment from the market operator</w:t>
            </w:r>
            <w:r>
              <w:t>. I</w:t>
            </w:r>
            <w:r w:rsidRPr="00A23CC9">
              <w:t>n the NEM</w:t>
            </w:r>
            <w:r>
              <w:t>, features include price caps (that is, maximum spot prices) set to encourage investment in the generators required for reliability, and</w:t>
            </w:r>
            <w:r w:rsidRPr="00A23CC9">
              <w:t xml:space="preserve"> financial hedging contracts </w:t>
            </w:r>
            <w:r>
              <w:t xml:space="preserve">which </w:t>
            </w:r>
            <w:r w:rsidRPr="00A23CC9">
              <w:t>have the effect of smoothing generator revenues through time</w:t>
            </w:r>
            <w:r>
              <w:t>.</w:t>
            </w:r>
          </w:p>
          <w:p w:rsidR="00B053FC" w:rsidRPr="00A23CC9" w:rsidRDefault="00B053FC" w:rsidP="00B053FC">
            <w:pPr>
              <w:pStyle w:val="TableText"/>
              <w:rPr>
                <w:lang w:val="en-US"/>
              </w:rPr>
            </w:pPr>
            <w:r w:rsidRPr="00A23CC9">
              <w:rPr>
                <w:lang w:val="en-US"/>
              </w:rPr>
              <w:t xml:space="preserve">Separately from reliability, the energy market institutions and network companies are taking action to ensure the power system remains secure with increased shares of intermittent renewables </w:t>
            </w:r>
            <w:bookmarkStart w:id="190" w:name="_CTVP001aba26001543442cab34127407ca3414b"/>
            <w:r>
              <w:rPr>
                <w:lang w:val="en-US"/>
              </w:rPr>
              <w:t xml:space="preserve">(AEMO &amp; </w:t>
            </w:r>
            <w:proofErr w:type="spellStart"/>
            <w:r>
              <w:rPr>
                <w:lang w:val="en-US"/>
              </w:rPr>
              <w:t>Electranet</w:t>
            </w:r>
            <w:proofErr w:type="spellEnd"/>
            <w:r>
              <w:rPr>
                <w:lang w:val="en-US"/>
              </w:rPr>
              <w:t> 2016)</w:t>
            </w:r>
            <w:bookmarkEnd w:id="190"/>
            <w:r w:rsidRPr="00A23CC9">
              <w:rPr>
                <w:lang w:val="en-US"/>
              </w:rPr>
              <w:t xml:space="preserve">. </w:t>
            </w:r>
            <w:r w:rsidRPr="00041560">
              <w:rPr>
                <w:lang w:val="en-US"/>
              </w:rPr>
              <w:t>This includes investigating the best way to maintain previously abundant services that may become scarce with changes in the generation mix, such contributions to the resistance of the power system to changes in frequency (its ‘inertia’).</w:t>
            </w:r>
            <w:r>
              <w:rPr>
                <w:lang w:val="en-US"/>
              </w:rPr>
              <w:t xml:space="preserve"> </w:t>
            </w:r>
            <w:r w:rsidRPr="00A23CC9">
              <w:rPr>
                <w:lang w:val="en-US"/>
              </w:rPr>
              <w:t>As these</w:t>
            </w:r>
            <w:r>
              <w:rPr>
                <w:lang w:val="en-US"/>
              </w:rPr>
              <w:t xml:space="preserve"> actions</w:t>
            </w:r>
            <w:r w:rsidRPr="00A23CC9">
              <w:rPr>
                <w:lang w:val="en-US"/>
              </w:rPr>
              <w:t xml:space="preserve"> are required regardless of new</w:t>
            </w:r>
            <w:r>
              <w:rPr>
                <w:lang w:val="en-US"/>
              </w:rPr>
              <w:t xml:space="preserve"> post-2020</w:t>
            </w:r>
            <w:r w:rsidRPr="00A23CC9">
              <w:rPr>
                <w:lang w:val="en-US"/>
              </w:rPr>
              <w:t xml:space="preserve"> climate policies, their costs were not specifically assessed as part of the Authority’s evaluation of climate policy options.</w:t>
            </w:r>
          </w:p>
          <w:p w:rsidR="00B053FC" w:rsidRDefault="00B053FC" w:rsidP="00B053FC">
            <w:pPr>
              <w:keepLines w:val="0"/>
              <w:spacing w:before="40" w:after="80" w:line="240" w:lineRule="auto"/>
              <w:rPr>
                <w:sz w:val="18"/>
                <w:szCs w:val="18"/>
                <w:lang w:val="en-US"/>
              </w:rPr>
            </w:pPr>
            <w:r w:rsidRPr="00041560">
              <w:rPr>
                <w:sz w:val="18"/>
                <w:szCs w:val="18"/>
                <w:lang w:val="en-US"/>
              </w:rPr>
              <w:t>Two recent events in South Australia have been linked to increasing penetration of renewables:</w:t>
            </w:r>
          </w:p>
          <w:p w:rsidR="00B053FC" w:rsidRPr="00041560" w:rsidRDefault="00B053FC" w:rsidP="00B053FC">
            <w:pPr>
              <w:pStyle w:val="TableListBullet"/>
              <w:rPr>
                <w:lang w:val="en-US"/>
              </w:rPr>
            </w:pPr>
            <w:r w:rsidRPr="00041560">
              <w:rPr>
                <w:lang w:val="en-US"/>
              </w:rPr>
              <w:t>On the night of 1 November 2015 up to 160</w:t>
            </w:r>
            <w:r>
              <w:rPr>
                <w:lang w:val="en-US"/>
              </w:rPr>
              <w:t xml:space="preserve"> </w:t>
            </w:r>
            <w:r w:rsidRPr="00041560">
              <w:rPr>
                <w:lang w:val="en-US"/>
              </w:rPr>
              <w:t xml:space="preserve">MW of South Australian customer load was interrupted for approximately one hour as a result of a disconnection in the transmission link to Victoria </w:t>
            </w:r>
            <w:bookmarkStart w:id="191" w:name="_CTVP0014c5ce35b45cd44e68a8b9547779da7d6"/>
            <w:r>
              <w:rPr>
                <w:lang w:val="en-US"/>
              </w:rPr>
              <w:t>(AEMO 2016d)</w:t>
            </w:r>
            <w:bookmarkEnd w:id="191"/>
            <w:r w:rsidRPr="00041560">
              <w:rPr>
                <w:lang w:val="en-US"/>
              </w:rPr>
              <w:t xml:space="preserve">. The event is an example of a security incident rather than a reliability shortfall and </w:t>
            </w:r>
            <w:r>
              <w:rPr>
                <w:lang w:val="en-US"/>
              </w:rPr>
              <w:t>is unrelated to renewable generation</w:t>
            </w:r>
            <w:r w:rsidRPr="00041560">
              <w:rPr>
                <w:lang w:val="en-US"/>
              </w:rPr>
              <w:t xml:space="preserve">. </w:t>
            </w:r>
          </w:p>
          <w:p w:rsidR="00B053FC" w:rsidRDefault="00B053FC" w:rsidP="00B053FC">
            <w:pPr>
              <w:pStyle w:val="TableListBullet"/>
              <w:rPr>
                <w:lang w:val="en-US"/>
              </w:rPr>
            </w:pPr>
            <w:r w:rsidRPr="00041560">
              <w:rPr>
                <w:rFonts w:cstheme="minorBidi"/>
                <w:lang w:val="en-US"/>
              </w:rPr>
              <w:t>During 2015 several coal and gas generating plants in South Australia announced their intentions to close or temporarily withdraw in 2016 and 2017</w:t>
            </w:r>
            <w:r>
              <w:rPr>
                <w:rFonts w:cstheme="minorBidi"/>
                <w:lang w:val="en-US"/>
              </w:rPr>
              <w:t xml:space="preserve"> </w:t>
            </w:r>
            <w:bookmarkStart w:id="192" w:name="_CTVP0019324243860384a6aabbbd2a7bcc546a4"/>
            <w:r>
              <w:rPr>
                <w:rFonts w:cstheme="minorBidi"/>
                <w:lang w:val="en-US"/>
              </w:rPr>
              <w:t xml:space="preserve">(AGL Energy 2014; </w:t>
            </w:r>
            <w:proofErr w:type="spellStart"/>
            <w:r>
              <w:rPr>
                <w:rFonts w:cstheme="minorBidi"/>
                <w:lang w:val="en-US"/>
              </w:rPr>
              <w:t>Alinta</w:t>
            </w:r>
            <w:proofErr w:type="spellEnd"/>
            <w:r>
              <w:rPr>
                <w:rFonts w:cstheme="minorBidi"/>
                <w:lang w:val="en-US"/>
              </w:rPr>
              <w:t xml:space="preserve"> Energy 2015)</w:t>
            </w:r>
            <w:bookmarkEnd w:id="192"/>
            <w:r w:rsidRPr="00041560">
              <w:rPr>
                <w:rFonts w:cstheme="minorBidi"/>
                <w:lang w:val="en-US"/>
              </w:rPr>
              <w:t xml:space="preserve">. These decisions were affected by multiple factors, including the </w:t>
            </w:r>
            <w:r>
              <w:rPr>
                <w:rFonts w:cstheme="minorBidi"/>
                <w:lang w:val="en-US"/>
              </w:rPr>
              <w:t>loss of market share to renewables supported by the Renewable Energy Target</w:t>
            </w:r>
            <w:r w:rsidRPr="00041560">
              <w:rPr>
                <w:rFonts w:cstheme="minorBidi"/>
                <w:lang w:val="en-US"/>
              </w:rPr>
              <w:t>. The resulting consolidation of non-intermittent generation led to a sharp increase in new contract</w:t>
            </w:r>
            <w:r>
              <w:rPr>
                <w:rFonts w:cstheme="minorBidi"/>
                <w:lang w:val="en-US"/>
              </w:rPr>
              <w:t xml:space="preserve"> prices for large electricity customers</w:t>
            </w:r>
            <w:r w:rsidRPr="00041560">
              <w:rPr>
                <w:rFonts w:cstheme="minorBidi"/>
                <w:lang w:val="en-US"/>
              </w:rPr>
              <w:t xml:space="preserve"> in late 2015</w:t>
            </w:r>
            <w:r>
              <w:rPr>
                <w:rFonts w:cstheme="minorBidi"/>
                <w:lang w:val="en-US"/>
              </w:rPr>
              <w:t xml:space="preserve"> </w:t>
            </w:r>
            <w:bookmarkStart w:id="193" w:name="_CTVP001289e141078fd44e8ade75c08b974b47f"/>
            <w:r>
              <w:rPr>
                <w:rFonts w:cstheme="minorBidi"/>
                <w:lang w:val="en-US"/>
              </w:rPr>
              <w:t>(ASX 2016)</w:t>
            </w:r>
            <w:bookmarkEnd w:id="193"/>
            <w:r w:rsidRPr="00041560">
              <w:rPr>
                <w:rFonts w:cstheme="minorBidi"/>
                <w:lang w:val="en-US"/>
              </w:rPr>
              <w:t xml:space="preserve">. </w:t>
            </w:r>
            <w:r>
              <w:rPr>
                <w:rFonts w:cstheme="minorBidi"/>
                <w:lang w:val="en-US"/>
              </w:rPr>
              <w:t>Pr</w:t>
            </w:r>
            <w:r w:rsidRPr="00041560">
              <w:rPr>
                <w:rFonts w:cstheme="minorBidi"/>
                <w:lang w:val="en-US"/>
              </w:rPr>
              <w:t>ices partially eas</w:t>
            </w:r>
            <w:r>
              <w:rPr>
                <w:rFonts w:cstheme="minorBidi"/>
                <w:lang w:val="en-US"/>
              </w:rPr>
              <w:t>ed</w:t>
            </w:r>
            <w:r w:rsidRPr="00041560">
              <w:rPr>
                <w:rFonts w:cstheme="minorBidi"/>
                <w:lang w:val="en-US"/>
              </w:rPr>
              <w:t xml:space="preserve"> in early 2016</w:t>
            </w:r>
            <w:r>
              <w:rPr>
                <w:rFonts w:cstheme="minorBidi"/>
                <w:lang w:val="en-US"/>
              </w:rPr>
              <w:t xml:space="preserve"> before rising again during May, June and July </w:t>
            </w:r>
            <w:bookmarkStart w:id="194" w:name="_CTVP001af7697ba46944bbb8557f5606858ef61"/>
            <w:r>
              <w:rPr>
                <w:rFonts w:cstheme="minorBidi"/>
                <w:lang w:val="en-US"/>
              </w:rPr>
              <w:t>(ASX 2016)</w:t>
            </w:r>
            <w:bookmarkEnd w:id="194"/>
            <w:r w:rsidRPr="00041560">
              <w:rPr>
                <w:rFonts w:cstheme="minorBidi"/>
                <w:lang w:val="en-US"/>
              </w:rPr>
              <w:t xml:space="preserve">. </w:t>
            </w:r>
            <w:r>
              <w:rPr>
                <w:rFonts w:cstheme="minorBidi"/>
                <w:lang w:val="en-US"/>
              </w:rPr>
              <w:t xml:space="preserve">AGL subsequently reversed its decision to withdraw its Torrens Island ‘A’ units, citing tightening supply following the retirement of other generators </w:t>
            </w:r>
            <w:bookmarkStart w:id="195" w:name="_CTVP001b83dead80b184367889e0d0d51d74afe"/>
            <w:r>
              <w:rPr>
                <w:rFonts w:cstheme="minorBidi"/>
                <w:lang w:val="en-US"/>
              </w:rPr>
              <w:t>(AGL Energy 2016)</w:t>
            </w:r>
            <w:bookmarkEnd w:id="195"/>
            <w:r>
              <w:rPr>
                <w:rFonts w:cstheme="minorBidi"/>
                <w:lang w:val="en-US"/>
              </w:rPr>
              <w:t>.</w:t>
            </w:r>
          </w:p>
          <w:p w:rsidR="00B053FC" w:rsidRPr="00041560" w:rsidRDefault="00B053FC" w:rsidP="006376F1">
            <w:pPr>
              <w:pStyle w:val="TableText"/>
              <w:rPr>
                <w:lang w:val="en-US"/>
              </w:rPr>
            </w:pPr>
            <w:r w:rsidRPr="00041560">
              <w:rPr>
                <w:lang w:val="en-US"/>
              </w:rPr>
              <w:t xml:space="preserve">Both the reliability and security of the power system are being considered as part of work </w:t>
            </w:r>
            <w:r>
              <w:rPr>
                <w:lang w:val="en-US"/>
              </w:rPr>
              <w:t xml:space="preserve">by officials </w:t>
            </w:r>
            <w:r w:rsidRPr="00041560">
              <w:rPr>
                <w:lang w:val="en-US"/>
              </w:rPr>
              <w:t>for the COAG Energy Council</w:t>
            </w:r>
            <w:r>
              <w:rPr>
                <w:lang w:val="en-US"/>
              </w:rPr>
              <w:t xml:space="preserve"> </w:t>
            </w:r>
            <w:r w:rsidRPr="00041560">
              <w:rPr>
                <w:lang w:val="en-US"/>
              </w:rPr>
              <w:t>(</w:t>
            </w:r>
            <w:r>
              <w:rPr>
                <w:lang w:val="en-US"/>
              </w:rPr>
              <w:t>Section</w:t>
            </w:r>
            <w:r w:rsidRPr="00041560">
              <w:rPr>
                <w:lang w:val="en-US"/>
              </w:rPr>
              <w:t xml:space="preserve"> </w:t>
            </w:r>
            <w:r w:rsidR="00CA762C">
              <w:rPr>
                <w:lang w:val="en-US"/>
              </w:rPr>
              <w:t>2.1</w:t>
            </w:r>
            <w:r>
              <w:rPr>
                <w:lang w:val="en-US"/>
              </w:rPr>
              <w:t>).</w:t>
            </w:r>
          </w:p>
        </w:tc>
      </w:tr>
    </w:tbl>
    <w:p w:rsidR="00B053FC" w:rsidRDefault="00B053FC" w:rsidP="00A35522">
      <w:pPr>
        <w:pStyle w:val="TableNote"/>
        <w:rPr>
          <w:lang w:val="en-GB"/>
        </w:rPr>
      </w:pPr>
    </w:p>
    <w:p w:rsidR="00C80B98" w:rsidRDefault="00C80B98" w:rsidP="00C80B98">
      <w:pPr>
        <w:pStyle w:val="BodyText"/>
      </w:pPr>
      <w:bookmarkStart w:id="196" w:name="_Toc444011883"/>
      <w:r>
        <w:t>The Intergovernmental Panel on Climate Change has found that</w:t>
      </w:r>
      <w:r w:rsidR="000A1B30">
        <w:t>,</w:t>
      </w:r>
      <w:r>
        <w:t xml:space="preserve"> in cost-effective pathways consistent with less than 2 degrees of warming, the electricity sector is projected to decarbonise more rapidly than the industry, buildings and transport sectors </w:t>
      </w:r>
      <w:bookmarkStart w:id="197" w:name="_CTVP001b333a04ba997491bad70cbc88ac98016"/>
      <w:r w:rsidR="0059109A">
        <w:t>(Bruckner et al. 2014, p. 516)</w:t>
      </w:r>
      <w:bookmarkEnd w:id="197"/>
      <w:r>
        <w:t>. In the majority of these pathways, the global share of low-emissions generation (renewable, nuclear and carbon capture and storage (CCS)) in the electricity supply is projected to increase from its current level of about 3</w:t>
      </w:r>
      <w:r w:rsidR="009A3998">
        <w:t>0 per </w:t>
      </w:r>
      <w:r>
        <w:t xml:space="preserve">cent to more than 80 per cent by 2050. While renewable and nuclear </w:t>
      </w:r>
      <w:proofErr w:type="gramStart"/>
      <w:r>
        <w:t>power always play</w:t>
      </w:r>
      <w:proofErr w:type="gramEnd"/>
      <w:r>
        <w:t xml:space="preserve"> an important role in these global analyses, the role of CCS varies</w:t>
      </w:r>
      <w:r w:rsidR="009A3998">
        <w:t xml:space="preserve"> greatly but never exceeds a 50 per </w:t>
      </w:r>
      <w:r>
        <w:t xml:space="preserve">cent share </w:t>
      </w:r>
      <w:bookmarkStart w:id="198" w:name="_CTVP001733ce32b87df431187f92647d188c7ad"/>
      <w:r w:rsidR="0059109A">
        <w:t>(Bruckner et al. 2014, p. 560)</w:t>
      </w:r>
      <w:bookmarkEnd w:id="198"/>
      <w:r w:rsidRPr="00215840">
        <w:t xml:space="preserve">. </w:t>
      </w:r>
    </w:p>
    <w:p w:rsidR="00B053FC" w:rsidRDefault="00C80B98" w:rsidP="00C80B98">
      <w:pPr>
        <w:pStyle w:val="BodyText"/>
      </w:pPr>
      <w:r>
        <w:t xml:space="preserve">Available studies consistently find that Australia has opportunities to achieve cost-effective reductions in electricity sector emissions as part of national action consistent with limiting warming to 2 degrees. </w:t>
      </w:r>
      <w:r w:rsidR="00CA762C">
        <w:t xml:space="preserve">Figure </w:t>
      </w:r>
      <w:r w:rsidR="00CA762C">
        <w:rPr>
          <w:noProof/>
        </w:rPr>
        <w:t>5</w:t>
      </w:r>
      <w:r>
        <w:t xml:space="preserve"> compares the projected emissions intensity of the Australian electricity supply in 2020, 2030 and 2050 across three recent exercises investigating 2 degree consistent pathways. Each exercise is slightly different, for example they investigate different policy scenarios, </w:t>
      </w:r>
      <w:proofErr w:type="gramStart"/>
      <w:r>
        <w:t>some</w:t>
      </w:r>
      <w:proofErr w:type="gramEnd"/>
      <w:r>
        <w:t xml:space="preserve"> </w:t>
      </w:r>
      <w:r w:rsidR="007E3D23">
        <w:t>allow</w:t>
      </w:r>
      <w:r>
        <w:t xml:space="preserve"> the use of </w:t>
      </w:r>
      <w:r>
        <w:lastRenderedPageBreak/>
        <w:t xml:space="preserve">international </w:t>
      </w:r>
      <w:r w:rsidR="003837AB">
        <w:t>permits or credits</w:t>
      </w:r>
      <w:r>
        <w:t>, and so on. The common finding is that the electricity sector can contribute deep, cost-effective emissions reductions as part of national action to meet global temperature goals.</w:t>
      </w:r>
    </w:p>
    <w:p w:rsidR="00B053FC" w:rsidRDefault="00B053FC" w:rsidP="00B053FC">
      <w:pPr>
        <w:pStyle w:val="Caption"/>
      </w:pPr>
      <w:bookmarkStart w:id="199" w:name="_Ref444515872"/>
      <w:bookmarkStart w:id="200" w:name="_Toc444610066"/>
      <w:bookmarkStart w:id="201" w:name="_Toc447099931"/>
      <w:bookmarkStart w:id="202" w:name="_Toc460318036"/>
      <w:r>
        <w:t xml:space="preserve">Figure </w:t>
      </w:r>
      <w:r w:rsidR="00CA762C">
        <w:rPr>
          <w:noProof/>
        </w:rPr>
        <w:t>5</w:t>
      </w:r>
      <w:bookmarkEnd w:id="199"/>
      <w:r>
        <w:tab/>
        <w:t>Emissions intensity of electricity generation, 2 degree pathways</w:t>
      </w:r>
      <w:bookmarkEnd w:id="200"/>
      <w:bookmarkEnd w:id="201"/>
      <w:bookmarkEnd w:id="202"/>
    </w:p>
    <w:p w:rsidR="00B053FC" w:rsidRDefault="00B053FC" w:rsidP="00B053FC">
      <w:pPr>
        <w:keepNext/>
      </w:pPr>
      <w:r w:rsidRPr="00FF5DB5">
        <w:rPr>
          <w:noProof/>
          <w:lang w:eastAsia="en-AU"/>
        </w:rPr>
        <w:drawing>
          <wp:inline distT="0" distB="0" distL="0" distR="0" wp14:anchorId="2997D9BE" wp14:editId="418905D8">
            <wp:extent cx="6041084" cy="35069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1358" cy="3507152"/>
                    </a:xfrm>
                    <a:prstGeom prst="rect">
                      <a:avLst/>
                    </a:prstGeom>
                    <a:noFill/>
                    <a:ln>
                      <a:noFill/>
                    </a:ln>
                  </pic:spPr>
                </pic:pic>
              </a:graphicData>
            </a:graphic>
          </wp:inline>
        </w:drawing>
      </w:r>
    </w:p>
    <w:p w:rsidR="00C80B98" w:rsidRDefault="00B053FC" w:rsidP="00B053FC">
      <w:pPr>
        <w:pStyle w:val="TableNote"/>
        <w:spacing w:before="0"/>
      </w:pPr>
      <w:r w:rsidRPr="009462A5">
        <w:rPr>
          <w:b/>
        </w:rPr>
        <w:t>Note:</w:t>
      </w:r>
      <w:r w:rsidRPr="00276C41">
        <w:t xml:space="preserve"> </w:t>
      </w:r>
      <w:r>
        <w:t xml:space="preserve">Data for Jacobs and </w:t>
      </w:r>
      <w:proofErr w:type="spellStart"/>
      <w:r>
        <w:t>ClimateWorks</w:t>
      </w:r>
      <w:proofErr w:type="spellEnd"/>
      <w:r>
        <w:t xml:space="preserve"> are averages across multiple scenarios; s</w:t>
      </w:r>
      <w:r w:rsidRPr="00276C41">
        <w:t xml:space="preserve">ee </w:t>
      </w:r>
      <w:r>
        <w:t>Section </w:t>
      </w:r>
      <w:r w:rsidR="00CA762C">
        <w:t>3.3</w:t>
      </w:r>
      <w:r>
        <w:t xml:space="preserve"> </w:t>
      </w:r>
      <w:r w:rsidRPr="00276C41">
        <w:t>for further detail</w:t>
      </w:r>
      <w:r>
        <w:t xml:space="preserve"> on the policies from Jacobs’ modelling. Emissions intensity data are direct emissions per MWh generated. </w:t>
      </w:r>
      <w:r>
        <w:br/>
      </w:r>
      <w:r w:rsidRPr="009462A5">
        <w:rPr>
          <w:b/>
        </w:rPr>
        <w:t>Source:</w:t>
      </w:r>
      <w:r w:rsidRPr="00276C41">
        <w:t xml:space="preserve"> </w:t>
      </w:r>
      <w:r>
        <w:t xml:space="preserve">All data are calculations by the Climate Change Authority. Actual emission intensity in 2015 based on </w:t>
      </w:r>
      <w:bookmarkStart w:id="203" w:name="_CTVP001a300e98091b54570bb0c3cae6ef64ba2"/>
      <w:r>
        <w:t>DoE 2015b, pp. 9–10</w:t>
      </w:r>
      <w:bookmarkEnd w:id="203"/>
      <w:r>
        <w:t xml:space="preserve">. </w:t>
      </w:r>
      <w:proofErr w:type="gramStart"/>
      <w:r>
        <w:t xml:space="preserve">The Treasury and DICCSRTE, ACIL Allen based on the </w:t>
      </w:r>
      <w:bookmarkStart w:id="204" w:name="_CTVP00150f0323a20b04231bed43e18da55ba18"/>
      <w:r>
        <w:t>Treasury and DIICCSRTE 2013</w:t>
      </w:r>
      <w:bookmarkEnd w:id="204"/>
      <w:r>
        <w:t xml:space="preserve"> and </w:t>
      </w:r>
      <w:bookmarkStart w:id="205" w:name="_CTVP00182307a0e5d44480b898f4702b84544f7"/>
      <w:r>
        <w:t>ACIL Allen Consulting 2013</w:t>
      </w:r>
      <w:bookmarkEnd w:id="205"/>
      <w:r>
        <w:t>.</w:t>
      </w:r>
      <w:proofErr w:type="gramEnd"/>
      <w:r>
        <w:t xml:space="preserve"> Jacobs based on </w:t>
      </w:r>
      <w:bookmarkStart w:id="206" w:name="_CTVP0018a54f1b153574b9fb6503362c71835ae"/>
      <w:proofErr w:type="gramStart"/>
      <w:r>
        <w:t>Jacobs 2016</w:t>
      </w:r>
      <w:proofErr w:type="gramEnd"/>
      <w:r>
        <w:t>c</w:t>
      </w:r>
      <w:bookmarkEnd w:id="206"/>
      <w:r>
        <w:t xml:space="preserve">. </w:t>
      </w:r>
      <w:proofErr w:type="spellStart"/>
      <w:r>
        <w:t>ClimateWorks</w:t>
      </w:r>
      <w:proofErr w:type="spellEnd"/>
      <w:r>
        <w:t xml:space="preserve"> et al. based on </w:t>
      </w:r>
      <w:bookmarkStart w:id="207" w:name="_CTVP001c85021788afa4bda972cc2b8fc3f0436"/>
      <w:proofErr w:type="spellStart"/>
      <w:r>
        <w:t>ClimateWorks</w:t>
      </w:r>
      <w:proofErr w:type="spellEnd"/>
      <w:r>
        <w:t xml:space="preserve"> Australia et al. 2014</w:t>
      </w:r>
      <w:bookmarkEnd w:id="207"/>
      <w:r>
        <w:t xml:space="preserve">. </w:t>
      </w:r>
      <w:r w:rsidR="00C80B98">
        <w:t xml:space="preserve"> </w:t>
      </w:r>
    </w:p>
    <w:p w:rsidR="00C80B98" w:rsidRDefault="00C80B98" w:rsidP="00C80B98">
      <w:pPr>
        <w:pStyle w:val="BodyText"/>
      </w:pPr>
      <w:r w:rsidRPr="00547A94">
        <w:t xml:space="preserve">In </w:t>
      </w:r>
      <w:r>
        <w:t xml:space="preserve">all of </w:t>
      </w:r>
      <w:r w:rsidRPr="00547A94">
        <w:t xml:space="preserve">these studies, the emissions intensity of electricity generation is projected to fall </w:t>
      </w:r>
      <w:r>
        <w:t xml:space="preserve">rapidly, </w:t>
      </w:r>
      <w:r w:rsidRPr="00547A94">
        <w:t>from 0.81 t</w:t>
      </w:r>
      <w:r w:rsidR="00F52919">
        <w:t> </w:t>
      </w:r>
      <w:r w:rsidRPr="00547A94">
        <w:t>CO</w:t>
      </w:r>
      <w:r w:rsidRPr="00547A94">
        <w:rPr>
          <w:vertAlign w:val="subscript"/>
        </w:rPr>
        <w:t>2</w:t>
      </w:r>
      <w:r>
        <w:noBreakHyphen/>
      </w:r>
      <w:r w:rsidRPr="00547A94">
        <w:t>e/MWh in 2015</w:t>
      </w:r>
      <w:r>
        <w:t xml:space="preserve"> (Climate Change Authority based on </w:t>
      </w:r>
      <w:bookmarkStart w:id="208" w:name="_CTVP001e780fe6e262a409e9ea21dad7dcd1033"/>
      <w:r w:rsidR="0059109A">
        <w:t>DoE 2015b, pp. 9–10</w:t>
      </w:r>
      <w:bookmarkEnd w:id="208"/>
      <w:r>
        <w:t xml:space="preserve">) </w:t>
      </w:r>
      <w:r w:rsidRPr="00547A94">
        <w:t>to around 0.25</w:t>
      </w:r>
      <w:r>
        <w:rPr>
          <w:rStyle w:val="CommentReference"/>
        </w:rPr>
        <w:t> </w:t>
      </w:r>
      <w:r w:rsidRPr="005A60CC">
        <w:rPr>
          <w:rStyle w:val="CommentReference"/>
          <w:sz w:val="22"/>
          <w:szCs w:val="22"/>
        </w:rPr>
        <w:t>t</w:t>
      </w:r>
      <w:r w:rsidR="00F52919">
        <w:rPr>
          <w:rStyle w:val="CommentReference"/>
          <w:sz w:val="22"/>
          <w:szCs w:val="22"/>
        </w:rPr>
        <w:t> </w:t>
      </w:r>
      <w:r w:rsidRPr="00547A94">
        <w:t>CO</w:t>
      </w:r>
      <w:r w:rsidRPr="00547A94">
        <w:rPr>
          <w:vertAlign w:val="subscript"/>
        </w:rPr>
        <w:t>2</w:t>
      </w:r>
      <w:r w:rsidRPr="00547A94">
        <w:t>-e/MWh or lower by 2030 and below 0.1 t</w:t>
      </w:r>
      <w:r w:rsidR="00F52919">
        <w:t> </w:t>
      </w:r>
      <w:r w:rsidRPr="00547A94">
        <w:t>CO</w:t>
      </w:r>
      <w:r w:rsidRPr="00547A94">
        <w:rPr>
          <w:vertAlign w:val="subscript"/>
        </w:rPr>
        <w:t>2</w:t>
      </w:r>
      <w:r w:rsidRPr="00547A94">
        <w:t>-e/MWh by 2050</w:t>
      </w:r>
      <w:r>
        <w:t xml:space="preserve">. </w:t>
      </w:r>
      <w:r w:rsidRPr="009D7B10">
        <w:t>This broad trend is projected to hold even in the case of weaker action to reduce emissions.</w:t>
      </w:r>
      <w:r w:rsidRPr="00547A94">
        <w:t xml:space="preserve"> </w:t>
      </w:r>
      <w:r w:rsidRPr="009D7B10">
        <w:t>Scenarios consistent with limiting warming to 3 degrees project the emissions intensity of generation would fall to 0.66 t</w:t>
      </w:r>
      <w:r w:rsidR="00F52919">
        <w:t> </w:t>
      </w:r>
      <w:r w:rsidRPr="009D7B10">
        <w:t>CO</w:t>
      </w:r>
      <w:r w:rsidRPr="009D7B10">
        <w:rPr>
          <w:vertAlign w:val="subscript"/>
        </w:rPr>
        <w:t>2</w:t>
      </w:r>
      <w:r w:rsidRPr="009D7B10">
        <w:t>-e/MWh or lower by 2030, and below 0.3 t</w:t>
      </w:r>
      <w:r w:rsidR="00F52919">
        <w:t> </w:t>
      </w:r>
      <w:r w:rsidRPr="009D7B10">
        <w:t>CO</w:t>
      </w:r>
      <w:r w:rsidRPr="009D7B10">
        <w:rPr>
          <w:vertAlign w:val="subscript"/>
        </w:rPr>
        <w:t>2</w:t>
      </w:r>
      <w:r w:rsidRPr="009D7B10">
        <w:t>-e/MWh by 2050 (</w:t>
      </w:r>
      <w:bookmarkStart w:id="209" w:name="_CTVP00196275b02f5f2435e91c7ea3c880bbf12"/>
      <w:r w:rsidR="0059109A">
        <w:t>ACIL Allen Consulting 2013, p. 42</w:t>
      </w:r>
      <w:bookmarkEnd w:id="209"/>
      <w:r w:rsidRPr="009D7B10">
        <w:t xml:space="preserve">; Climate Change Authority based on </w:t>
      </w:r>
      <w:bookmarkStart w:id="210" w:name="_CTVP00169e2dce106044397a8e244020aa8cec2"/>
      <w:r w:rsidR="0059109A">
        <w:t>Jacobs 2016c</w:t>
      </w:r>
      <w:bookmarkEnd w:id="210"/>
      <w:r w:rsidRPr="009D7B10">
        <w:t>).</w:t>
      </w:r>
      <w:r w:rsidR="0094117D">
        <w:rPr>
          <w:rStyle w:val="FootnoteReference"/>
        </w:rPr>
        <w:footnoteReference w:id="4"/>
      </w:r>
    </w:p>
    <w:p w:rsidR="00B053FC" w:rsidRDefault="00B053FC" w:rsidP="00B053FC">
      <w:pPr>
        <w:pStyle w:val="BodyText"/>
      </w:pPr>
      <w:r>
        <w:t xml:space="preserve">Substantial decarbonisation of electricity supply can facilitate emissions reductions in other sectors, as electricity can displace their direct use of fossil fuels </w:t>
      </w:r>
      <w:bookmarkStart w:id="211" w:name="_CTVP0011cf02edc5639454197c5eb9435db9d92"/>
      <w:r>
        <w:t>(IEA 2014b, pp. 127–128; DDPP 2015, pp. 8–10)</w:t>
      </w:r>
      <w:bookmarkEnd w:id="211"/>
      <w:r>
        <w:t>. Recent Australian work suggests:</w:t>
      </w:r>
    </w:p>
    <w:p w:rsidR="00B053FC" w:rsidRDefault="00B053FC" w:rsidP="00B053FC">
      <w:pPr>
        <w:pStyle w:val="ListBullet"/>
      </w:pPr>
      <w:r>
        <w:t xml:space="preserve">In industry, emissions could fall 60 per cent on 2012 levels by 2050, driven by substantial electrification of industrial processes </w:t>
      </w:r>
      <w:bookmarkStart w:id="212" w:name="_CTVP00148e6b0f324b74ddb8653ba1e57512723"/>
      <w:r>
        <w:t>(</w:t>
      </w:r>
      <w:proofErr w:type="spellStart"/>
      <w:r>
        <w:t>ClimateWorks</w:t>
      </w:r>
      <w:proofErr w:type="spellEnd"/>
      <w:r>
        <w:t xml:space="preserve"> Australia &amp; ANU 2014, p. 25)</w:t>
      </w:r>
      <w:bookmarkEnd w:id="212"/>
      <w:r>
        <w:t>.</w:t>
      </w:r>
    </w:p>
    <w:p w:rsidR="00B053FC" w:rsidRDefault="00B053FC" w:rsidP="00B053FC">
      <w:pPr>
        <w:pStyle w:val="ListBullet"/>
      </w:pPr>
      <w:r>
        <w:t xml:space="preserve">Emissions from Australian buildings could be virtually eliminated by 2050 through a combination of energy efficiency and switching from gas to electricity for all heating, hot water and cooking </w:t>
      </w:r>
      <w:bookmarkStart w:id="213" w:name="_CTVP001ba464a4eb8504f8cac321205eff0dcbb"/>
      <w:r>
        <w:t>(</w:t>
      </w:r>
      <w:proofErr w:type="spellStart"/>
      <w:r>
        <w:t>ClimateWorks</w:t>
      </w:r>
      <w:proofErr w:type="spellEnd"/>
      <w:r>
        <w:t xml:space="preserve"> Australia et al. 2014, p. 120)</w:t>
      </w:r>
      <w:bookmarkEnd w:id="213"/>
      <w:r>
        <w:t>.</w:t>
      </w:r>
    </w:p>
    <w:p w:rsidR="00B053FC" w:rsidRDefault="00B053FC" w:rsidP="00B053FC">
      <w:pPr>
        <w:pStyle w:val="ListBullet"/>
      </w:pPr>
      <w:r>
        <w:lastRenderedPageBreak/>
        <w:t xml:space="preserve">Emissions from road transport, which currently accounts for the vast majority of transport emissions, could be reduced by about 70 per cent by 2050 with a substantial shift towards electric and hybrid light vehicles </w:t>
      </w:r>
      <w:bookmarkStart w:id="214" w:name="_CTVP00101e4946bc09c48a8b1fa78e71525e9f6"/>
      <w:r>
        <w:t xml:space="preserve">(CCA 2014a, p. 17; </w:t>
      </w:r>
      <w:proofErr w:type="spellStart"/>
      <w:r>
        <w:t>ClimateWorks</w:t>
      </w:r>
      <w:proofErr w:type="spellEnd"/>
      <w:r>
        <w:t xml:space="preserve"> Australia et al. 2014, p. 69)</w:t>
      </w:r>
      <w:bookmarkEnd w:id="214"/>
      <w:r>
        <w:t xml:space="preserve">. </w:t>
      </w:r>
    </w:p>
    <w:p w:rsidR="00B053FC" w:rsidRPr="009D7B10" w:rsidRDefault="00B053FC" w:rsidP="00B053FC">
      <w:pPr>
        <w:pStyle w:val="BodyText"/>
        <w:rPr>
          <w:b/>
        </w:rPr>
      </w:pPr>
      <w:r>
        <w:t xml:space="preserve">Current trends in Australia’s electricity sector are not consistent with these projected pathways </w:t>
      </w:r>
      <w:r w:rsidRPr="00D40130">
        <w:t xml:space="preserve">to deep emissions reductions. The Australian electricity generation sector is </w:t>
      </w:r>
      <w:r>
        <w:t xml:space="preserve">currently </w:t>
      </w:r>
      <w:r w:rsidRPr="00D40130">
        <w:t>dominated by emissions</w:t>
      </w:r>
      <w:r>
        <w:noBreakHyphen/>
      </w:r>
      <w:r w:rsidRPr="00D40130">
        <w:t>intensive generation: in 2013, the emissions intensity of Australia's electricity supply was</w:t>
      </w:r>
      <w:r>
        <w:t xml:space="preserve"> around</w:t>
      </w:r>
      <w:r w:rsidRPr="00D40130">
        <w:t xml:space="preserve"> </w:t>
      </w:r>
      <w:r>
        <w:t>85 </w:t>
      </w:r>
      <w:r w:rsidRPr="00D40130">
        <w:t>per</w:t>
      </w:r>
      <w:r>
        <w:t> </w:t>
      </w:r>
      <w:r w:rsidRPr="00973438">
        <w:t xml:space="preserve">cent above the OECD average and around 11 per cent above </w:t>
      </w:r>
      <w:r>
        <w:t>that of China</w:t>
      </w:r>
      <w:r w:rsidRPr="00973438">
        <w:t xml:space="preserve"> (Climate Change Authority based on </w:t>
      </w:r>
      <w:bookmarkStart w:id="215" w:name="_CTVP0010656ed9437324b45954c99aee655a78d"/>
      <w:r>
        <w:t>IEA 2015a, pp. 66–68,102–04</w:t>
      </w:r>
      <w:bookmarkEnd w:id="215"/>
      <w:r w:rsidRPr="00973438">
        <w:t xml:space="preserve"> and </w:t>
      </w:r>
      <w:bookmarkStart w:id="216" w:name="_CTVP001f37ca0fcdc094bc780bcc729f5bd4eeb"/>
      <w:r>
        <w:t>IEA 2014a</w:t>
      </w:r>
      <w:bookmarkEnd w:id="216"/>
      <w:r>
        <w:t>)</w:t>
      </w:r>
      <w:r w:rsidRPr="00D40130">
        <w:t>.</w:t>
      </w:r>
      <w:r>
        <w:t xml:space="preserve"> Electricity emissions are projected to remain flat to 2020 </w:t>
      </w:r>
      <w:bookmarkStart w:id="217" w:name="_CTVP001d5f8c38205674da38528ea5f599e6acb"/>
      <w:r>
        <w:t>(DoE 2015b, p. 9)</w:t>
      </w:r>
      <w:bookmarkEnd w:id="217"/>
      <w:r w:rsidRPr="003D6AD6">
        <w:t>, with the emissions intensity of generation decli</w:t>
      </w:r>
      <w:r>
        <w:t>ning by 10 per cent over 2015 to 20</w:t>
      </w:r>
      <w:r w:rsidRPr="003D6AD6">
        <w:t xml:space="preserve">20 (Climate Change Authority based on </w:t>
      </w:r>
      <w:bookmarkStart w:id="218" w:name="_CTVP00199beba184e3a4f0a9bca56fac34fa3d7"/>
      <w:r>
        <w:t>DoE 2015b, pp. 9–10</w:t>
      </w:r>
      <w:bookmarkEnd w:id="218"/>
      <w:r>
        <w:t>).</w:t>
      </w:r>
    </w:p>
    <w:p w:rsidR="00426FD6" w:rsidRDefault="00426FD6" w:rsidP="00426FD6">
      <w:pPr>
        <w:pStyle w:val="ChapterHeading2"/>
        <w:numPr>
          <w:ilvl w:val="1"/>
          <w:numId w:val="15"/>
        </w:numPr>
        <w:tabs>
          <w:tab w:val="left" w:pos="720"/>
        </w:tabs>
      </w:pPr>
      <w:bookmarkStart w:id="219" w:name="_Toc444610036"/>
      <w:bookmarkStart w:id="220" w:name="_Toc447099897"/>
      <w:bookmarkStart w:id="221" w:name="_Ref447101112"/>
      <w:bookmarkStart w:id="222" w:name="_Toc448132685"/>
      <w:bookmarkStart w:id="223" w:name="_Toc448151745"/>
      <w:bookmarkStart w:id="224" w:name="_Toc448151813"/>
      <w:bookmarkStart w:id="225" w:name="_Toc460317983"/>
      <w:bookmarkEnd w:id="196"/>
      <w:r>
        <w:t>Opportunities for reducing electricity emissions</w:t>
      </w:r>
      <w:bookmarkEnd w:id="219"/>
      <w:bookmarkEnd w:id="220"/>
      <w:bookmarkEnd w:id="221"/>
      <w:bookmarkEnd w:id="222"/>
      <w:bookmarkEnd w:id="223"/>
      <w:bookmarkEnd w:id="224"/>
      <w:bookmarkEnd w:id="225"/>
      <w:r>
        <w:t xml:space="preserve"> </w:t>
      </w:r>
    </w:p>
    <w:p w:rsidR="00750E1E" w:rsidRDefault="00C07FB2" w:rsidP="00750E1E">
      <w:pPr>
        <w:pStyle w:val="ListBullet3"/>
        <w:numPr>
          <w:ilvl w:val="0"/>
          <w:numId w:val="0"/>
        </w:numPr>
        <w:rPr>
          <w:rFonts w:eastAsiaTheme="minorHAnsi" w:cstheme="minorBidi"/>
          <w:sz w:val="21"/>
          <w:szCs w:val="22"/>
          <w:lang w:eastAsia="en-US"/>
        </w:rPr>
      </w:pPr>
      <w:r>
        <w:rPr>
          <w:rFonts w:eastAsiaTheme="minorHAnsi" w:cstheme="minorBidi"/>
          <w:sz w:val="21"/>
          <w:szCs w:val="22"/>
          <w:lang w:eastAsia="en-US"/>
        </w:rPr>
        <w:t>Significant reductions</w:t>
      </w:r>
      <w:r w:rsidR="00750E1E">
        <w:rPr>
          <w:rFonts w:eastAsiaTheme="minorHAnsi" w:cstheme="minorBidi"/>
          <w:sz w:val="21"/>
          <w:szCs w:val="22"/>
          <w:lang w:eastAsia="en-US"/>
        </w:rPr>
        <w:t xml:space="preserve"> in electricity sector emissions are technically feasible with currently known technologies. Five broad ‘levers’ to reduce emissions are available: </w:t>
      </w:r>
    </w:p>
    <w:p w:rsidR="00750E1E" w:rsidRDefault="00750E1E" w:rsidP="00750E1E">
      <w:pPr>
        <w:pStyle w:val="ListBullet"/>
      </w:pPr>
      <w:r>
        <w:t>‘Fuel switching’ across existing plant, for example generating more electricity from existing lower emission</w:t>
      </w:r>
      <w:r w:rsidR="000A1B30">
        <w:t>s</w:t>
      </w:r>
      <w:r>
        <w:t xml:space="preserve"> gas-fired plant and less from coal-fired plant.</w:t>
      </w:r>
    </w:p>
    <w:p w:rsidR="00750E1E" w:rsidRDefault="00750E1E" w:rsidP="00750E1E">
      <w:pPr>
        <w:pStyle w:val="ListBullet"/>
      </w:pPr>
      <w:r>
        <w:t>Improving the efficiency of existing plant, ranging from operational practices such as reducing coal moisture, through to equipment refurbishment or major plant upgrades.</w:t>
      </w:r>
    </w:p>
    <w:p w:rsidR="00750E1E" w:rsidRDefault="00750E1E" w:rsidP="00750E1E">
      <w:pPr>
        <w:pStyle w:val="ListBullet"/>
      </w:pPr>
      <w:r>
        <w:t>Retiring higher</w:t>
      </w:r>
      <w:r w:rsidR="0086023B">
        <w:noBreakHyphen/>
      </w:r>
      <w:r>
        <w:t>emission</w:t>
      </w:r>
      <w:r w:rsidR="00735B56">
        <w:t>s</w:t>
      </w:r>
      <w:r>
        <w:t xml:space="preserve"> plant, such as brown and black coal-fired generators.</w:t>
      </w:r>
    </w:p>
    <w:p w:rsidR="00750E1E" w:rsidRDefault="00750E1E" w:rsidP="00750E1E">
      <w:pPr>
        <w:pStyle w:val="ListBullet"/>
      </w:pPr>
      <w:r>
        <w:t>Building new zero- or low-emissions plant, such as renewable energy, or combined-cycle gas with or without CCS.</w:t>
      </w:r>
    </w:p>
    <w:p w:rsidR="00750E1E" w:rsidRDefault="00750E1E" w:rsidP="00750E1E">
      <w:pPr>
        <w:pStyle w:val="ListBullet"/>
      </w:pPr>
      <w:r>
        <w:t>Reducing electricity demand, such as through energy efficiency.</w:t>
      </w:r>
    </w:p>
    <w:p w:rsidR="00750E1E" w:rsidRDefault="00750E1E" w:rsidP="00750E1E">
      <w:pPr>
        <w:pStyle w:val="ListBullet"/>
        <w:numPr>
          <w:ilvl w:val="0"/>
          <w:numId w:val="0"/>
        </w:numPr>
        <w:tabs>
          <w:tab w:val="left" w:pos="720"/>
        </w:tabs>
      </w:pPr>
      <w:r>
        <w:t>The first four of these opportunities come from changes in e</w:t>
      </w:r>
      <w:r w:rsidR="00BD7E95">
        <w:t>lectricity</w:t>
      </w:r>
      <w:r>
        <w:t xml:space="preserve"> supply—the focus of this </w:t>
      </w:r>
      <w:r w:rsidR="00AD11F0">
        <w:t>report</w:t>
      </w:r>
      <w:r>
        <w:t xml:space="preserve">. </w:t>
      </w:r>
      <w:r w:rsidR="00735B56">
        <w:t xml:space="preserve">Since </w:t>
      </w:r>
      <w:r>
        <w:t xml:space="preserve">the cost of supply-side policies can increase retail electricity prices, they can also deliver ‘demand-side’ emissions reductions </w:t>
      </w:r>
      <w:r w:rsidRPr="00BF1D2C">
        <w:t>(</w:t>
      </w:r>
      <w:r w:rsidR="00CA762C">
        <w:t>Box 6</w:t>
      </w:r>
      <w:r w:rsidR="00912824">
        <w:t xml:space="preserve"> </w:t>
      </w:r>
      <w:r>
        <w:t>in</w:t>
      </w:r>
      <w:r w:rsidR="00BB0D22">
        <w:t xml:space="preserve"> </w:t>
      </w:r>
      <w:r w:rsidR="00CA762C">
        <w:t>Chapter 4</w:t>
      </w:r>
      <w:r w:rsidRPr="00BF1D2C">
        <w:t>)</w:t>
      </w:r>
      <w:r>
        <w:t xml:space="preserve"> as consumers respond by reducing electricity use, for example through</w:t>
      </w:r>
      <w:r w:rsidRPr="00BF1D2C">
        <w:t xml:space="preserve"> greater use of efficient appliances and building fittings</w:t>
      </w:r>
      <w:r>
        <w:t>.</w:t>
      </w:r>
      <w:r w:rsidRPr="00BF1D2C">
        <w:t xml:space="preserve"> More broadly, improving energy efficiency can often provide substantial low cost, and sometimes</w:t>
      </w:r>
      <w:r>
        <w:t xml:space="preserve"> financially beneficial, ways of reducing Australia's emissions (see for example </w:t>
      </w:r>
      <w:bookmarkStart w:id="226" w:name="_CTVP0011437d469d3234369aae80203c5576a8a"/>
      <w:r w:rsidR="0059109A">
        <w:t>CCA 2015b, p. 26</w:t>
      </w:r>
      <w:bookmarkEnd w:id="226"/>
      <w:r>
        <w:t xml:space="preserve">). The Authority </w:t>
      </w:r>
      <w:r w:rsidR="00D51A85">
        <w:t xml:space="preserve">has </w:t>
      </w:r>
      <w:r>
        <w:t>consider</w:t>
      </w:r>
      <w:r w:rsidR="00D51A85">
        <w:t>ed</w:t>
      </w:r>
      <w:r>
        <w:t xml:space="preserve"> energy efficiency policies in Report Three of its Special Review. </w:t>
      </w:r>
    </w:p>
    <w:p w:rsidR="00750E1E" w:rsidRDefault="00750E1E" w:rsidP="00750E1E">
      <w:pPr>
        <w:pStyle w:val="BodyText"/>
      </w:pPr>
      <w:r>
        <w:t>The size of the emission</w:t>
      </w:r>
      <w:r w:rsidR="009E0E8F">
        <w:t>s reductions of the four supply</w:t>
      </w:r>
      <w:r w:rsidR="009E0E8F">
        <w:noBreakHyphen/>
      </w:r>
      <w:r>
        <w:t>side opportunities varies, which has implications for policy design. In Australia, the potential for emissions reductions from improving efficiency in existing fossil</w:t>
      </w:r>
      <w:r>
        <w:noBreakHyphen/>
        <w:t xml:space="preserve">fuelled plants </w:t>
      </w:r>
      <w:r w:rsidR="000A1B30">
        <w:t>is</w:t>
      </w:r>
      <w:r>
        <w:t xml:space="preserve"> relatively small </w:t>
      </w:r>
      <w:bookmarkStart w:id="227" w:name="_CTVP001537c3d9c25de4f298c0cc32c50aba4dd"/>
      <w:r w:rsidR="0059109A">
        <w:t>(</w:t>
      </w:r>
      <w:proofErr w:type="spellStart"/>
      <w:r w:rsidR="0059109A">
        <w:t>ClimateWorks</w:t>
      </w:r>
      <w:proofErr w:type="spellEnd"/>
      <w:r w:rsidR="0059109A">
        <w:t xml:space="preserve"> Australia 2011, p. 3; </w:t>
      </w:r>
      <w:proofErr w:type="spellStart"/>
      <w:r w:rsidR="0059109A">
        <w:t>RepuTex</w:t>
      </w:r>
      <w:proofErr w:type="spellEnd"/>
      <w:r w:rsidR="0059109A">
        <w:t> 2015)</w:t>
      </w:r>
      <w:bookmarkEnd w:id="227"/>
      <w:r>
        <w:t>. Fuel</w:t>
      </w:r>
      <w:r>
        <w:noBreakHyphen/>
        <w:t xml:space="preserve">switching is more important for reducing emissions from the existing generation fleet, but influencing retirements and the emissions intensity of new plant are most important for substantial reductions </w:t>
      </w:r>
      <w:r w:rsidRPr="009D1289">
        <w:t>over the longer term</w:t>
      </w:r>
      <w:r w:rsidR="00937279">
        <w:t xml:space="preserve"> (</w:t>
      </w:r>
      <w:r>
        <w:t>see for example:</w:t>
      </w:r>
      <w:r w:rsidR="00117E8B">
        <w:t xml:space="preserve"> </w:t>
      </w:r>
      <w:bookmarkStart w:id="228" w:name="_CTVP001d8dc429aa8d844fa8b73d3d2ceda71fa"/>
      <w:r w:rsidR="0045376D">
        <w:t xml:space="preserve">CCA 2014c; </w:t>
      </w:r>
      <w:proofErr w:type="spellStart"/>
      <w:r w:rsidR="0045376D">
        <w:t>ClimateWorks</w:t>
      </w:r>
      <w:proofErr w:type="spellEnd"/>
      <w:r w:rsidR="0045376D">
        <w:t xml:space="preserve"> Australia et al. 2014; Jacobs 2016c</w:t>
      </w:r>
      <w:bookmarkEnd w:id="228"/>
      <w:r w:rsidR="00937279">
        <w:t>)</w:t>
      </w:r>
      <w:r>
        <w:t>. In submissions to Report Two, a</w:t>
      </w:r>
      <w:r w:rsidRPr="00BF1D2C">
        <w:t xml:space="preserve"> broad range of organisations highlighted the importance</w:t>
      </w:r>
      <w:r w:rsidR="00937279">
        <w:t xml:space="preserve"> of progressively retiring high</w:t>
      </w:r>
      <w:r w:rsidR="00937279">
        <w:noBreakHyphen/>
      </w:r>
      <w:r w:rsidRPr="00BF1D2C">
        <w:t>emissions plant and/or building new renewable (or near-zero</w:t>
      </w:r>
      <w:r w:rsidR="000A1B30">
        <w:t xml:space="preserve"> emissions</w:t>
      </w:r>
      <w:r w:rsidRPr="00BF1D2C">
        <w:t>) generation.</w:t>
      </w:r>
      <w:r>
        <w:t xml:space="preserve"> </w:t>
      </w:r>
    </w:p>
    <w:p w:rsidR="00750E1E" w:rsidRDefault="00750E1E" w:rsidP="00750E1E">
      <w:pPr>
        <w:pStyle w:val="BodyText"/>
      </w:pPr>
      <w:r>
        <w:t>The importance of these two levers—retiring higher emission plant and buildi</w:t>
      </w:r>
      <w:r w:rsidR="00BD7E95">
        <w:t>ng new zero- or low</w:t>
      </w:r>
      <w:r w:rsidR="00BD7E95">
        <w:noBreakHyphen/>
      </w:r>
      <w:r>
        <w:t>emission</w:t>
      </w:r>
      <w:r w:rsidR="000A1B30">
        <w:t>s</w:t>
      </w:r>
      <w:r>
        <w:t xml:space="preserve"> plant—means</w:t>
      </w:r>
      <w:r w:rsidRPr="009D1289">
        <w:t xml:space="preserve"> that choices about which long-lived assets to invest in </w:t>
      </w:r>
      <w:r>
        <w:t xml:space="preserve">and retire </w:t>
      </w:r>
      <w:r w:rsidRPr="009D1289">
        <w:t>are the most important for emissions reductions. This in turn means that investors' beliefs about the longevity and stability of climate policy are ve</w:t>
      </w:r>
      <w:r w:rsidR="002D58CD">
        <w:t>ry important for achieving cost</w:t>
      </w:r>
      <w:r w:rsidR="002D58CD">
        <w:noBreakHyphen/>
      </w:r>
      <w:r w:rsidRPr="009D1289">
        <w:t>effective emissions reductions</w:t>
      </w:r>
      <w:r>
        <w:t>. As noted by AGL Energy:</w:t>
      </w:r>
    </w:p>
    <w:p w:rsidR="00330365" w:rsidRPr="00177346" w:rsidRDefault="00750E1E" w:rsidP="00750E1E">
      <w:pPr>
        <w:pStyle w:val="BodyText"/>
        <w:ind w:left="720"/>
      </w:pPr>
      <w:r w:rsidRPr="00547A94">
        <w:rPr>
          <w:rStyle w:val="QuoteChar"/>
        </w:rPr>
        <w:lastRenderedPageBreak/>
        <w:t>For the electricity generation sector, with long investment horizons and large upfront capital costs, well telegraphed and consistent policy that provides reasonable insight into the investment environment over the medium term is a pre requisite to minimise the impact of emission reductions on energy consumers.</w:t>
      </w:r>
      <w:r>
        <w:rPr>
          <w:i/>
          <w:sz w:val="20"/>
          <w:szCs w:val="20"/>
        </w:rPr>
        <w:t xml:space="preserve"> </w:t>
      </w:r>
      <w:r w:rsidRPr="00547A94">
        <w:t xml:space="preserve">(Report Two submission, </w:t>
      </w:r>
      <w:r w:rsidRPr="00934CBE">
        <w:t>p.</w:t>
      </w:r>
      <w:r>
        <w:t>2</w:t>
      </w:r>
      <w:r w:rsidRPr="00547A94">
        <w:t>)</w:t>
      </w:r>
    </w:p>
    <w:p w:rsidR="00175963" w:rsidRDefault="00175963" w:rsidP="009818D9">
      <w:pPr>
        <w:pStyle w:val="ChapterHeading2"/>
        <w:numPr>
          <w:ilvl w:val="1"/>
          <w:numId w:val="15"/>
        </w:numPr>
        <w:tabs>
          <w:tab w:val="left" w:pos="720"/>
        </w:tabs>
      </w:pPr>
      <w:bookmarkStart w:id="229" w:name="_Toc444610038"/>
      <w:bookmarkStart w:id="230" w:name="_Toc447182433"/>
      <w:bookmarkStart w:id="231" w:name="_Toc447183278"/>
      <w:bookmarkStart w:id="232" w:name="_Toc447183352"/>
      <w:bookmarkStart w:id="233" w:name="_Toc447183390"/>
      <w:bookmarkStart w:id="234" w:name="_Toc447183478"/>
      <w:bookmarkStart w:id="235" w:name="_Toc447183537"/>
      <w:bookmarkStart w:id="236" w:name="_Toc448132686"/>
      <w:bookmarkStart w:id="237" w:name="_Toc448151746"/>
      <w:bookmarkStart w:id="238" w:name="_Toc448151814"/>
      <w:bookmarkStart w:id="239" w:name="_Toc460317984"/>
      <w:bookmarkStart w:id="240" w:name="_Ref445994559"/>
      <w:bookmarkEnd w:id="118"/>
      <w:bookmarkEnd w:id="119"/>
      <w:r>
        <w:t xml:space="preserve">Electricity markets: </w:t>
      </w:r>
      <w:r w:rsidR="006973FB">
        <w:t xml:space="preserve">key </w:t>
      </w:r>
      <w:r>
        <w:t>background</w:t>
      </w:r>
      <w:bookmarkEnd w:id="229"/>
      <w:bookmarkEnd w:id="230"/>
      <w:bookmarkEnd w:id="231"/>
      <w:bookmarkEnd w:id="232"/>
      <w:bookmarkEnd w:id="233"/>
      <w:bookmarkEnd w:id="234"/>
      <w:bookmarkEnd w:id="235"/>
      <w:bookmarkEnd w:id="236"/>
      <w:bookmarkEnd w:id="237"/>
      <w:bookmarkEnd w:id="238"/>
      <w:bookmarkEnd w:id="239"/>
      <w:r>
        <w:t xml:space="preserve"> </w:t>
      </w:r>
      <w:bookmarkEnd w:id="240"/>
    </w:p>
    <w:p w:rsidR="00175963" w:rsidRDefault="00175963" w:rsidP="00175963">
      <w:pPr>
        <w:pStyle w:val="BodyText"/>
      </w:pPr>
      <w:r>
        <w:t xml:space="preserve">The rest of this chapter is a short ‘primer’ on the electricity sector. It covers some important </w:t>
      </w:r>
      <w:r>
        <w:rPr>
          <w:lang w:val="en-GB" w:eastAsia="en-AU"/>
        </w:rPr>
        <w:t>market issues that affect how climate policies work in the sector, including definitions for some important electricity terms (</w:t>
      </w:r>
      <w:r w:rsidR="00CA762C">
        <w:rPr>
          <w:lang w:val="en-GB" w:eastAsia="en-AU"/>
        </w:rPr>
        <w:t>Box 3</w:t>
      </w:r>
      <w:r>
        <w:rPr>
          <w:lang w:val="en-GB" w:eastAsia="en-AU"/>
        </w:rPr>
        <w:t xml:space="preserve">). </w:t>
      </w:r>
      <w:r>
        <w:t>Readers familiar with the Australian electricity sector may wish to skip the section.</w:t>
      </w:r>
    </w:p>
    <w:p w:rsidR="00175963" w:rsidRDefault="00175963" w:rsidP="009818D9">
      <w:pPr>
        <w:pStyle w:val="ChapterHeading3"/>
        <w:numPr>
          <w:ilvl w:val="2"/>
          <w:numId w:val="15"/>
        </w:numPr>
      </w:pPr>
      <w:bookmarkStart w:id="241" w:name="_Toc444610039"/>
      <w:bookmarkStart w:id="242" w:name="_Toc447182434"/>
      <w:bookmarkStart w:id="243" w:name="_Toc447183279"/>
      <w:bookmarkStart w:id="244" w:name="_Toc447183353"/>
      <w:bookmarkStart w:id="245" w:name="_Toc447183391"/>
      <w:bookmarkStart w:id="246" w:name="_Toc447183479"/>
      <w:bookmarkStart w:id="247" w:name="_Toc447183538"/>
      <w:bookmarkStart w:id="248" w:name="_Toc448132687"/>
      <w:bookmarkStart w:id="249" w:name="_Toc448151747"/>
      <w:bookmarkStart w:id="250" w:name="_Toc448151815"/>
      <w:bookmarkStart w:id="251" w:name="_Toc460317985"/>
      <w:r>
        <w:t>Market structure and wholesale markets</w:t>
      </w:r>
      <w:bookmarkEnd w:id="241"/>
      <w:bookmarkEnd w:id="242"/>
      <w:bookmarkEnd w:id="243"/>
      <w:bookmarkEnd w:id="244"/>
      <w:bookmarkEnd w:id="245"/>
      <w:bookmarkEnd w:id="246"/>
      <w:bookmarkEnd w:id="247"/>
      <w:bookmarkEnd w:id="248"/>
      <w:bookmarkEnd w:id="249"/>
      <w:bookmarkEnd w:id="250"/>
      <w:bookmarkEnd w:id="251"/>
    </w:p>
    <w:p w:rsidR="00831714" w:rsidRPr="0097676F" w:rsidRDefault="00175963" w:rsidP="004F37E6">
      <w:pPr>
        <w:pStyle w:val="BodyText"/>
      </w:pPr>
      <w:r w:rsidRPr="0097676F">
        <w:t>The National Electricity Market (NEM) and Western Australia’s South</w:t>
      </w:r>
      <w:r w:rsidRPr="0097676F">
        <w:noBreakHyphen/>
        <w:t xml:space="preserve">West Interconnected System (SWIS) are the largest electricity markets in Australia covering about </w:t>
      </w:r>
      <w:r w:rsidR="00D0096F" w:rsidRPr="0097676F">
        <w:t>86 per cent and eight</w:t>
      </w:r>
      <w:r w:rsidRPr="0097676F">
        <w:t xml:space="preserve"> per cent of Australian </w:t>
      </w:r>
      <w:r w:rsidR="00AE3428" w:rsidRPr="0097676F">
        <w:t>demand</w:t>
      </w:r>
      <w:r w:rsidR="00D0096F" w:rsidRPr="0097676F">
        <w:t xml:space="preserve">, respectively </w:t>
      </w:r>
      <w:bookmarkStart w:id="252" w:name="_CTVP001a85af764bab646cb8f4afe13bd26afb2"/>
      <w:r w:rsidR="0059109A">
        <w:t>(AECOM 2013, p. 4)</w:t>
      </w:r>
      <w:bookmarkEnd w:id="252"/>
      <w:r w:rsidRPr="0097676F">
        <w:t xml:space="preserve">. The NEM stretches along the east coast of Australia, servicing large portions of Queensland, New South Wales, Victoria, South Australia, Tasmania and the Australian Capital Territory while the SWIS covers </w:t>
      </w:r>
      <w:r w:rsidR="005307F9" w:rsidRPr="0097676F">
        <w:t>s</w:t>
      </w:r>
      <w:r w:rsidRPr="0097676F">
        <w:t>outh-</w:t>
      </w:r>
      <w:r w:rsidR="005307F9" w:rsidRPr="0097676F">
        <w:t>w</w:t>
      </w:r>
      <w:r w:rsidRPr="0097676F">
        <w:t xml:space="preserve">est Western Australia. </w:t>
      </w:r>
    </w:p>
    <w:p w:rsidR="00782052" w:rsidRDefault="00782052" w:rsidP="00782052">
      <w:pPr>
        <w:pStyle w:val="BodyText"/>
        <w:rPr>
          <w:color w:val="auto"/>
          <w:lang w:val="en-GB" w:eastAsia="en-AU"/>
        </w:rPr>
      </w:pPr>
      <w:r>
        <w:rPr>
          <w:lang w:val="en-GB" w:eastAsia="en-AU"/>
        </w:rPr>
        <w:t>Outside the NEM and SWIS, generation occurs in smaller networks including Western Australia’s North</w:t>
      </w:r>
      <w:r>
        <w:rPr>
          <w:lang w:val="en-GB" w:eastAsia="en-AU"/>
        </w:rPr>
        <w:noBreakHyphen/>
        <w:t>West Interconnected System and the Darwin</w:t>
      </w:r>
      <w:r>
        <w:rPr>
          <w:lang w:val="en-GB" w:eastAsia="en-AU"/>
        </w:rPr>
        <w:noBreakHyphen/>
        <w:t>Katherine Interconnected System, as well as other small, micro and off</w:t>
      </w:r>
      <w:r>
        <w:rPr>
          <w:lang w:val="en-GB" w:eastAsia="en-AU"/>
        </w:rPr>
        <w:noBreakHyphen/>
        <w:t xml:space="preserve">grid </w:t>
      </w:r>
      <w:r w:rsidR="002E518A">
        <w:rPr>
          <w:lang w:val="en-GB" w:eastAsia="en-AU"/>
        </w:rPr>
        <w:t>arrangements</w:t>
      </w:r>
      <w:r>
        <w:rPr>
          <w:lang w:val="en-GB" w:eastAsia="en-AU"/>
        </w:rPr>
        <w:t xml:space="preserve"> mainly in Western Australia, the Northern Territory and Queensland. </w:t>
      </w:r>
      <w:r w:rsidR="00FF530D">
        <w:rPr>
          <w:lang w:val="en-GB" w:eastAsia="en-AU"/>
        </w:rPr>
        <w:t xml:space="preserve">In both the NEM and </w:t>
      </w:r>
      <w:r w:rsidR="00FF530D">
        <w:rPr>
          <w:lang w:val="en-GB"/>
        </w:rPr>
        <w:t>Western Australia’s Wholesale Electricity Market</w:t>
      </w:r>
      <w:r w:rsidR="000A1B30">
        <w:rPr>
          <w:lang w:val="en-GB"/>
        </w:rPr>
        <w:t xml:space="preserve"> (WEM, </w:t>
      </w:r>
      <w:r w:rsidR="00FF530D">
        <w:rPr>
          <w:lang w:val="en-GB"/>
        </w:rPr>
        <w:t>the wholesale market supplying the SWIS)</w:t>
      </w:r>
      <w:r w:rsidR="00FF530D">
        <w:rPr>
          <w:lang w:val="en-GB" w:eastAsia="en-AU"/>
        </w:rPr>
        <w:t xml:space="preserve"> generators compete to sell electricity. </w:t>
      </w:r>
      <w:r>
        <w:rPr>
          <w:lang w:val="en-GB"/>
        </w:rPr>
        <w:t>There are differences between the operation of the NEM and</w:t>
      </w:r>
      <w:r w:rsidR="00FF530D">
        <w:rPr>
          <w:lang w:val="en-GB"/>
        </w:rPr>
        <w:t xml:space="preserve"> the WEM</w:t>
      </w:r>
      <w:r>
        <w:rPr>
          <w:lang w:val="en-GB"/>
        </w:rPr>
        <w:t>. T</w:t>
      </w:r>
      <w:r w:rsidRPr="0041635A">
        <w:rPr>
          <w:lang w:val="en-GB"/>
        </w:rPr>
        <w:t xml:space="preserve">he </w:t>
      </w:r>
      <w:r>
        <w:rPr>
          <w:lang w:val="en-GB"/>
        </w:rPr>
        <w:t xml:space="preserve">major difference is the </w:t>
      </w:r>
      <w:r w:rsidRPr="0041635A">
        <w:rPr>
          <w:lang w:val="en-GB"/>
        </w:rPr>
        <w:t>NEM</w:t>
      </w:r>
      <w:r>
        <w:rPr>
          <w:lang w:val="en-GB"/>
        </w:rPr>
        <w:t xml:space="preserve"> is an ‘energy</w:t>
      </w:r>
      <w:r>
        <w:rPr>
          <w:lang w:val="en-GB"/>
        </w:rPr>
        <w:noBreakHyphen/>
        <w:t>only market’ where generators rely on the wholesale electricity price and contracts based on wholesale prices as their primary source of income. The WEM operates as an ‘energy and capacity market’—generators can receive income from both the electricity price and the capacity they make available.</w:t>
      </w:r>
    </w:p>
    <w:p w:rsidR="00175963" w:rsidRDefault="00CA762C" w:rsidP="00175963">
      <w:pPr>
        <w:pStyle w:val="BodyText"/>
        <w:rPr>
          <w:lang w:val="en-GB" w:eastAsia="en-AU"/>
        </w:rPr>
      </w:pPr>
      <w:r>
        <w:t xml:space="preserve">Figure </w:t>
      </w:r>
      <w:r>
        <w:rPr>
          <w:noProof/>
        </w:rPr>
        <w:t>6</w:t>
      </w:r>
      <w:r w:rsidR="00175963">
        <w:rPr>
          <w:lang w:val="en-GB" w:eastAsia="en-AU"/>
        </w:rPr>
        <w:t xml:space="preserve"> illustrates the physical electricity system and its supporting markets. Large-scale generators such as coal-fired power plants or wind farms create electricity, which is transported through networks to consumers. These networks (the ‘poles and wires’) have two parts: high</w:t>
      </w:r>
      <w:r w:rsidR="00175963">
        <w:rPr>
          <w:lang w:val="en-GB" w:eastAsia="en-AU"/>
        </w:rPr>
        <w:noBreakHyphen/>
        <w:t>voltage, long</w:t>
      </w:r>
      <w:r w:rsidR="00175963">
        <w:rPr>
          <w:lang w:val="en-GB" w:eastAsia="en-AU"/>
        </w:rPr>
        <w:noBreakHyphen/>
        <w:t>distance transmission lines and a lower voltage distribution network. Electricity retailers purchase electricity on behalf of consumers</w:t>
      </w:r>
      <w:r w:rsidR="00992C15">
        <w:rPr>
          <w:lang w:val="en-GB" w:eastAsia="en-AU"/>
        </w:rPr>
        <w:t>.</w:t>
      </w:r>
      <w:r w:rsidR="00175963">
        <w:rPr>
          <w:lang w:val="en-GB" w:eastAsia="en-AU"/>
        </w:rPr>
        <w:t xml:space="preserve"> Some consumers—including around 14 per cent of households</w:t>
      </w:r>
      <w:r w:rsidR="00175963" w:rsidRPr="007C1C0F">
        <w:rPr>
          <w:lang w:val="en-GB" w:eastAsia="en-AU"/>
        </w:rPr>
        <w:t xml:space="preserve"> </w:t>
      </w:r>
      <w:r w:rsidR="00175963">
        <w:rPr>
          <w:lang w:val="en-GB" w:eastAsia="en-AU"/>
        </w:rPr>
        <w:t>in 2014—</w:t>
      </w:r>
      <w:r w:rsidR="00B87FA3">
        <w:rPr>
          <w:lang w:val="en-GB" w:eastAsia="en-AU"/>
        </w:rPr>
        <w:t xml:space="preserve">generate </w:t>
      </w:r>
      <w:r w:rsidR="0031137B">
        <w:rPr>
          <w:lang w:val="en-GB" w:eastAsia="en-AU"/>
        </w:rPr>
        <w:t xml:space="preserve">some of </w:t>
      </w:r>
      <w:r w:rsidR="00B87FA3">
        <w:rPr>
          <w:lang w:val="en-GB" w:eastAsia="en-AU"/>
        </w:rPr>
        <w:t>their own electricity</w:t>
      </w:r>
      <w:r w:rsidR="00175963">
        <w:rPr>
          <w:lang w:val="en-GB" w:eastAsia="en-AU"/>
        </w:rPr>
        <w:t xml:space="preserve"> from rooftop solar PV</w:t>
      </w:r>
      <w:r w:rsidR="00B87FA3">
        <w:rPr>
          <w:lang w:val="en-GB" w:eastAsia="en-AU"/>
        </w:rPr>
        <w:t xml:space="preserve"> </w:t>
      </w:r>
      <w:bookmarkStart w:id="253" w:name="_CTVP001bc807356aa5948d790178c34c1e30db9"/>
      <w:r w:rsidR="0059109A">
        <w:rPr>
          <w:lang w:val="en-GB" w:eastAsia="en-AU"/>
        </w:rPr>
        <w:t>(ABS 2014)</w:t>
      </w:r>
      <w:bookmarkEnd w:id="253"/>
      <w:r w:rsidR="00175963">
        <w:rPr>
          <w:lang w:val="en-GB" w:eastAsia="en-AU"/>
        </w:rPr>
        <w:t>.</w:t>
      </w:r>
    </w:p>
    <w:p w:rsidR="00175963" w:rsidRDefault="00175963" w:rsidP="00175963">
      <w:pPr>
        <w:pStyle w:val="Caption"/>
      </w:pPr>
      <w:bookmarkStart w:id="254" w:name="_Ref443036959"/>
      <w:bookmarkStart w:id="255" w:name="_Toc460318037"/>
      <w:r>
        <w:t xml:space="preserve">Figure </w:t>
      </w:r>
      <w:r w:rsidR="00CA762C">
        <w:rPr>
          <w:noProof/>
        </w:rPr>
        <w:t>6</w:t>
      </w:r>
      <w:bookmarkEnd w:id="254"/>
      <w:r w:rsidR="00A6425D">
        <w:tab/>
      </w:r>
      <w:r>
        <w:t>Australia’s electricity system</w:t>
      </w:r>
      <w:bookmarkEnd w:id="255"/>
    </w:p>
    <w:p w:rsidR="00175963" w:rsidRPr="00BA3F81" w:rsidRDefault="00175963" w:rsidP="00CE47F4">
      <w:pPr>
        <w:pStyle w:val="TableNote"/>
        <w:rPr>
          <w:lang w:val="en-GB" w:eastAsia="en-AU"/>
        </w:rPr>
      </w:pPr>
      <w:r>
        <w:rPr>
          <w:rFonts w:eastAsiaTheme="minorEastAsia"/>
          <w:noProof/>
          <w:sz w:val="20"/>
          <w:lang w:eastAsia="en-AU"/>
        </w:rPr>
        <w:drawing>
          <wp:inline distT="0" distB="0" distL="0" distR="0" wp14:anchorId="40B215AC" wp14:editId="0AF63809">
            <wp:extent cx="6120765" cy="1606084"/>
            <wp:effectExtent l="0" t="0" r="0" b="0"/>
            <wp:docPr id="40" name="Picture 40" descr="G:\Reviews\ETS Review\2. Publications\Electricity publications\Consultation paper\Charts\160321 Figure 3 The electricity supply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iews\ETS Review\2. Publications\Electricity publications\Consultation paper\Charts\160321 Figure 3 The electricity supply cha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1606084"/>
                    </a:xfrm>
                    <a:prstGeom prst="rect">
                      <a:avLst/>
                    </a:prstGeom>
                    <a:noFill/>
                    <a:ln>
                      <a:noFill/>
                    </a:ln>
                  </pic:spPr>
                </pic:pic>
              </a:graphicData>
            </a:graphic>
          </wp:inline>
        </w:drawing>
      </w:r>
      <w:r w:rsidRPr="00523498">
        <w:rPr>
          <w:rStyle w:val="Para0Char"/>
          <w:b/>
          <w:color w:val="000000" w:themeColor="text1"/>
          <w:sz w:val="18"/>
          <w:szCs w:val="18"/>
        </w:rPr>
        <w:t>Source:</w:t>
      </w:r>
      <w:r>
        <w:rPr>
          <w:rStyle w:val="Para0Char"/>
          <w:color w:val="000000" w:themeColor="text1"/>
          <w:sz w:val="18"/>
          <w:szCs w:val="18"/>
        </w:rPr>
        <w:t xml:space="preserve"> Climate Change Authority ada</w:t>
      </w:r>
      <w:r w:rsidRPr="00BA3F81">
        <w:rPr>
          <w:rStyle w:val="Para0Char"/>
          <w:color w:val="000000" w:themeColor="text1"/>
          <w:sz w:val="18"/>
          <w:szCs w:val="18"/>
        </w:rPr>
        <w:t>pted from</w:t>
      </w:r>
      <w:r>
        <w:rPr>
          <w:rStyle w:val="Para0Char"/>
          <w:color w:val="000000" w:themeColor="text1"/>
          <w:sz w:val="18"/>
          <w:szCs w:val="18"/>
        </w:rPr>
        <w:t xml:space="preserve"> </w:t>
      </w:r>
      <w:bookmarkStart w:id="256" w:name="_CTVP00157b0c1398a6a464c98c2ad1c5e73acac"/>
      <w:r w:rsidR="0059109A">
        <w:rPr>
          <w:rStyle w:val="Para0Char"/>
          <w:color w:val="000000" w:themeColor="text1"/>
          <w:sz w:val="18"/>
          <w:szCs w:val="18"/>
        </w:rPr>
        <w:t>AEMC 2016</w:t>
      </w:r>
      <w:bookmarkEnd w:id="256"/>
      <w:r w:rsidR="00992C15">
        <w:rPr>
          <w:rStyle w:val="Para0Char"/>
          <w:color w:val="000000" w:themeColor="text1"/>
          <w:sz w:val="18"/>
          <w:szCs w:val="18"/>
        </w:rPr>
        <w:t>.</w:t>
      </w:r>
    </w:p>
    <w:p w:rsidR="00B053FC" w:rsidRDefault="00782052" w:rsidP="00782052">
      <w:pPr>
        <w:pStyle w:val="BodyText"/>
        <w:rPr>
          <w:lang w:val="en-GB" w:eastAsia="en-AU"/>
        </w:rPr>
      </w:pPr>
      <w:r>
        <w:rPr>
          <w:lang w:val="en-GB" w:eastAsia="en-AU"/>
        </w:rPr>
        <w:lastRenderedPageBreak/>
        <w:t>In both the NEM and SWIS, generators compete in wholesale markets to generate electricity and retailers compete for customers.</w:t>
      </w:r>
      <w:r>
        <w:rPr>
          <w:rStyle w:val="FootnoteReference"/>
          <w:lang w:val="en-GB" w:eastAsia="en-AU"/>
        </w:rPr>
        <w:footnoteReference w:id="5"/>
      </w:r>
      <w:r>
        <w:rPr>
          <w:lang w:val="en-GB" w:eastAsia="en-AU"/>
        </w:rPr>
        <w:t xml:space="preserve"> The transmission and distribution networks operate as regulated monopolies. The impact of a climate policy on wholesale markets is a driver of its overall impact on the electricity system. While the objective of many climate policies is to ‘switch the economics’ in favour of lower-emissions generation, different policies do this in different ways, so have different effects on the relative costs of different types of generators and the average wholesale price. </w:t>
      </w:r>
      <w:r w:rsidR="00CA762C">
        <w:rPr>
          <w:lang w:val="en-GB" w:eastAsia="en-AU"/>
        </w:rPr>
        <w:t>Box 2</w:t>
      </w:r>
      <w:r>
        <w:rPr>
          <w:lang w:val="en-GB" w:eastAsia="en-AU"/>
        </w:rPr>
        <w:t xml:space="preserve"> provides an overview of wholesale market operation and the effects of different climate policies.</w:t>
      </w:r>
    </w:p>
    <w:p w:rsidR="00B053FC" w:rsidRDefault="00B053FC" w:rsidP="00B053FC">
      <w:pPr>
        <w:pStyle w:val="ChapterHeading3"/>
        <w:numPr>
          <w:ilvl w:val="2"/>
          <w:numId w:val="15"/>
        </w:numPr>
      </w:pPr>
      <w:bookmarkStart w:id="257" w:name="_Toc448132688"/>
      <w:bookmarkStart w:id="258" w:name="_Toc448151748"/>
      <w:bookmarkStart w:id="259" w:name="_Toc448151816"/>
      <w:bookmarkStart w:id="260" w:name="_Ref449006069"/>
      <w:bookmarkStart w:id="261" w:name="_Toc460317986"/>
      <w:r>
        <w:t>Retail electricity prices</w:t>
      </w:r>
      <w:bookmarkEnd w:id="257"/>
      <w:bookmarkEnd w:id="258"/>
      <w:bookmarkEnd w:id="259"/>
      <w:bookmarkEnd w:id="260"/>
      <w:bookmarkEnd w:id="261"/>
    </w:p>
    <w:p w:rsidR="00B053FC" w:rsidRDefault="00B053FC" w:rsidP="00B053FC">
      <w:pPr>
        <w:pStyle w:val="BodyText"/>
        <w:rPr>
          <w:lang w:val="en-GB" w:eastAsia="en-AU"/>
        </w:rPr>
      </w:pPr>
      <w:r>
        <w:rPr>
          <w:lang w:val="en-GB" w:eastAsia="en-AU"/>
        </w:rPr>
        <w:t xml:space="preserve">The prices of electricity for final consumers (‘retail prices’) are of special interest because—along with the amount of electricity consumed—they determine electricity costs for households and businesses. The costs of electricity generation, networks and retail businesses are all passed on to consumers in their electricity prices, so climate policies that have different impacts on generation and retail businesses will have different impacts on retail electricity prices. </w:t>
      </w:r>
    </w:p>
    <w:p w:rsidR="00782052" w:rsidRDefault="00B053FC" w:rsidP="00B053FC">
      <w:pPr>
        <w:pStyle w:val="BodyText"/>
        <w:rPr>
          <w:lang w:val="en-GB" w:eastAsia="en-AU"/>
        </w:rPr>
      </w:pPr>
      <w:r>
        <w:rPr>
          <w:szCs w:val="21"/>
          <w:lang w:val="en-GB" w:eastAsia="en-AU"/>
        </w:rPr>
        <w:t xml:space="preserve">In 2014–15, on average across Australia, network costs made up 47 per cent of an average residential electricity bill, while generation and retail business costs made up 28 and 19 per cent, respectively </w:t>
      </w:r>
      <w:r>
        <w:rPr>
          <w:lang w:val="en-GB" w:eastAsia="en-AU"/>
        </w:rPr>
        <w:t>(</w:t>
      </w:r>
      <w:r w:rsidR="00CA762C" w:rsidRPr="00312C88">
        <w:t xml:space="preserve">Figure </w:t>
      </w:r>
      <w:r w:rsidR="00CA762C">
        <w:rPr>
          <w:noProof/>
        </w:rPr>
        <w:t>8</w:t>
      </w:r>
      <w:r>
        <w:rPr>
          <w:szCs w:val="21"/>
          <w:lang w:val="en-GB" w:eastAsia="en-AU"/>
        </w:rPr>
        <w:t xml:space="preserve">). </w:t>
      </w:r>
      <w:r>
        <w:rPr>
          <w:lang w:val="en-GB" w:eastAsia="en-AU"/>
        </w:rPr>
        <w:t xml:space="preserve">The costs of complying with Commonwealth, state and territory environmental policies, such as the RET, and state- and territory-based renewable and energy efficiency schemes, contributed the remaining six per cent. </w:t>
      </w:r>
      <w:proofErr w:type="gramStart"/>
      <w:r>
        <w:rPr>
          <w:lang w:val="en-GB" w:eastAsia="en-AU"/>
        </w:rPr>
        <w:t xml:space="preserve">Average </w:t>
      </w:r>
      <w:r>
        <w:t xml:space="preserve">retail electricity prices increased by around 70 per cent in real terms from 2006 to 2013 </w:t>
      </w:r>
      <w:bookmarkStart w:id="262" w:name="_CTVP00189909f99f2104a44b54e0c03b90d5ee7"/>
      <w:r>
        <w:t>(Climate Change Authority based on ABS 2015, p. 26)</w:t>
      </w:r>
      <w:bookmarkEnd w:id="262"/>
      <w:r>
        <w:t xml:space="preserve">, but by about one per cent per year from 2012–13 to 2014–15 </w:t>
      </w:r>
      <w:bookmarkStart w:id="263" w:name="_CTVP0017227712015e14cbcbd2fca19a001930a"/>
      <w:r>
        <w:t>(Climate Change Authority based on AEMC 2014, 2015b)</w:t>
      </w:r>
      <w:bookmarkEnd w:id="263"/>
      <w:r>
        <w:t>.</w:t>
      </w:r>
      <w:proofErr w:type="gramEnd"/>
      <w:r>
        <w:rPr>
          <w:rStyle w:val="FootnoteReference"/>
        </w:rPr>
        <w:footnoteReference w:id="6"/>
      </w:r>
      <w:r>
        <w:t xml:space="preserve"> The significant increases experienced over the past decade have been largely due to increased investment in distribution networks to add to and replace aging network infrastructure </w:t>
      </w:r>
      <w:bookmarkStart w:id="264" w:name="_CTVP0013fbc0c69ce344f46bc80063d2d3efae4"/>
      <w:r>
        <w:t>(DIIS 2015b)</w:t>
      </w:r>
      <w:bookmarkEnd w:id="264"/>
      <w:r>
        <w:t xml:space="preserve"> to meet demand at peak times and increased reliability standards. Over 2015–16 to </w:t>
      </w:r>
      <w:r>
        <w:br/>
        <w:t xml:space="preserve">2017–18, the Australian Energy Market Commission (AEMC) projects a fall in network costs but growth in market costs, including wholesale and retail business costs, with average overall prices remaining flat or rising slightly in most jurisdictions </w:t>
      </w:r>
      <w:bookmarkStart w:id="265" w:name="_CTVP001ee49376c97e24bb5883d7ed52e5d4a70"/>
      <w:r>
        <w:t>(AEMC 2015b)</w:t>
      </w:r>
      <w:bookmarkEnd w:id="265"/>
      <w:r>
        <w:t>.</w:t>
      </w:r>
      <w:r>
        <w:rPr>
          <w:rStyle w:val="FootnoteReference"/>
        </w:rPr>
        <w:footnoteReference w:id="7"/>
      </w:r>
      <w:r w:rsidR="00782052">
        <w:rPr>
          <w:lang w:val="en-GB" w:eastAsia="en-AU"/>
        </w:rPr>
        <w:t xml:space="preserve"> </w:t>
      </w:r>
    </w:p>
    <w:tbl>
      <w:tblPr>
        <w:tblStyle w:val="CCATablebox"/>
        <w:tblW w:w="9890" w:type="dxa"/>
        <w:tblLook w:val="04A0" w:firstRow="1" w:lastRow="0" w:firstColumn="1" w:lastColumn="0" w:noHBand="0" w:noVBand="1"/>
      </w:tblPr>
      <w:tblGrid>
        <w:gridCol w:w="9890"/>
      </w:tblGrid>
      <w:tr w:rsidR="00175963" w:rsidTr="00933F1B">
        <w:trPr>
          <w:cnfStyle w:val="100000000000" w:firstRow="1" w:lastRow="0" w:firstColumn="0" w:lastColumn="0" w:oddVBand="0" w:evenVBand="0" w:oddHBand="0" w:evenHBand="0" w:firstRowFirstColumn="0" w:firstRowLastColumn="0" w:lastRowFirstColumn="0" w:lastRowLastColumn="0"/>
          <w:tblHeader w:val="0"/>
        </w:trPr>
        <w:tc>
          <w:tcPr>
            <w:tcW w:w="9890" w:type="dxa"/>
          </w:tcPr>
          <w:p w:rsidR="00175963" w:rsidRDefault="00175963" w:rsidP="00933F1B">
            <w:pPr>
              <w:pStyle w:val="Headingnumberedbox"/>
            </w:pPr>
            <w:bookmarkStart w:id="266" w:name="_Ref446580630"/>
            <w:bookmarkStart w:id="267" w:name="_Ref446335511"/>
            <w:bookmarkStart w:id="268" w:name="_Ref446407179"/>
            <w:bookmarkStart w:id="269" w:name="_Toc460318083"/>
            <w:r>
              <w:lastRenderedPageBreak/>
              <w:t>Wholesale electricity markets and interaction with climate policies</w:t>
            </w:r>
            <w:bookmarkEnd w:id="266"/>
            <w:bookmarkEnd w:id="267"/>
            <w:bookmarkEnd w:id="268"/>
            <w:bookmarkEnd w:id="269"/>
          </w:p>
          <w:p w:rsidR="00175963" w:rsidRDefault="00175963" w:rsidP="00933F1B">
            <w:pPr>
              <w:pStyle w:val="TableText"/>
            </w:pPr>
            <w:r>
              <w:t xml:space="preserve">In Australia’s wholesale electricity markets, generators </w:t>
            </w:r>
            <w:r w:rsidR="00043E38">
              <w:t xml:space="preserve">compete to be dispatched by </w:t>
            </w:r>
            <w:r>
              <w:t>bid</w:t>
            </w:r>
            <w:r w:rsidR="00992C15">
              <w:t>d</w:t>
            </w:r>
            <w:r w:rsidR="00043E38">
              <w:t>ing</w:t>
            </w:r>
            <w:r>
              <w:t xml:space="preserve"> the quantity of electricity they are willing to supply and the price they want to receive for their generation for each dispatch interval (five minutes in the </w:t>
            </w:r>
            <w:r w:rsidR="00BD7E95">
              <w:t>NEM</w:t>
            </w:r>
            <w:r>
              <w:t xml:space="preserve"> and half an hour in the </w:t>
            </w:r>
            <w:r w:rsidR="00BD7E95">
              <w:t>WEM</w:t>
            </w:r>
            <w:r>
              <w:t xml:space="preserve">). The market operator dispatches the cheapest combination of bids to meet demand that is feasible given the network’s capacity. All dispatched generators receive the market clearing price at their location, </w:t>
            </w:r>
            <w:r w:rsidR="0031137B">
              <w:t>which</w:t>
            </w:r>
            <w:r>
              <w:t xml:space="preserve"> is the price of the most expensive dispatched generator. </w:t>
            </w:r>
          </w:p>
          <w:p w:rsidR="00175963" w:rsidRDefault="00175963" w:rsidP="00933F1B">
            <w:pPr>
              <w:pStyle w:val="TableText"/>
            </w:pPr>
            <w:r>
              <w:t xml:space="preserve">Most electricity markets have a price floor and price cap to ensure consumers and producers are protected from extreme price </w:t>
            </w:r>
            <w:r w:rsidR="0051126D">
              <w:t>volatility. In the NEM for 2015</w:t>
            </w:r>
            <w:r w:rsidR="0051126D">
              <w:softHyphen/>
              <w:t>–</w:t>
            </w:r>
            <w:r>
              <w:t>16, the price floor is -$1,000/MWh and the pr</w:t>
            </w:r>
            <w:r w:rsidR="0051126D">
              <w:t xml:space="preserve">ice cap </w:t>
            </w:r>
            <w:r w:rsidR="00AE6A81">
              <w:t>was</w:t>
            </w:r>
            <w:r w:rsidR="0051126D">
              <w:t xml:space="preserve"> $13,800/MWh. In </w:t>
            </w:r>
            <w:r w:rsidR="00BA67B2">
              <w:t>2015</w:t>
            </w:r>
            <w:r w:rsidR="0051126D">
              <w:t>–</w:t>
            </w:r>
            <w:r w:rsidR="00BA67B2">
              <w:t xml:space="preserve">16 </w:t>
            </w:r>
            <w:r>
              <w:t>average prices ranged from $</w:t>
            </w:r>
            <w:r w:rsidR="000A1B30">
              <w:t>46 to</w:t>
            </w:r>
            <w:r w:rsidR="007C6E14">
              <w:t>10</w:t>
            </w:r>
            <w:r w:rsidR="003E5F30">
              <w:t>3</w:t>
            </w:r>
            <w:r w:rsidR="00A91B1B">
              <w:t>/MWh</w:t>
            </w:r>
            <w:r>
              <w:t xml:space="preserve"> across NEM jurisdictions</w:t>
            </w:r>
            <w:r w:rsidR="00B87FA3">
              <w:t xml:space="preserve"> </w:t>
            </w:r>
            <w:bookmarkStart w:id="270" w:name="_CTVP00119b47f003c724e03ae6af465f97409bc"/>
            <w:r w:rsidR="0059109A">
              <w:t>(AEMO 2016a)</w:t>
            </w:r>
            <w:bookmarkEnd w:id="270"/>
            <w:r>
              <w:t>.</w:t>
            </w:r>
            <w:r w:rsidR="007C6E14">
              <w:t xml:space="preserve">  </w:t>
            </w:r>
          </w:p>
          <w:p w:rsidR="00175963" w:rsidRDefault="00175963" w:rsidP="00933F1B">
            <w:pPr>
              <w:pStyle w:val="TableText"/>
            </w:pPr>
            <w:r>
              <w:t>The specific bids made by each generator are a combination of several factors including</w:t>
            </w:r>
            <w:r w:rsidR="00D95899">
              <w:t xml:space="preserve"> their</w:t>
            </w:r>
            <w:r>
              <w:t xml:space="preserve"> short</w:t>
            </w:r>
            <w:r>
              <w:noBreakHyphen/>
              <w:t xml:space="preserve">run operating costs and plant technology. </w:t>
            </w:r>
          </w:p>
          <w:p w:rsidR="00175963" w:rsidRDefault="00175963" w:rsidP="00933F1B">
            <w:pPr>
              <w:pStyle w:val="TableListBullet"/>
            </w:pPr>
            <w:r>
              <w:t>Coal fired gene</w:t>
            </w:r>
            <w:r w:rsidR="000A1B30">
              <w:t>rators have high start</w:t>
            </w:r>
            <w:r w:rsidR="000A1B30">
              <w:noBreakHyphen/>
              <w:t>up costs</w:t>
            </w:r>
            <w:r>
              <w:t xml:space="preserve"> but relatively low operating costs, so they are able to bid low to ensure they are dispatched. There are two types of coal in Australia: brown coal and black coal. Victorian brown coal is the easiest to mine and has the lowest generation costs when emissions are not priced. Slightly more expensive black coal generation dominates </w:t>
            </w:r>
            <w:r w:rsidR="00B87FA3">
              <w:t xml:space="preserve">in </w:t>
            </w:r>
            <w:r>
              <w:t>Queensland and New South Wales and provides significant supply in Western Australia.</w:t>
            </w:r>
          </w:p>
          <w:p w:rsidR="00175963" w:rsidRDefault="00175963" w:rsidP="00933F1B">
            <w:pPr>
              <w:pStyle w:val="TableListBullet"/>
            </w:pPr>
            <w:r>
              <w:t>Gas and liquid fuelled generators are usually relatively quick to start and flexible. Australian natural gas is more expensive than coal. In this class, combined-cycle gas turbines (CCGT) have the highest capital costs but are more efficient and theref</w:t>
            </w:r>
            <w:r w:rsidR="004447FA">
              <w:t>ore have lower fuel costs. Open</w:t>
            </w:r>
            <w:r w:rsidR="004447FA">
              <w:noBreakHyphen/>
            </w:r>
            <w:r>
              <w:t>cycle gas turbines (OCGT) and reciprocating engine generators have lower capital costs and are very quick to start but have lower efficiency</w:t>
            </w:r>
            <w:r w:rsidR="00B87FA3">
              <w:t>, so these generators typically operate in a peaking role</w:t>
            </w:r>
            <w:r>
              <w:t xml:space="preserve">. Some older gas fuelled generators use a steam boiler similar to a coal generator, but this technology is no longer used in new plants. </w:t>
            </w:r>
          </w:p>
          <w:p w:rsidR="00175963" w:rsidRDefault="0000676D" w:rsidP="00933F1B">
            <w:pPr>
              <w:pStyle w:val="TableListBullet"/>
            </w:pPr>
            <w:r>
              <w:t>Some r</w:t>
            </w:r>
            <w:r w:rsidR="00175963">
              <w:t xml:space="preserve">enewable generators, such as wind generators, have no fuel costs so they are able to make </w:t>
            </w:r>
            <w:r w:rsidR="00B4504B">
              <w:t>low</w:t>
            </w:r>
            <w:r w:rsidR="00175963">
              <w:t xml:space="preserve"> bids to ensure they are dispatched.</w:t>
            </w:r>
            <w:r w:rsidR="00D95899">
              <w:t xml:space="preserve"> </w:t>
            </w:r>
            <w:r w:rsidR="00175963">
              <w:t xml:space="preserve">Other renewable generators, such as most hydroelectric generators, are </w:t>
            </w:r>
            <w:r w:rsidR="007C372A">
              <w:t xml:space="preserve">generally </w:t>
            </w:r>
            <w:r w:rsidR="00175963">
              <w:t>able to</w:t>
            </w:r>
            <w:r w:rsidR="007C372A">
              <w:t xml:space="preserve"> rapidly</w:t>
            </w:r>
            <w:r w:rsidR="00175963">
              <w:t xml:space="preserve"> increase production in response to market prices and </w:t>
            </w:r>
            <w:r w:rsidR="00B4504B">
              <w:t>can also</w:t>
            </w:r>
            <w:r w:rsidR="00175963">
              <w:t xml:space="preserve"> bid into the market at </w:t>
            </w:r>
            <w:r w:rsidR="00B4504B">
              <w:t>relatively low prices</w:t>
            </w:r>
            <w:r w:rsidR="00175963">
              <w:t>.</w:t>
            </w:r>
          </w:p>
          <w:p w:rsidR="00175963" w:rsidRDefault="00CA762C" w:rsidP="00933F1B">
            <w:pPr>
              <w:pStyle w:val="TableListBullet"/>
              <w:numPr>
                <w:ilvl w:val="0"/>
                <w:numId w:val="0"/>
              </w:numPr>
            </w:pPr>
            <w:r w:rsidRPr="00CA762C">
              <w:rPr>
                <w:szCs w:val="18"/>
              </w:rPr>
              <w:t xml:space="preserve">Figure </w:t>
            </w:r>
            <w:r w:rsidRPr="00CA762C">
              <w:rPr>
                <w:noProof/>
                <w:szCs w:val="18"/>
              </w:rPr>
              <w:t>7</w:t>
            </w:r>
            <w:r w:rsidR="00782052">
              <w:rPr>
                <w:szCs w:val="18"/>
              </w:rPr>
              <w:t xml:space="preserve"> </w:t>
            </w:r>
            <w:r w:rsidR="00782052">
              <w:t xml:space="preserve">shows a stylised wholesale electricity market in a typical moderate demand situation. The ranking of plants from cheapest to most expensive is called the ‘merit order’. </w:t>
            </w:r>
            <w:r w:rsidR="002E518A">
              <w:t>In this example</w:t>
            </w:r>
            <w:r w:rsidR="00782052">
              <w:t xml:space="preserve">, </w:t>
            </w:r>
            <w:r w:rsidR="000A1B30">
              <w:t>the</w:t>
            </w:r>
            <w:r w:rsidR="00782052">
              <w:t xml:space="preserve"> dispatched </w:t>
            </w:r>
            <w:r w:rsidR="000A1B30">
              <w:t>gas generation</w:t>
            </w:r>
            <w:r w:rsidR="00782052">
              <w:t xml:space="preserve"> sets the wholesale clearing price. In a period of lower or higher (peak) demand, the clearing price would be set by a lower or higher cost generator, respectively</w:t>
            </w:r>
            <w:r w:rsidR="00175963">
              <w:t xml:space="preserve">. </w:t>
            </w:r>
          </w:p>
          <w:p w:rsidR="00175963" w:rsidRPr="00A23570" w:rsidRDefault="00175963" w:rsidP="00933F1B">
            <w:pPr>
              <w:pStyle w:val="Caption"/>
              <w:rPr>
                <w:sz w:val="21"/>
                <w:szCs w:val="21"/>
              </w:rPr>
            </w:pPr>
            <w:bookmarkStart w:id="271" w:name="_Ref446580396"/>
            <w:bookmarkStart w:id="272" w:name="_Ref447027965"/>
            <w:bookmarkStart w:id="273" w:name="_Toc460318038"/>
            <w:r w:rsidRPr="00A23570">
              <w:rPr>
                <w:sz w:val="21"/>
                <w:szCs w:val="21"/>
              </w:rPr>
              <w:t xml:space="preserve">Figure </w:t>
            </w:r>
            <w:r w:rsidR="00CA762C">
              <w:rPr>
                <w:noProof/>
                <w:sz w:val="21"/>
                <w:szCs w:val="21"/>
              </w:rPr>
              <w:t>7</w:t>
            </w:r>
            <w:bookmarkEnd w:id="271"/>
            <w:bookmarkEnd w:id="272"/>
            <w:r w:rsidR="00A6425D">
              <w:rPr>
                <w:sz w:val="21"/>
                <w:szCs w:val="21"/>
              </w:rPr>
              <w:tab/>
            </w:r>
            <w:r w:rsidR="00C63442">
              <w:rPr>
                <w:sz w:val="21"/>
                <w:szCs w:val="21"/>
              </w:rPr>
              <w:t>Price setting</w:t>
            </w:r>
            <w:r w:rsidR="00967273">
              <w:rPr>
                <w:sz w:val="21"/>
                <w:szCs w:val="21"/>
              </w:rPr>
              <w:t xml:space="preserve"> in the wholesale market</w:t>
            </w:r>
            <w:bookmarkEnd w:id="273"/>
          </w:p>
          <w:p w:rsidR="00175963" w:rsidRDefault="002058DB" w:rsidP="00933F1B">
            <w:pPr>
              <w:pStyle w:val="TableListBullet"/>
              <w:numPr>
                <w:ilvl w:val="0"/>
                <w:numId w:val="0"/>
              </w:numPr>
            </w:pPr>
            <w:r>
              <w:rPr>
                <w:noProof/>
                <w:lang w:eastAsia="en-AU"/>
              </w:rPr>
              <w:drawing>
                <wp:inline distT="0" distB="0" distL="0" distR="0" wp14:anchorId="22D06EDD" wp14:editId="3139D39A">
                  <wp:extent cx="5528945" cy="2966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8945" cy="2966720"/>
                          </a:xfrm>
                          <a:prstGeom prst="rect">
                            <a:avLst/>
                          </a:prstGeom>
                          <a:noFill/>
                          <a:ln>
                            <a:noFill/>
                          </a:ln>
                        </pic:spPr>
                      </pic:pic>
                    </a:graphicData>
                  </a:graphic>
                </wp:inline>
              </w:drawing>
            </w:r>
          </w:p>
          <w:p w:rsidR="002D7407" w:rsidRPr="002830A7" w:rsidRDefault="00175963" w:rsidP="00CE47F4">
            <w:pPr>
              <w:pStyle w:val="TableNote"/>
            </w:pPr>
            <w:r w:rsidRPr="00DE0DC1">
              <w:rPr>
                <w:b/>
              </w:rPr>
              <w:t>Note:</w:t>
            </w:r>
            <w:r w:rsidRPr="00DE0DC1">
              <w:t xml:space="preserve"> </w:t>
            </w:r>
            <w:r>
              <w:t>Stylised illustration.</w:t>
            </w:r>
            <w:r w:rsidR="00CE47F4">
              <w:br/>
            </w:r>
            <w:r w:rsidRPr="00DE0DC1">
              <w:rPr>
                <w:b/>
              </w:rPr>
              <w:t>Source:</w:t>
            </w:r>
            <w:r>
              <w:t xml:space="preserve"> Climate Change Authority</w:t>
            </w:r>
            <w:r w:rsidR="00CE47F4">
              <w:t>.</w:t>
            </w:r>
          </w:p>
        </w:tc>
      </w:tr>
    </w:tbl>
    <w:p w:rsidR="00BA21CE" w:rsidRDefault="00BA21CE" w:rsidP="00BA21CE">
      <w:bookmarkStart w:id="274" w:name="_Toc444610040"/>
      <w:bookmarkStart w:id="275" w:name="_Ref447098776"/>
      <w:bookmarkStart w:id="276" w:name="_Toc447182435"/>
      <w:bookmarkStart w:id="277" w:name="_Toc447183280"/>
      <w:bookmarkStart w:id="278" w:name="_Toc447183354"/>
      <w:bookmarkStart w:id="279" w:name="_Toc447183392"/>
      <w:bookmarkStart w:id="280" w:name="_Toc447183480"/>
      <w:bookmarkStart w:id="281" w:name="_Toc447183539"/>
    </w:p>
    <w:tbl>
      <w:tblPr>
        <w:tblStyle w:val="CCATablebox"/>
        <w:tblW w:w="9890" w:type="dxa"/>
        <w:tblLook w:val="04A0" w:firstRow="1" w:lastRow="0" w:firstColumn="1" w:lastColumn="0" w:noHBand="0" w:noVBand="1"/>
      </w:tblPr>
      <w:tblGrid>
        <w:gridCol w:w="9890"/>
      </w:tblGrid>
      <w:tr w:rsidR="002830A7" w:rsidTr="008C0FCD">
        <w:trPr>
          <w:cnfStyle w:val="100000000000" w:firstRow="1" w:lastRow="0" w:firstColumn="0" w:lastColumn="0" w:oddVBand="0" w:evenVBand="0" w:oddHBand="0" w:evenHBand="0" w:firstRowFirstColumn="0" w:firstRowLastColumn="0" w:lastRowFirstColumn="0" w:lastRowLastColumn="0"/>
          <w:tblHeader w:val="0"/>
        </w:trPr>
        <w:tc>
          <w:tcPr>
            <w:tcW w:w="9890" w:type="dxa"/>
          </w:tcPr>
          <w:p w:rsidR="00782052" w:rsidRDefault="00782052" w:rsidP="00782052">
            <w:pPr>
              <w:pStyle w:val="TableListBullet"/>
              <w:numPr>
                <w:ilvl w:val="0"/>
                <w:numId w:val="0"/>
              </w:numPr>
              <w:spacing w:before="120"/>
            </w:pPr>
            <w:r>
              <w:lastRenderedPageBreak/>
              <w:t>Different types of climate policies work differently</w:t>
            </w:r>
            <w:r w:rsidR="00BD7E95">
              <w:t xml:space="preserve"> with</w:t>
            </w:r>
            <w:r>
              <w:t xml:space="preserve"> the wholesale market. For example:</w:t>
            </w:r>
          </w:p>
          <w:p w:rsidR="00782052" w:rsidRDefault="000A1B30" w:rsidP="00782052">
            <w:pPr>
              <w:pStyle w:val="TableListBullet"/>
            </w:pPr>
            <w:r>
              <w:t>A</w:t>
            </w:r>
            <w:r w:rsidR="00782052" w:rsidRPr="003B59E0">
              <w:t xml:space="preserve"> cap and trade</w:t>
            </w:r>
            <w:r w:rsidR="00586FDB">
              <w:t xml:space="preserve"> or emissions intensity</w:t>
            </w:r>
            <w:r w:rsidR="00782052" w:rsidRPr="003B59E0">
              <w:t xml:space="preserve"> scheme </w:t>
            </w:r>
            <w:r w:rsidR="00586FDB">
              <w:t>changes</w:t>
            </w:r>
            <w:r w:rsidR="00586FDB" w:rsidRPr="003B59E0">
              <w:t xml:space="preserve"> </w:t>
            </w:r>
            <w:r w:rsidR="00782052" w:rsidRPr="003B59E0">
              <w:t>the operating costs of fossil-fuel generators in proportion to their emissions intensity</w:t>
            </w:r>
            <w:r w:rsidR="00782052">
              <w:t>. T</w:t>
            </w:r>
            <w:r w:rsidR="00782052" w:rsidRPr="003B59E0">
              <w:t>hat is,</w:t>
            </w:r>
            <w:r w:rsidR="00514988">
              <w:t xml:space="preserve"> for the same amount of generation</w:t>
            </w:r>
            <w:r w:rsidR="00153D0C">
              <w:t>,</w:t>
            </w:r>
            <w:r w:rsidR="00782052" w:rsidRPr="003B59E0">
              <w:t xml:space="preserve"> a brown coal generator will have larger carbon costs than a black coal generator because brown coal </w:t>
            </w:r>
            <w:r w:rsidR="00992C15">
              <w:t>is more emissions</w:t>
            </w:r>
            <w:r w:rsidR="00992C15">
              <w:noBreakHyphen/>
            </w:r>
            <w:r w:rsidR="00782052" w:rsidRPr="003B59E0">
              <w:t>intensive (</w:t>
            </w:r>
            <w:r w:rsidR="00CA762C">
              <w:t>Figure 3</w:t>
            </w:r>
            <w:r w:rsidR="00782052" w:rsidRPr="003B59E0">
              <w:t>). This change in relative costs can change the merit order of generators</w:t>
            </w:r>
            <w:r w:rsidR="00782052">
              <w:t>,</w:t>
            </w:r>
            <w:r w:rsidR="00992C15">
              <w:t xml:space="preserve"> so that less emissions</w:t>
            </w:r>
            <w:r w:rsidR="00992C15">
              <w:noBreakHyphen/>
            </w:r>
            <w:r w:rsidR="00782052" w:rsidRPr="003B59E0">
              <w:t xml:space="preserve">intensive generators </w:t>
            </w:r>
            <w:r w:rsidR="00782052">
              <w:t>become</w:t>
            </w:r>
            <w:r w:rsidR="00782052" w:rsidRPr="003B59E0">
              <w:t xml:space="preserve"> cheaper</w:t>
            </w:r>
            <w:r w:rsidR="00782052">
              <w:t xml:space="preserve"> than more </w:t>
            </w:r>
            <w:r w:rsidR="00992C15">
              <w:t>emissions</w:t>
            </w:r>
            <w:r w:rsidR="00992C15">
              <w:noBreakHyphen/>
            </w:r>
            <w:r w:rsidR="00A34E93">
              <w:t>intensive</w:t>
            </w:r>
            <w:r w:rsidR="00782052">
              <w:t xml:space="preserve"> ones</w:t>
            </w:r>
            <w:r w:rsidR="00782052" w:rsidRPr="003B59E0">
              <w:t xml:space="preserve">. </w:t>
            </w:r>
            <w:r w:rsidR="00782052">
              <w:t>The lower emissions generation is dispatched more than it was before, lowering emissions.</w:t>
            </w:r>
          </w:p>
          <w:p w:rsidR="00782052" w:rsidRPr="0044423B" w:rsidRDefault="000A1B30" w:rsidP="00782052">
            <w:pPr>
              <w:pStyle w:val="TableListBullet"/>
            </w:pPr>
            <w:r>
              <w:t>A</w:t>
            </w:r>
            <w:r w:rsidR="00782052" w:rsidRPr="003B59E0">
              <w:t xml:space="preserve"> policy to encourage additional renewable energy, such as a </w:t>
            </w:r>
            <w:r w:rsidR="00691F52">
              <w:t>RET</w:t>
            </w:r>
            <w:r w:rsidR="00782052">
              <w:t>,</w:t>
            </w:r>
            <w:r w:rsidR="00782052" w:rsidRPr="003B59E0">
              <w:t xml:space="preserve"> subsidises new renewable generation</w:t>
            </w:r>
            <w:r w:rsidR="00782052">
              <w:t>.</w:t>
            </w:r>
            <w:r w:rsidR="00782052" w:rsidRPr="003B59E0">
              <w:t xml:space="preserve"> </w:t>
            </w:r>
            <w:r w:rsidR="00782052">
              <w:t xml:space="preserve">A RET </w:t>
            </w:r>
            <w:r w:rsidR="00782052" w:rsidRPr="003B59E0">
              <w:t>(</w:t>
            </w:r>
            <w:r w:rsidR="00CA762C">
              <w:t>Table 1</w:t>
            </w:r>
            <w:r w:rsidR="00782052" w:rsidRPr="003B59E0">
              <w:t>)</w:t>
            </w:r>
            <w:r w:rsidR="00782052">
              <w:t xml:space="preserve"> provides</w:t>
            </w:r>
            <w:r w:rsidR="00782052" w:rsidRPr="003B59E0">
              <w:t xml:space="preserve"> </w:t>
            </w:r>
            <w:r w:rsidR="00782052" w:rsidRPr="0044423B">
              <w:t xml:space="preserve">eligible generators with an additional income stream so they can bid into the wholesale market at lower (subsidised) prices. The amount of </w:t>
            </w:r>
            <w:r w:rsidR="00782052" w:rsidRPr="00782052">
              <w:rPr>
                <w:bCs w:val="0"/>
              </w:rPr>
              <w:t xml:space="preserve">low-cost </w:t>
            </w:r>
            <w:r w:rsidR="00782052" w:rsidRPr="0044423B">
              <w:t xml:space="preserve">renewable capacity tends to increase and </w:t>
            </w:r>
            <w:r w:rsidR="00782052" w:rsidRPr="00782052">
              <w:rPr>
                <w:bCs w:val="0"/>
              </w:rPr>
              <w:t>becomes an increasing share</w:t>
            </w:r>
            <w:r w:rsidR="00782052">
              <w:t xml:space="preserve"> of the generation required to meet demand</w:t>
            </w:r>
            <w:r w:rsidR="00782052" w:rsidRPr="0044423B">
              <w:t xml:space="preserve">, lowering overall emissions. The exact impact of a RET on emissions depends on which generation the renewables tend to displace: displacing gas would have less of an impact on emissions than displacing coal. In contrast to a cap and trade scheme, a RET leaves the costs </w:t>
            </w:r>
            <w:r w:rsidR="00782052" w:rsidRPr="00782052">
              <w:rPr>
                <w:i/>
              </w:rPr>
              <w:t>among</w:t>
            </w:r>
            <w:r w:rsidR="00782052" w:rsidRPr="0044423B">
              <w:t xml:space="preserve"> fossil-fuel generators unchanged. </w:t>
            </w:r>
          </w:p>
          <w:p w:rsidR="00782052" w:rsidRPr="0044423B" w:rsidRDefault="00782052" w:rsidP="00782052">
            <w:pPr>
              <w:pStyle w:val="TableListBullet"/>
              <w:numPr>
                <w:ilvl w:val="0"/>
                <w:numId w:val="0"/>
              </w:numPr>
            </w:pPr>
            <w:r w:rsidRPr="0044423B">
              <w:t xml:space="preserve">These two types of policies have different impacts on wholesale prices in the short term: </w:t>
            </w:r>
          </w:p>
          <w:p w:rsidR="00782052" w:rsidRPr="0044423B" w:rsidRDefault="00992C15" w:rsidP="00782052">
            <w:pPr>
              <w:pStyle w:val="TableListBullet"/>
            </w:pPr>
            <w:r>
              <w:t>A</w:t>
            </w:r>
            <w:r w:rsidR="00782052" w:rsidRPr="0044423B">
              <w:t xml:space="preserve"> cap and trade scheme increases wholesale prices as fossil fuelled generators face higher costs</w:t>
            </w:r>
            <w:r>
              <w:t>.</w:t>
            </w:r>
          </w:p>
          <w:p w:rsidR="00782052" w:rsidRPr="0044423B" w:rsidRDefault="00992C15" w:rsidP="00782052">
            <w:pPr>
              <w:pStyle w:val="TableListBullet"/>
            </w:pPr>
            <w:r>
              <w:t>A</w:t>
            </w:r>
            <w:r w:rsidR="00782052" w:rsidRPr="0044423B">
              <w:t xml:space="preserve"> RET tends to decrease wholesale prices due to the addition</w:t>
            </w:r>
            <w:r w:rsidR="00782052">
              <w:t xml:space="preserve"> of new, </w:t>
            </w:r>
            <w:r w:rsidR="00782052" w:rsidRPr="0044423B">
              <w:t xml:space="preserve">low cost </w:t>
            </w:r>
            <w:r w:rsidR="00782052">
              <w:t>and subsidised</w:t>
            </w:r>
            <w:r w:rsidR="00782052" w:rsidRPr="0044423B">
              <w:t xml:space="preserve"> renewable capacity. </w:t>
            </w:r>
          </w:p>
          <w:p w:rsidR="00782052" w:rsidRPr="0044423B" w:rsidRDefault="00782052" w:rsidP="00782052">
            <w:pPr>
              <w:pStyle w:val="TableListBullet"/>
              <w:numPr>
                <w:ilvl w:val="0"/>
                <w:numId w:val="0"/>
              </w:numPr>
            </w:pPr>
            <w:r w:rsidRPr="00782052">
              <w:t>In both cases, a</w:t>
            </w:r>
            <w:r w:rsidRPr="0044423B">
              <w:t>ll generators that are dispatched receive the new wholesale price—higher for cap and trade</w:t>
            </w:r>
            <w:r w:rsidR="00586FDB">
              <w:t xml:space="preserve"> and emissions intensity</w:t>
            </w:r>
            <w:r w:rsidR="00A34E93">
              <w:t xml:space="preserve"> schemes</w:t>
            </w:r>
            <w:r w:rsidR="00586FDB">
              <w:t xml:space="preserve"> (but to a less</w:t>
            </w:r>
            <w:r w:rsidR="00FF6283">
              <w:t>er</w:t>
            </w:r>
            <w:r w:rsidR="00586FDB">
              <w:t xml:space="preserve"> extent</w:t>
            </w:r>
            <w:r w:rsidR="00A34E93">
              <w:t xml:space="preserve"> for emissions intensity schemes</w:t>
            </w:r>
            <w:r w:rsidR="00586FDB">
              <w:t xml:space="preserve">, as explained in </w:t>
            </w:r>
            <w:r w:rsidR="00CA762C">
              <w:t>Box 5</w:t>
            </w:r>
            <w:r w:rsidR="00586FDB">
              <w:t>)</w:t>
            </w:r>
            <w:r w:rsidRPr="0044423B">
              <w:t xml:space="preserve">, but lower for </w:t>
            </w:r>
            <w:r w:rsidR="000A1B30">
              <w:t>a</w:t>
            </w:r>
            <w:r w:rsidRPr="0044423B">
              <w:t xml:space="preserve"> RET. </w:t>
            </w:r>
          </w:p>
          <w:p w:rsidR="002830A7" w:rsidRPr="00366143" w:rsidRDefault="00782052" w:rsidP="000A1B30">
            <w:pPr>
              <w:pStyle w:val="TableListBullet"/>
              <w:numPr>
                <w:ilvl w:val="0"/>
                <w:numId w:val="0"/>
              </w:numPr>
            </w:pPr>
            <w:r w:rsidRPr="0044423B">
              <w:t>The effect on final consumer prices and on the overall cost of the</w:t>
            </w:r>
            <w:r>
              <w:t xml:space="preserve"> electricity system will be different to the impacts on the wholesale market. For example, the costs of subsidies under </w:t>
            </w:r>
            <w:r w:rsidR="000A1B30">
              <w:t>a</w:t>
            </w:r>
            <w:r>
              <w:t xml:space="preserve"> RET are passed on to consumers by retailers. For RETs with higher targets, the increased costs can more than offset the lower wholesale prices, so that the retail prices may be higher overall. The impact of different policies on wholesale and retail prices is discussed further in </w:t>
            </w:r>
            <w:r w:rsidR="00CA762C">
              <w:t>Chapter 4</w:t>
            </w:r>
            <w:r>
              <w:t xml:space="preserve"> and</w:t>
            </w:r>
            <w:r w:rsidR="00A54321">
              <w:t xml:space="preserve"> </w:t>
            </w:r>
            <w:r w:rsidR="00CA762C">
              <w:t>Box 7</w:t>
            </w:r>
            <w:r>
              <w:rPr>
                <w:bCs w:val="0"/>
              </w:rPr>
              <w:t>.</w:t>
            </w:r>
          </w:p>
        </w:tc>
      </w:tr>
    </w:tbl>
    <w:p w:rsidR="002830A7" w:rsidRDefault="002830A7" w:rsidP="00BA21CE"/>
    <w:p w:rsidR="00B50137" w:rsidRPr="00312C88" w:rsidRDefault="00B50137" w:rsidP="00E9298D">
      <w:pPr>
        <w:pStyle w:val="Caption"/>
      </w:pPr>
      <w:bookmarkStart w:id="282" w:name="_Ref443311821"/>
      <w:bookmarkStart w:id="283" w:name="_Toc460318039"/>
      <w:bookmarkEnd w:id="274"/>
      <w:bookmarkEnd w:id="275"/>
      <w:bookmarkEnd w:id="276"/>
      <w:bookmarkEnd w:id="277"/>
      <w:bookmarkEnd w:id="278"/>
      <w:bookmarkEnd w:id="279"/>
      <w:bookmarkEnd w:id="280"/>
      <w:bookmarkEnd w:id="281"/>
      <w:r w:rsidRPr="00312C88">
        <w:t xml:space="preserve">Figure </w:t>
      </w:r>
      <w:r w:rsidR="00CA762C">
        <w:rPr>
          <w:noProof/>
        </w:rPr>
        <w:t>8</w:t>
      </w:r>
      <w:bookmarkEnd w:id="282"/>
      <w:r w:rsidR="00A6425D">
        <w:tab/>
      </w:r>
      <w:r w:rsidRPr="005E7BE5">
        <w:t>Breakdown of average national residential electricity price, 2014</w:t>
      </w:r>
      <w:r w:rsidR="0051126D">
        <w:t>–</w:t>
      </w:r>
      <w:r w:rsidRPr="00312C88">
        <w:t>15</w:t>
      </w:r>
      <w:bookmarkEnd w:id="283"/>
    </w:p>
    <w:p w:rsidR="00B50137" w:rsidRDefault="009B2FAA" w:rsidP="009B2FAA">
      <w:pPr>
        <w:pStyle w:val="BodyText"/>
        <w:keepNext/>
        <w:jc w:val="center"/>
      </w:pPr>
      <w:r>
        <w:rPr>
          <w:noProof/>
          <w:lang w:eastAsia="en-AU"/>
        </w:rPr>
        <w:drawing>
          <wp:inline distT="0" distB="0" distL="0" distR="0" wp14:anchorId="12778115" wp14:editId="0D9FB6B5">
            <wp:extent cx="4590415" cy="317627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0415" cy="3176270"/>
                    </a:xfrm>
                    <a:prstGeom prst="rect">
                      <a:avLst/>
                    </a:prstGeom>
                    <a:noFill/>
                  </pic:spPr>
                </pic:pic>
              </a:graphicData>
            </a:graphic>
          </wp:inline>
        </w:drawing>
      </w:r>
    </w:p>
    <w:p w:rsidR="00782052" w:rsidRPr="00D20EE2" w:rsidRDefault="00782052" w:rsidP="00782052">
      <w:pPr>
        <w:pStyle w:val="TableNote"/>
        <w:spacing w:after="0"/>
        <w:rPr>
          <w:szCs w:val="18"/>
        </w:rPr>
      </w:pPr>
      <w:r w:rsidRPr="00523498">
        <w:rPr>
          <w:b/>
          <w:szCs w:val="18"/>
        </w:rPr>
        <w:t>Note:</w:t>
      </w:r>
      <w:r w:rsidRPr="00D20EE2">
        <w:rPr>
          <w:szCs w:val="18"/>
        </w:rPr>
        <w:t xml:space="preserve"> Based on 2014</w:t>
      </w:r>
      <w:r w:rsidR="0051126D">
        <w:rPr>
          <w:szCs w:val="18"/>
        </w:rPr>
        <w:t>–</w:t>
      </w:r>
      <w:r w:rsidRPr="00D20EE2">
        <w:rPr>
          <w:szCs w:val="18"/>
        </w:rPr>
        <w:t xml:space="preserve">15 national weighted average residential </w:t>
      </w:r>
      <w:r>
        <w:rPr>
          <w:szCs w:val="18"/>
        </w:rPr>
        <w:t>electricity</w:t>
      </w:r>
      <w:r w:rsidRPr="00D20EE2">
        <w:rPr>
          <w:szCs w:val="18"/>
        </w:rPr>
        <w:t xml:space="preserve"> </w:t>
      </w:r>
      <w:proofErr w:type="gramStart"/>
      <w:r w:rsidRPr="00D20EE2">
        <w:rPr>
          <w:szCs w:val="18"/>
        </w:rPr>
        <w:t>price</w:t>
      </w:r>
      <w:proofErr w:type="gramEnd"/>
      <w:r w:rsidRPr="00D20EE2">
        <w:rPr>
          <w:szCs w:val="18"/>
        </w:rPr>
        <w:t xml:space="preserve">, cents per kilowatt hour costs. </w:t>
      </w:r>
      <w:r>
        <w:rPr>
          <w:szCs w:val="18"/>
        </w:rPr>
        <w:t xml:space="preserve">National numbers are averages of jurisdictional results. Breakdown between retail business and wholesale is </w:t>
      </w:r>
      <w:r w:rsidR="00C94237">
        <w:rPr>
          <w:szCs w:val="18"/>
        </w:rPr>
        <w:t xml:space="preserve">a </w:t>
      </w:r>
      <w:r>
        <w:rPr>
          <w:szCs w:val="18"/>
        </w:rPr>
        <w:t>Climate Change Authority calculat</w:t>
      </w:r>
      <w:r w:rsidR="0051126D">
        <w:rPr>
          <w:szCs w:val="18"/>
        </w:rPr>
        <w:t>ion using the most recent (2012–</w:t>
      </w:r>
      <w:r>
        <w:rPr>
          <w:szCs w:val="18"/>
        </w:rPr>
        <w:t>13) data for the split between the two. While the AEMC no longer publishes separate retail business and wholesale components, the split between the two is likely to have remained stable.</w:t>
      </w:r>
    </w:p>
    <w:p w:rsidR="00B50137" w:rsidRPr="00D20EE2" w:rsidRDefault="00782052" w:rsidP="00017425">
      <w:pPr>
        <w:pStyle w:val="TableNote"/>
        <w:spacing w:before="0" w:after="0"/>
        <w:rPr>
          <w:szCs w:val="18"/>
        </w:rPr>
      </w:pPr>
      <w:r w:rsidRPr="00B154A8">
        <w:rPr>
          <w:b/>
          <w:szCs w:val="18"/>
        </w:rPr>
        <w:t>Source:</w:t>
      </w:r>
      <w:r w:rsidRPr="00D20EE2">
        <w:rPr>
          <w:szCs w:val="18"/>
        </w:rPr>
        <w:t xml:space="preserve"> C</w:t>
      </w:r>
      <w:r>
        <w:rPr>
          <w:szCs w:val="18"/>
        </w:rPr>
        <w:t xml:space="preserve">limate </w:t>
      </w:r>
      <w:r w:rsidRPr="00D20EE2">
        <w:rPr>
          <w:szCs w:val="18"/>
        </w:rPr>
        <w:t>C</w:t>
      </w:r>
      <w:r>
        <w:rPr>
          <w:szCs w:val="18"/>
        </w:rPr>
        <w:t xml:space="preserve">hange </w:t>
      </w:r>
      <w:r w:rsidRPr="00D20EE2">
        <w:rPr>
          <w:szCs w:val="18"/>
        </w:rPr>
        <w:t>A</w:t>
      </w:r>
      <w:r>
        <w:rPr>
          <w:szCs w:val="18"/>
        </w:rPr>
        <w:t>uthority</w:t>
      </w:r>
      <w:r w:rsidRPr="00D20EE2">
        <w:rPr>
          <w:szCs w:val="18"/>
        </w:rPr>
        <w:t xml:space="preserve"> based on</w:t>
      </w:r>
      <w:r>
        <w:rPr>
          <w:szCs w:val="18"/>
        </w:rPr>
        <w:t xml:space="preserve"> </w:t>
      </w:r>
      <w:bookmarkStart w:id="284" w:name="_CTVP001715f6ae084724691a98af4d9dc50ab01"/>
      <w:r w:rsidR="0059109A">
        <w:rPr>
          <w:szCs w:val="18"/>
        </w:rPr>
        <w:t>AEMC 2013, 2015b</w:t>
      </w:r>
      <w:bookmarkEnd w:id="284"/>
      <w:r>
        <w:rPr>
          <w:szCs w:val="18"/>
        </w:rPr>
        <w:t>.</w:t>
      </w:r>
    </w:p>
    <w:p w:rsidR="00B50137" w:rsidRPr="00DE01A5" w:rsidRDefault="00B50137" w:rsidP="009818D9">
      <w:pPr>
        <w:pStyle w:val="ChapterHeading3"/>
        <w:numPr>
          <w:ilvl w:val="2"/>
          <w:numId w:val="15"/>
        </w:numPr>
        <w:rPr>
          <w:rStyle w:val="Para0Char"/>
          <w:rFonts w:eastAsiaTheme="minorHAnsi"/>
          <w:sz w:val="26"/>
          <w:szCs w:val="26"/>
        </w:rPr>
      </w:pPr>
      <w:bookmarkStart w:id="285" w:name="_Toc444610041"/>
      <w:bookmarkStart w:id="286" w:name="_Toc447182436"/>
      <w:bookmarkStart w:id="287" w:name="_Toc447183281"/>
      <w:bookmarkStart w:id="288" w:name="_Toc447183355"/>
      <w:bookmarkStart w:id="289" w:name="_Toc447183393"/>
      <w:bookmarkStart w:id="290" w:name="_Toc447183481"/>
      <w:bookmarkStart w:id="291" w:name="_Toc447183540"/>
      <w:bookmarkStart w:id="292" w:name="_Toc448132689"/>
      <w:bookmarkStart w:id="293" w:name="_Toc448151749"/>
      <w:bookmarkStart w:id="294" w:name="_Toc448151817"/>
      <w:bookmarkStart w:id="295" w:name="_Ref459985726"/>
      <w:bookmarkStart w:id="296" w:name="_Toc460317987"/>
      <w:r w:rsidRPr="00DE01A5">
        <w:rPr>
          <w:rStyle w:val="Para0Char"/>
          <w:rFonts w:eastAsiaTheme="minorHAnsi"/>
          <w:sz w:val="26"/>
          <w:szCs w:val="26"/>
        </w:rPr>
        <w:t>Electricity demand</w:t>
      </w:r>
      <w:bookmarkEnd w:id="285"/>
      <w:bookmarkEnd w:id="286"/>
      <w:bookmarkEnd w:id="287"/>
      <w:bookmarkEnd w:id="288"/>
      <w:bookmarkEnd w:id="289"/>
      <w:bookmarkEnd w:id="290"/>
      <w:bookmarkEnd w:id="291"/>
      <w:bookmarkEnd w:id="292"/>
      <w:bookmarkEnd w:id="293"/>
      <w:bookmarkEnd w:id="294"/>
      <w:bookmarkEnd w:id="295"/>
      <w:bookmarkEnd w:id="296"/>
      <w:r w:rsidRPr="00DE01A5">
        <w:rPr>
          <w:rStyle w:val="Para0Char"/>
          <w:rFonts w:eastAsiaTheme="minorHAnsi"/>
          <w:sz w:val="26"/>
          <w:szCs w:val="26"/>
        </w:rPr>
        <w:t xml:space="preserve"> </w:t>
      </w:r>
    </w:p>
    <w:p w:rsidR="00B50137" w:rsidRDefault="00B50137" w:rsidP="00FC13E7">
      <w:pPr>
        <w:pStyle w:val="BodyText"/>
        <w:rPr>
          <w:rStyle w:val="Para0Char"/>
          <w:rFonts w:eastAsiaTheme="minorHAnsi"/>
          <w:sz w:val="21"/>
          <w:szCs w:val="22"/>
          <w:lang w:val="en-AU"/>
        </w:rPr>
      </w:pPr>
      <w:r w:rsidRPr="00FC13E7">
        <w:rPr>
          <w:rStyle w:val="Para0Char"/>
          <w:rFonts w:eastAsiaTheme="minorHAnsi"/>
          <w:sz w:val="21"/>
          <w:szCs w:val="22"/>
          <w:lang w:val="en-AU"/>
        </w:rPr>
        <w:t>Electricity demand is of interest for climate policy because the level of demand determines the emissions from a given generation mix. With the current generation mix,</w:t>
      </w:r>
      <w:r w:rsidRPr="00FC13E7">
        <w:t xml:space="preserve"> </w:t>
      </w:r>
      <w:r w:rsidR="000D54B0">
        <w:rPr>
          <w:rStyle w:val="Para0Char"/>
          <w:rFonts w:eastAsiaTheme="minorHAnsi"/>
          <w:sz w:val="21"/>
          <w:szCs w:val="22"/>
          <w:lang w:val="en-AU"/>
        </w:rPr>
        <w:t>growth in</w:t>
      </w:r>
      <w:r w:rsidRPr="00FC13E7">
        <w:rPr>
          <w:rStyle w:val="Para0Char"/>
          <w:rFonts w:eastAsiaTheme="minorHAnsi"/>
          <w:sz w:val="21"/>
          <w:szCs w:val="22"/>
          <w:lang w:val="en-AU"/>
        </w:rPr>
        <w:t xml:space="preserve"> electricity demand </w:t>
      </w:r>
      <w:r w:rsidR="000D54B0">
        <w:rPr>
          <w:rStyle w:val="Para0Char"/>
          <w:rFonts w:eastAsiaTheme="minorHAnsi"/>
          <w:sz w:val="21"/>
          <w:szCs w:val="22"/>
          <w:lang w:val="en-AU"/>
        </w:rPr>
        <w:lastRenderedPageBreak/>
        <w:t>w</w:t>
      </w:r>
      <w:r w:rsidR="00B42291">
        <w:rPr>
          <w:rStyle w:val="Para0Char"/>
          <w:rFonts w:eastAsiaTheme="minorHAnsi"/>
          <w:sz w:val="21"/>
          <w:szCs w:val="22"/>
          <w:lang w:val="en-AU"/>
        </w:rPr>
        <w:t>ould</w:t>
      </w:r>
      <w:r w:rsidR="000D54B0">
        <w:rPr>
          <w:rStyle w:val="Para0Char"/>
          <w:rFonts w:eastAsiaTheme="minorHAnsi"/>
          <w:sz w:val="21"/>
          <w:szCs w:val="22"/>
          <w:lang w:val="en-AU"/>
        </w:rPr>
        <w:t xml:space="preserve"> </w:t>
      </w:r>
      <w:r w:rsidRPr="00FC13E7">
        <w:rPr>
          <w:rStyle w:val="Para0Char"/>
          <w:rFonts w:eastAsiaTheme="minorHAnsi"/>
          <w:sz w:val="21"/>
          <w:szCs w:val="22"/>
          <w:lang w:val="en-AU"/>
        </w:rPr>
        <w:t xml:space="preserve">mean higher electricity sector emissions and therefore a larger task for any climate policy to meet emissions reduction targets. </w:t>
      </w:r>
    </w:p>
    <w:p w:rsidR="00691F52" w:rsidRPr="00FC13E7" w:rsidRDefault="00CA762C" w:rsidP="00FC13E7">
      <w:pPr>
        <w:pStyle w:val="BodyText"/>
        <w:rPr>
          <w:rStyle w:val="Para0Char"/>
          <w:rFonts w:eastAsiaTheme="minorHAnsi"/>
          <w:sz w:val="21"/>
          <w:szCs w:val="22"/>
          <w:lang w:val="en-AU"/>
        </w:rPr>
      </w:pPr>
      <w:r w:rsidRPr="00CA762C">
        <w:rPr>
          <w:szCs w:val="21"/>
        </w:rPr>
        <w:t xml:space="preserve">Figure </w:t>
      </w:r>
      <w:r w:rsidRPr="00CA762C">
        <w:rPr>
          <w:noProof/>
          <w:szCs w:val="21"/>
        </w:rPr>
        <w:t>9</w:t>
      </w:r>
      <w:r w:rsidR="00691F52" w:rsidRPr="00F522F3">
        <w:rPr>
          <w:rStyle w:val="Para0Char"/>
          <w:sz w:val="21"/>
          <w:szCs w:val="21"/>
        </w:rPr>
        <w:t xml:space="preserve"> shows operational </w:t>
      </w:r>
      <w:r w:rsidR="00AE3428">
        <w:rPr>
          <w:rStyle w:val="Para0Char"/>
          <w:sz w:val="21"/>
          <w:szCs w:val="21"/>
        </w:rPr>
        <w:t>demand</w:t>
      </w:r>
      <w:r w:rsidR="00AE3428" w:rsidRPr="00E434A7">
        <w:rPr>
          <w:rStyle w:val="Para0Char"/>
          <w:sz w:val="21"/>
          <w:szCs w:val="21"/>
        </w:rPr>
        <w:t xml:space="preserve"> </w:t>
      </w:r>
      <w:r w:rsidR="00691F52">
        <w:rPr>
          <w:rStyle w:val="Para0Char"/>
          <w:sz w:val="21"/>
          <w:szCs w:val="21"/>
        </w:rPr>
        <w:t>(</w:t>
      </w:r>
      <w:r w:rsidR="00691F52" w:rsidRPr="00F522F3">
        <w:rPr>
          <w:rStyle w:val="Para0Char"/>
          <w:sz w:val="21"/>
          <w:szCs w:val="21"/>
        </w:rPr>
        <w:t xml:space="preserve">that is, </w:t>
      </w:r>
      <w:r w:rsidR="00691F52">
        <w:rPr>
          <w:rStyle w:val="Para0Char"/>
          <w:sz w:val="21"/>
          <w:szCs w:val="21"/>
        </w:rPr>
        <w:t>electricity</w:t>
      </w:r>
      <w:r w:rsidR="00691F52" w:rsidRPr="00F522F3">
        <w:rPr>
          <w:rStyle w:val="Para0Char"/>
          <w:sz w:val="21"/>
          <w:szCs w:val="21"/>
        </w:rPr>
        <w:t xml:space="preserve"> from the grid</w:t>
      </w:r>
      <w:r w:rsidR="00691F52">
        <w:rPr>
          <w:rStyle w:val="Para0Char"/>
          <w:sz w:val="21"/>
          <w:szCs w:val="21"/>
        </w:rPr>
        <w:t xml:space="preserve"> including transmission losses and</w:t>
      </w:r>
      <w:r w:rsidR="00691F52" w:rsidRPr="00F522F3">
        <w:rPr>
          <w:rStyle w:val="Para0Char"/>
          <w:sz w:val="21"/>
          <w:szCs w:val="21"/>
        </w:rPr>
        <w:t xml:space="preserve"> excluding generation from rooftop PV</w:t>
      </w:r>
      <w:r w:rsidR="00691F52">
        <w:rPr>
          <w:rStyle w:val="Para0Char"/>
          <w:sz w:val="21"/>
          <w:szCs w:val="21"/>
        </w:rPr>
        <w:t>)</w:t>
      </w:r>
      <w:r w:rsidR="00691F52" w:rsidRPr="00F522F3">
        <w:rPr>
          <w:rStyle w:val="Para0Char"/>
          <w:sz w:val="21"/>
          <w:szCs w:val="21"/>
        </w:rPr>
        <w:t xml:space="preserve"> in the NEM </w:t>
      </w:r>
      <w:r w:rsidR="00691F52">
        <w:rPr>
          <w:rStyle w:val="Para0Char"/>
          <w:sz w:val="21"/>
          <w:szCs w:val="21"/>
        </w:rPr>
        <w:t xml:space="preserve">and WEM. In the NEM, </w:t>
      </w:r>
      <w:r w:rsidR="00AE3428">
        <w:rPr>
          <w:rStyle w:val="Para0Char"/>
          <w:sz w:val="21"/>
          <w:szCs w:val="21"/>
        </w:rPr>
        <w:t xml:space="preserve">demand </w:t>
      </w:r>
      <w:r w:rsidR="00691F52" w:rsidRPr="00F522F3">
        <w:rPr>
          <w:rStyle w:val="Para0Char"/>
          <w:sz w:val="21"/>
          <w:szCs w:val="21"/>
        </w:rPr>
        <w:t>declined from its peak in 2008</w:t>
      </w:r>
      <w:r w:rsidR="008760FA">
        <w:rPr>
          <w:rStyle w:val="Para0Char"/>
          <w:sz w:val="21"/>
          <w:szCs w:val="21"/>
        </w:rPr>
        <w:t>–</w:t>
      </w:r>
      <w:r w:rsidR="00691F52" w:rsidRPr="00F522F3">
        <w:rPr>
          <w:rStyle w:val="Para0Char"/>
          <w:sz w:val="21"/>
          <w:szCs w:val="21"/>
        </w:rPr>
        <w:t>09</w:t>
      </w:r>
      <w:r w:rsidR="00691F52">
        <w:rPr>
          <w:rStyle w:val="Para0Char"/>
          <w:sz w:val="21"/>
          <w:szCs w:val="21"/>
        </w:rPr>
        <w:t xml:space="preserve"> and</w:t>
      </w:r>
      <w:r w:rsidR="00691F52" w:rsidRPr="00F522F3">
        <w:rPr>
          <w:rStyle w:val="Para0Char"/>
          <w:sz w:val="21"/>
          <w:szCs w:val="21"/>
        </w:rPr>
        <w:t xml:space="preserve"> fell at an average rate of 1.5</w:t>
      </w:r>
      <w:r w:rsidR="00691F52" w:rsidRPr="00F522F3">
        <w:rPr>
          <w:szCs w:val="21"/>
        </w:rPr>
        <w:t> per cent</w:t>
      </w:r>
      <w:r w:rsidR="00691F52" w:rsidRPr="00F522F3">
        <w:rPr>
          <w:rStyle w:val="Para0Char"/>
          <w:sz w:val="21"/>
          <w:szCs w:val="21"/>
        </w:rPr>
        <w:t> per year in the five years to 2014</w:t>
      </w:r>
      <w:r w:rsidR="008760FA">
        <w:rPr>
          <w:rStyle w:val="Para0Char"/>
          <w:sz w:val="21"/>
          <w:szCs w:val="21"/>
        </w:rPr>
        <w:t>–</w:t>
      </w:r>
      <w:r w:rsidR="00691F52" w:rsidRPr="00F522F3">
        <w:rPr>
          <w:rStyle w:val="Para0Char"/>
          <w:sz w:val="21"/>
          <w:szCs w:val="21"/>
        </w:rPr>
        <w:t xml:space="preserve">15, </w:t>
      </w:r>
      <w:r w:rsidR="00691F52" w:rsidRPr="00F522F3">
        <w:rPr>
          <w:szCs w:val="21"/>
        </w:rPr>
        <w:t xml:space="preserve">despite a growing population </w:t>
      </w:r>
      <w:r w:rsidR="00691F52">
        <w:t xml:space="preserve">and economy </w:t>
      </w:r>
      <w:bookmarkStart w:id="297" w:name="_CTVP001ba9d0d22f897414ea3abcfdfb3015ad1"/>
      <w:r w:rsidR="0059109A">
        <w:t>(AEMO 2015c, p. 8)</w:t>
      </w:r>
      <w:bookmarkEnd w:id="297"/>
      <w:r w:rsidR="00691F52">
        <w:rPr>
          <w:rStyle w:val="Para0Char"/>
          <w:sz w:val="21"/>
          <w:szCs w:val="21"/>
        </w:rPr>
        <w:t>. Growth in o</w:t>
      </w:r>
      <w:r w:rsidR="00691F52" w:rsidRPr="00F522F3">
        <w:rPr>
          <w:rStyle w:val="Para0Char"/>
          <w:sz w:val="21"/>
          <w:szCs w:val="21"/>
        </w:rPr>
        <w:t xml:space="preserve">perational </w:t>
      </w:r>
      <w:r w:rsidR="00AE3428">
        <w:rPr>
          <w:rStyle w:val="Para0Char"/>
          <w:sz w:val="21"/>
          <w:szCs w:val="21"/>
        </w:rPr>
        <w:t>demand</w:t>
      </w:r>
      <w:r w:rsidR="00AE3428" w:rsidRPr="00F522F3">
        <w:rPr>
          <w:rStyle w:val="Para0Char"/>
          <w:sz w:val="21"/>
          <w:szCs w:val="21"/>
        </w:rPr>
        <w:t xml:space="preserve"> </w:t>
      </w:r>
      <w:r w:rsidR="00691F52" w:rsidRPr="00F522F3">
        <w:rPr>
          <w:rStyle w:val="Para0Char"/>
          <w:sz w:val="21"/>
          <w:szCs w:val="21"/>
        </w:rPr>
        <w:t>in the WEM slowed from 2011</w:t>
      </w:r>
      <w:r w:rsidR="008760FA">
        <w:rPr>
          <w:rStyle w:val="Para0Char"/>
          <w:sz w:val="21"/>
          <w:szCs w:val="21"/>
        </w:rPr>
        <w:t>–</w:t>
      </w:r>
      <w:r w:rsidR="00691F52" w:rsidRPr="00F522F3">
        <w:rPr>
          <w:rStyle w:val="Para0Char"/>
          <w:sz w:val="21"/>
          <w:szCs w:val="21"/>
        </w:rPr>
        <w:t xml:space="preserve">12. </w:t>
      </w:r>
      <w:r w:rsidR="00691F52">
        <w:rPr>
          <w:rStyle w:val="Para0Char"/>
          <w:sz w:val="21"/>
          <w:szCs w:val="21"/>
        </w:rPr>
        <w:t>In the NEM, the</w:t>
      </w:r>
      <w:r w:rsidR="00691F52">
        <w:t xml:space="preserve"> fall in </w:t>
      </w:r>
      <w:r w:rsidR="00BC2270">
        <w:t xml:space="preserve">demand </w:t>
      </w:r>
      <w:r w:rsidR="00691F52">
        <w:t xml:space="preserve">was not just driven by a shift towards rooftop PV. Underlying </w:t>
      </w:r>
      <w:r w:rsidR="00BC2270">
        <w:t>demand</w:t>
      </w:r>
      <w:r w:rsidR="00691F52">
        <w:t>, which includes generation from rooftop PV, fell by about 1.5 per cent per year over 2009</w:t>
      </w:r>
      <w:r w:rsidR="008760FA">
        <w:t>–</w:t>
      </w:r>
      <w:r w:rsidR="00691F52">
        <w:t>10 to 2013</w:t>
      </w:r>
      <w:r w:rsidR="008760FA">
        <w:t>–</w:t>
      </w:r>
      <w:r w:rsidR="00691F52">
        <w:t xml:space="preserve">14 (Climate Change Authority based on </w:t>
      </w:r>
      <w:bookmarkStart w:id="298" w:name="_CTVP001a92e83b218d34560ab638729b98b6f7a"/>
      <w:r w:rsidR="0059109A">
        <w:t>AEMO 2015b</w:t>
      </w:r>
      <w:bookmarkEnd w:id="298"/>
      <w:r w:rsidR="00691F52">
        <w:t xml:space="preserve">). </w:t>
      </w:r>
      <w:r w:rsidR="00BC2270">
        <w:t xml:space="preserve">Demand </w:t>
      </w:r>
      <w:r w:rsidR="00691F52">
        <w:t xml:space="preserve">fell across all three consumer categories in the NEM—commercial, residential and industrial—with different factors driving the falls in each case </w:t>
      </w:r>
      <w:bookmarkStart w:id="299" w:name="_CTVP001cc4285b4dc2d4d459d576638afde97eb"/>
      <w:r w:rsidR="0059109A">
        <w:t>(AEMO 2015c, p. 9)</w:t>
      </w:r>
      <w:bookmarkEnd w:id="299"/>
      <w:r w:rsidR="00691F52">
        <w:t>.</w:t>
      </w:r>
    </w:p>
    <w:p w:rsidR="00B50137" w:rsidRDefault="00B50137" w:rsidP="00B50137">
      <w:pPr>
        <w:pStyle w:val="Caption"/>
      </w:pPr>
      <w:bookmarkStart w:id="300" w:name="_Ref447015543"/>
      <w:bookmarkStart w:id="301" w:name="_Toc460318040"/>
      <w:r>
        <w:t xml:space="preserve">Figure </w:t>
      </w:r>
      <w:r w:rsidR="00CA762C">
        <w:rPr>
          <w:noProof/>
        </w:rPr>
        <w:t>9</w:t>
      </w:r>
      <w:bookmarkEnd w:id="300"/>
      <w:r w:rsidR="00A6425D">
        <w:tab/>
      </w:r>
      <w:r w:rsidR="007E755A">
        <w:t xml:space="preserve">Operational </w:t>
      </w:r>
      <w:r w:rsidR="0048067B">
        <w:t xml:space="preserve">electricity </w:t>
      </w:r>
      <w:r w:rsidR="00AE3428">
        <w:t>demand</w:t>
      </w:r>
      <w:r w:rsidR="001628D7">
        <w:t xml:space="preserve">, NEM </w:t>
      </w:r>
      <w:r w:rsidR="00323760">
        <w:t>and WEM, 2006–201</w:t>
      </w:r>
      <w:r w:rsidR="00125424">
        <w:t>6</w:t>
      </w:r>
      <w:bookmarkEnd w:id="301"/>
    </w:p>
    <w:p w:rsidR="00B50137" w:rsidRDefault="00125424" w:rsidP="00B50137">
      <w:pPr>
        <w:pStyle w:val="BodyText"/>
        <w:rPr>
          <w:rStyle w:val="Para0Char"/>
        </w:rPr>
      </w:pPr>
      <w:r>
        <w:rPr>
          <w:rFonts w:eastAsiaTheme="minorEastAsia"/>
          <w:noProof/>
          <w:sz w:val="20"/>
          <w:szCs w:val="24"/>
          <w:lang w:eastAsia="en-AU"/>
        </w:rPr>
        <w:drawing>
          <wp:inline distT="0" distB="0" distL="0" distR="0" wp14:anchorId="4330FA72" wp14:editId="4904C633">
            <wp:extent cx="5865996" cy="3040912"/>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1729" cy="3038700"/>
                    </a:xfrm>
                    <a:prstGeom prst="rect">
                      <a:avLst/>
                    </a:prstGeom>
                    <a:noFill/>
                  </pic:spPr>
                </pic:pic>
              </a:graphicData>
            </a:graphic>
          </wp:inline>
        </w:drawing>
      </w:r>
    </w:p>
    <w:p w:rsidR="00B50137" w:rsidRPr="00725285" w:rsidRDefault="00861456" w:rsidP="00CE47F4">
      <w:pPr>
        <w:pStyle w:val="TableNote"/>
      </w:pPr>
      <w:r>
        <w:rPr>
          <w:b/>
        </w:rPr>
        <w:t xml:space="preserve">Note: </w:t>
      </w:r>
      <w:r>
        <w:t xml:space="preserve">Years refer to financial years ending June. </w:t>
      </w:r>
      <w:r>
        <w:rPr>
          <w:b/>
        </w:rPr>
        <w:br/>
      </w:r>
      <w:r w:rsidR="00B50137" w:rsidRPr="00523498">
        <w:rPr>
          <w:b/>
        </w:rPr>
        <w:t>Source:</w:t>
      </w:r>
      <w:r w:rsidR="00B50137" w:rsidRPr="00725285">
        <w:t xml:space="preserve"> Climate Change Authority based on </w:t>
      </w:r>
      <w:bookmarkStart w:id="302" w:name="_CTVP0013733a4b83ebc45bc8939623705fe1bd4"/>
      <w:r w:rsidR="00B053FC">
        <w:t>Independent Market Operator 2015; AEMO 2015b, 2016e, 2016b</w:t>
      </w:r>
      <w:bookmarkEnd w:id="302"/>
      <w:r w:rsidR="00B50137" w:rsidRPr="00725285">
        <w:t>.</w:t>
      </w:r>
    </w:p>
    <w:p w:rsidR="00B50137" w:rsidRDefault="00B50137" w:rsidP="00B50137">
      <w:pPr>
        <w:pStyle w:val="ListBullet"/>
      </w:pPr>
      <w:r>
        <w:t xml:space="preserve">In the residential and commercial sectors, operational </w:t>
      </w:r>
      <w:r w:rsidR="00BC2270">
        <w:t xml:space="preserve">demand </w:t>
      </w:r>
      <w:r>
        <w:t>fell due to growing uptake of rooftop solar, but underlying demand also fell, driven by greater energy efficiency—encouraged through government schemes including appliance energy efficiency standards, and responses to rapidly increasing electricity prices</w:t>
      </w:r>
      <w:r w:rsidR="00D700F0">
        <w:t xml:space="preserve"> </w:t>
      </w:r>
      <w:bookmarkStart w:id="303" w:name="_CTVP001c242a9241c9844cf980ef90ff03e83c9"/>
      <w:r w:rsidR="0059109A">
        <w:t>(AEMO 2015c, p. 9)</w:t>
      </w:r>
      <w:bookmarkEnd w:id="303"/>
      <w:r>
        <w:t xml:space="preserve">. </w:t>
      </w:r>
    </w:p>
    <w:p w:rsidR="00B50137" w:rsidRDefault="00B50137" w:rsidP="00B50137">
      <w:pPr>
        <w:pStyle w:val="ListBullet"/>
      </w:pPr>
      <w:r>
        <w:t xml:space="preserve">In the industrial sector, operational </w:t>
      </w:r>
      <w:r w:rsidR="00BC2270">
        <w:t xml:space="preserve">demand </w:t>
      </w:r>
      <w:r>
        <w:t>decreased overall</w:t>
      </w:r>
      <w:r w:rsidR="00863C4B">
        <w:t xml:space="preserve"> from 2010</w:t>
      </w:r>
      <w:r w:rsidR="008760FA">
        <w:t>–</w:t>
      </w:r>
      <w:r w:rsidR="00863C4B">
        <w:t>11</w:t>
      </w:r>
      <w:r>
        <w:t xml:space="preserve">, but varied across </w:t>
      </w:r>
      <w:r w:rsidR="00D700F0">
        <w:t>sub</w:t>
      </w:r>
      <w:r w:rsidR="00951152">
        <w:noBreakHyphen/>
      </w:r>
      <w:r>
        <w:t>sectors, increasing in some such as coal and metal ore mining, while decreasing in other</w:t>
      </w:r>
      <w:r w:rsidR="00D700F0">
        <w:t>s</w:t>
      </w:r>
      <w:r>
        <w:t xml:space="preserve"> such as aluminium smelting, steel making, vehicle manufacturing and other manufacturing</w:t>
      </w:r>
      <w:r w:rsidR="00D700F0">
        <w:t xml:space="preserve"> </w:t>
      </w:r>
      <w:bookmarkStart w:id="304" w:name="_CTVP001a9b4b17f13a64752b42e7d0af85d9752"/>
      <w:r w:rsidR="0059109A">
        <w:t>(AEMO 2015c, p. 9)</w:t>
      </w:r>
      <w:bookmarkEnd w:id="304"/>
      <w:r>
        <w:t xml:space="preserve">. </w:t>
      </w:r>
    </w:p>
    <w:p w:rsidR="00B50137" w:rsidRDefault="0048067B" w:rsidP="00B50137">
      <w:pPr>
        <w:pStyle w:val="ListBullet"/>
        <w:numPr>
          <w:ilvl w:val="0"/>
          <w:numId w:val="0"/>
        </w:numPr>
        <w:tabs>
          <w:tab w:val="left" w:pos="720"/>
        </w:tabs>
      </w:pPr>
      <w:r>
        <w:t>E</w:t>
      </w:r>
      <w:r w:rsidR="00B50137">
        <w:t xml:space="preserve">lectricity </w:t>
      </w:r>
      <w:r w:rsidR="00BC2270">
        <w:t xml:space="preserve">demand </w:t>
      </w:r>
      <w:r w:rsidR="00B50137">
        <w:t xml:space="preserve">is forecast to increase again over the near term, however the outlook remains uncertain. The latest official projections for the NEM to </w:t>
      </w:r>
      <w:r w:rsidR="00A42913">
        <w:t>2020</w:t>
      </w:r>
      <w:r w:rsidR="00B50137">
        <w:t xml:space="preserve"> forecast </w:t>
      </w:r>
      <w:r w:rsidR="007E39FE">
        <w:t xml:space="preserve">slightly </w:t>
      </w:r>
      <w:r w:rsidR="00B50137">
        <w:t xml:space="preserve">growing operational </w:t>
      </w:r>
      <w:r w:rsidR="00BC2270">
        <w:t>demand</w:t>
      </w:r>
      <w:r w:rsidR="00B50137">
        <w:t xml:space="preserve">, mainly due to the ramp-up of liquefied natural gas projects in Queensland. </w:t>
      </w:r>
      <w:r w:rsidR="007E39FE">
        <w:t xml:space="preserve">A slight reduction is forecast between 2020 and 2030, with </w:t>
      </w:r>
      <w:r w:rsidR="007E2767">
        <w:t>increasing solar PV and improving energy efficiency</w:t>
      </w:r>
      <w:r w:rsidR="007E39FE">
        <w:t xml:space="preserve"> offsetting</w:t>
      </w:r>
      <w:r w:rsidR="003B144C">
        <w:t xml:space="preserve"> population</w:t>
      </w:r>
      <w:r w:rsidR="00BF0AE5">
        <w:t xml:space="preserve"> increases</w:t>
      </w:r>
      <w:r w:rsidR="007E39FE">
        <w:t xml:space="preserve"> and </w:t>
      </w:r>
      <w:r w:rsidR="00BF0AE5">
        <w:t xml:space="preserve">a small increase </w:t>
      </w:r>
      <w:r w:rsidR="007E39FE">
        <w:t>business demand</w:t>
      </w:r>
      <w:r w:rsidR="007E2767">
        <w:t xml:space="preserve"> </w:t>
      </w:r>
      <w:bookmarkStart w:id="305" w:name="_CTVP00131f5372e7f6749ef8931a1dd99269f2d"/>
      <w:r w:rsidR="00B053FC">
        <w:t>(AEMO 2016e, p. 17)</w:t>
      </w:r>
      <w:bookmarkEnd w:id="305"/>
      <w:r w:rsidR="00B50137">
        <w:t xml:space="preserve">. </w:t>
      </w:r>
    </w:p>
    <w:p w:rsidR="00B50137" w:rsidRDefault="00B50137" w:rsidP="009818D9">
      <w:pPr>
        <w:pStyle w:val="ChapterHeading3"/>
        <w:numPr>
          <w:ilvl w:val="2"/>
          <w:numId w:val="15"/>
        </w:numPr>
      </w:pPr>
      <w:bookmarkStart w:id="306" w:name="_Toc444610042"/>
      <w:bookmarkStart w:id="307" w:name="_Toc447182437"/>
      <w:bookmarkStart w:id="308" w:name="_Toc447183282"/>
      <w:bookmarkStart w:id="309" w:name="_Toc447183356"/>
      <w:bookmarkStart w:id="310" w:name="_Toc447183394"/>
      <w:bookmarkStart w:id="311" w:name="_Toc447183482"/>
      <w:bookmarkStart w:id="312" w:name="_Toc447183541"/>
      <w:bookmarkStart w:id="313" w:name="_Toc448132690"/>
      <w:bookmarkStart w:id="314" w:name="_Toc448151750"/>
      <w:bookmarkStart w:id="315" w:name="_Toc448151818"/>
      <w:bookmarkStart w:id="316" w:name="_Toc460317988"/>
      <w:r>
        <w:lastRenderedPageBreak/>
        <w:t>Capacity</w:t>
      </w:r>
      <w:bookmarkEnd w:id="306"/>
      <w:bookmarkEnd w:id="307"/>
      <w:bookmarkEnd w:id="308"/>
      <w:bookmarkEnd w:id="309"/>
      <w:bookmarkEnd w:id="310"/>
      <w:bookmarkEnd w:id="311"/>
      <w:bookmarkEnd w:id="312"/>
      <w:bookmarkEnd w:id="313"/>
      <w:bookmarkEnd w:id="314"/>
      <w:bookmarkEnd w:id="315"/>
      <w:bookmarkEnd w:id="316"/>
      <w:r>
        <w:t xml:space="preserve"> </w:t>
      </w:r>
    </w:p>
    <w:p w:rsidR="00B50137" w:rsidRDefault="00B50137" w:rsidP="006936B6">
      <w:pPr>
        <w:pStyle w:val="BodyText"/>
      </w:pPr>
      <w:r>
        <w:t xml:space="preserve">The amount of installed generation capacity is of interest for climate policy as some emissions reduction policies—such as </w:t>
      </w:r>
      <w:r w:rsidR="00CC4EE9">
        <w:t>r</w:t>
      </w:r>
      <w:r>
        <w:t xml:space="preserve">enewable </w:t>
      </w:r>
      <w:r w:rsidR="00CC4EE9">
        <w:t>e</w:t>
      </w:r>
      <w:r>
        <w:t xml:space="preserve">nergy </w:t>
      </w:r>
      <w:r w:rsidR="00CC4EE9">
        <w:t>t</w:t>
      </w:r>
      <w:r>
        <w:t>arget</w:t>
      </w:r>
      <w:r w:rsidR="00CC4EE9">
        <w:t>s</w:t>
      </w:r>
      <w:r>
        <w:t>—work through adding additional supply. For these policies, the level of capacity relative to demand determines the distribution of the policy costs between electricity consumers (through higher prices) and existing fossil-fuel generators (through lower prices and profits).</w:t>
      </w:r>
      <w:r w:rsidR="006141DA">
        <w:t xml:space="preserve"> </w:t>
      </w:r>
      <w:proofErr w:type="gramStart"/>
      <w:r>
        <w:t>Both the recent fall in electricity demand and increased renewable capacity have contributed to a period of oversupply in Australian electricity markets.</w:t>
      </w:r>
      <w:proofErr w:type="gramEnd"/>
      <w:r>
        <w:t xml:space="preserve"> The Australian Energy Market Operator’s (AEMO’s) annual assessments indicate this oversupply is being reduced as asset owners respond to market signals by closing or temporarily withdrawing plants because they are not profitable. In 2014, AEMO noted the NEM would have surplus capacity of 7,400 MW</w:t>
      </w:r>
      <w:r w:rsidR="006B4EFD">
        <w:t xml:space="preserve"> </w:t>
      </w:r>
      <w:bookmarkStart w:id="317" w:name="_CTVP0010125a7d923854e518d2cfa4634467463"/>
      <w:r w:rsidR="0059109A">
        <w:t>(AEMO 2015a, p. 3)</w:t>
      </w:r>
      <w:bookmarkEnd w:id="317"/>
      <w:r>
        <w:t xml:space="preserve"> or about 14 per cent of total 2014 NEM capacity </w:t>
      </w:r>
      <w:r w:rsidR="008B2628">
        <w:t>by 2023–</w:t>
      </w:r>
      <w:r w:rsidR="00CC4EE9">
        <w:t>24</w:t>
      </w:r>
      <w:r>
        <w:t xml:space="preserve"> (Climate Change Authority based on</w:t>
      </w:r>
      <w:r w:rsidR="00C9678F">
        <w:t xml:space="preserve"> </w:t>
      </w:r>
      <w:bookmarkStart w:id="318" w:name="_CTVP001a47d436517664e13aac4a1444489f860"/>
      <w:r w:rsidR="0059109A">
        <w:t>AEMO 2015a, pp. 3, 11</w:t>
      </w:r>
      <w:bookmarkEnd w:id="318"/>
      <w:r>
        <w:t xml:space="preserve">). </w:t>
      </w:r>
      <w:r w:rsidR="00C818AE">
        <w:t>However,</w:t>
      </w:r>
      <w:r>
        <w:t xml:space="preserve"> generators </w:t>
      </w:r>
      <w:r w:rsidR="00525AD6">
        <w:t>are expected</w:t>
      </w:r>
      <w:r w:rsidR="006B4EFD">
        <w:t xml:space="preserve"> to withdraw</w:t>
      </w:r>
      <w:r w:rsidR="00F05935">
        <w:t xml:space="preserve"> (or have recently withdrawn)</w:t>
      </w:r>
      <w:r w:rsidR="006B4EFD">
        <w:t xml:space="preserve"> around </w:t>
      </w:r>
      <w:r w:rsidR="00411C72">
        <w:t>4</w:t>
      </w:r>
      <w:r w:rsidR="00432FF9">
        <w:t>,</w:t>
      </w:r>
      <w:r w:rsidR="00411C72">
        <w:t>0</w:t>
      </w:r>
      <w:r w:rsidR="00432FF9">
        <w:t>00</w:t>
      </w:r>
      <w:r w:rsidR="006B4EFD">
        <w:t> </w:t>
      </w:r>
      <w:r>
        <w:t>MW of capacity from the market by 2022</w:t>
      </w:r>
      <w:r w:rsidR="00A03259">
        <w:t xml:space="preserve"> (Climate Change Authority based on </w:t>
      </w:r>
      <w:bookmarkStart w:id="319" w:name="_CTVP001b5a1d585842d43be8e33b42c72f8d1fa"/>
      <w:r w:rsidR="0059109A">
        <w:t>AEMO 2016c, p. 15</w:t>
      </w:r>
      <w:bookmarkEnd w:id="319"/>
      <w:r w:rsidR="00325211">
        <w:t>)</w:t>
      </w:r>
      <w:r>
        <w:t>.</w:t>
      </w:r>
      <w:r w:rsidR="00411C72">
        <w:t xml:space="preserve"> </w:t>
      </w:r>
      <w:r w:rsidR="00411C72" w:rsidRPr="009D0F88">
        <w:t>AEMO assumes a further 1,400 MW of capacity will exit in line with the electricity sector playing its part in meeting Australia’s 2030 em</w:t>
      </w:r>
      <w:r w:rsidR="00411C72" w:rsidRPr="0096520B">
        <w:t xml:space="preserve">issions target </w:t>
      </w:r>
      <w:bookmarkStart w:id="320" w:name="_CTVP001ccd288e9d941437eb7138c25a53275ed"/>
      <w:r w:rsidR="0059109A">
        <w:t>(AEMO 2016c, p. 5)</w:t>
      </w:r>
      <w:bookmarkEnd w:id="320"/>
      <w:r w:rsidR="00411C72" w:rsidRPr="009D0F88">
        <w:t>.</w:t>
      </w:r>
    </w:p>
    <w:tbl>
      <w:tblPr>
        <w:tblStyle w:val="CCATablebox"/>
        <w:tblpPr w:leftFromText="180" w:rightFromText="180" w:vertAnchor="text" w:horzAnchor="margin" w:tblpY="189"/>
        <w:tblW w:w="0" w:type="auto"/>
        <w:tblLook w:val="04A0" w:firstRow="1" w:lastRow="0" w:firstColumn="1" w:lastColumn="0" w:noHBand="0" w:noVBand="1"/>
      </w:tblPr>
      <w:tblGrid>
        <w:gridCol w:w="1494"/>
        <w:gridCol w:w="5882"/>
        <w:gridCol w:w="2479"/>
      </w:tblGrid>
      <w:tr w:rsidR="00B50137" w:rsidTr="003601C2">
        <w:trPr>
          <w:cnfStyle w:val="100000000000" w:firstRow="1" w:lastRow="0" w:firstColumn="0" w:lastColumn="0" w:oddVBand="0" w:evenVBand="0" w:oddHBand="0" w:evenHBand="0" w:firstRowFirstColumn="0" w:firstRowLastColumn="0" w:lastRowFirstColumn="0" w:lastRowLastColumn="0"/>
        </w:trPr>
        <w:tc>
          <w:tcPr>
            <w:tcW w:w="7376" w:type="dxa"/>
            <w:gridSpan w:val="2"/>
          </w:tcPr>
          <w:p w:rsidR="00B50137" w:rsidRDefault="00B50137" w:rsidP="009A0930">
            <w:pPr>
              <w:pStyle w:val="Headingnumberedbox"/>
            </w:pPr>
            <w:bookmarkStart w:id="321" w:name="_Ref443409167"/>
            <w:bookmarkStart w:id="322" w:name="_Toc444011926"/>
            <w:bookmarkStart w:id="323" w:name="_Ref444600452"/>
            <w:bookmarkStart w:id="324" w:name="_Ref447098708"/>
            <w:bookmarkStart w:id="325" w:name="_Ref449692802"/>
            <w:bookmarkStart w:id="326" w:name="_Toc460318084"/>
            <w:r>
              <w:t>Important electricity term</w:t>
            </w:r>
            <w:bookmarkEnd w:id="321"/>
            <w:r>
              <w:t>s</w:t>
            </w:r>
            <w:bookmarkEnd w:id="322"/>
            <w:bookmarkEnd w:id="323"/>
            <w:bookmarkEnd w:id="324"/>
            <w:bookmarkEnd w:id="325"/>
            <w:bookmarkEnd w:id="326"/>
          </w:p>
        </w:tc>
        <w:tc>
          <w:tcPr>
            <w:tcW w:w="2479" w:type="dxa"/>
          </w:tcPr>
          <w:p w:rsidR="00B50137" w:rsidRDefault="00B50137" w:rsidP="003601C2">
            <w:pPr>
              <w:pStyle w:val="Headingnumberedbox"/>
              <w:numPr>
                <w:ilvl w:val="0"/>
                <w:numId w:val="0"/>
              </w:numPr>
              <w:ind w:left="907" w:hanging="907"/>
            </w:pPr>
          </w:p>
        </w:tc>
      </w:tr>
      <w:tr w:rsidR="00B50137" w:rsidTr="003601C2">
        <w:tc>
          <w:tcPr>
            <w:tcW w:w="9855" w:type="dxa"/>
            <w:gridSpan w:val="3"/>
          </w:tcPr>
          <w:p w:rsidR="00B50137" w:rsidRDefault="00B50137" w:rsidP="00AD11F0">
            <w:pPr>
              <w:pStyle w:val="TableText"/>
            </w:pPr>
            <w:r>
              <w:t xml:space="preserve">This box provides a quick reference for key electricity terms which are commonly used (and confused). A complete glossary is at the end of the </w:t>
            </w:r>
            <w:r w:rsidR="00AD11F0">
              <w:t>report</w:t>
            </w:r>
            <w:r>
              <w:t xml:space="preserve">. </w:t>
            </w:r>
          </w:p>
        </w:tc>
      </w:tr>
      <w:tr w:rsidR="00B50137" w:rsidTr="003601C2">
        <w:tc>
          <w:tcPr>
            <w:tcW w:w="1494" w:type="dxa"/>
          </w:tcPr>
          <w:p w:rsidR="00B50137" w:rsidRPr="000638DD" w:rsidRDefault="00B50137" w:rsidP="003601C2">
            <w:pPr>
              <w:pStyle w:val="TableHeading"/>
              <w:rPr>
                <w:color w:val="000000" w:themeColor="text1"/>
              </w:rPr>
            </w:pPr>
            <w:r w:rsidRPr="000638DD">
              <w:rPr>
                <w:color w:val="000000" w:themeColor="text1"/>
              </w:rPr>
              <w:t>Term</w:t>
            </w:r>
          </w:p>
        </w:tc>
        <w:tc>
          <w:tcPr>
            <w:tcW w:w="5882" w:type="dxa"/>
          </w:tcPr>
          <w:p w:rsidR="00B50137" w:rsidRPr="000638DD" w:rsidRDefault="00B50137" w:rsidP="003601C2">
            <w:pPr>
              <w:pStyle w:val="TableHeading"/>
              <w:rPr>
                <w:color w:val="000000" w:themeColor="text1"/>
              </w:rPr>
            </w:pPr>
            <w:r w:rsidRPr="000638DD">
              <w:rPr>
                <w:color w:val="000000" w:themeColor="text1"/>
              </w:rPr>
              <w:t>Definition</w:t>
            </w:r>
          </w:p>
        </w:tc>
        <w:tc>
          <w:tcPr>
            <w:tcW w:w="2479" w:type="dxa"/>
          </w:tcPr>
          <w:p w:rsidR="00B50137" w:rsidRPr="000638DD" w:rsidRDefault="00B50137" w:rsidP="003601C2">
            <w:pPr>
              <w:pStyle w:val="TableHeading"/>
              <w:rPr>
                <w:color w:val="000000" w:themeColor="text1"/>
              </w:rPr>
            </w:pPr>
            <w:r w:rsidRPr="000638DD">
              <w:rPr>
                <w:color w:val="000000" w:themeColor="text1"/>
              </w:rPr>
              <w:t>Not to be confused with</w:t>
            </w:r>
          </w:p>
        </w:tc>
      </w:tr>
      <w:tr w:rsidR="00323760" w:rsidTr="003601C2">
        <w:tc>
          <w:tcPr>
            <w:tcW w:w="1494" w:type="dxa"/>
          </w:tcPr>
          <w:p w:rsidR="00323760" w:rsidRPr="00763D3A" w:rsidRDefault="00323760" w:rsidP="00323760">
            <w:pPr>
              <w:pStyle w:val="TableListBullet"/>
              <w:numPr>
                <w:ilvl w:val="0"/>
                <w:numId w:val="0"/>
              </w:numPr>
              <w:rPr>
                <w:lang w:val="en-GB"/>
              </w:rPr>
            </w:pPr>
            <w:r>
              <w:rPr>
                <w:lang w:val="en-GB"/>
              </w:rPr>
              <w:t>Baseload generator</w:t>
            </w:r>
          </w:p>
        </w:tc>
        <w:tc>
          <w:tcPr>
            <w:tcW w:w="5882" w:type="dxa"/>
          </w:tcPr>
          <w:p w:rsidR="00323760" w:rsidRPr="000971D4" w:rsidRDefault="009B490A" w:rsidP="00F2798C">
            <w:pPr>
              <w:pStyle w:val="TableText"/>
            </w:pPr>
            <w:r w:rsidRPr="000971D4">
              <w:t>A plant that generally operates when able, due to low variable operating costs. Baseload power may be non-intermittent (e.g. coal) or intermittent (e.g. wind).</w:t>
            </w:r>
          </w:p>
        </w:tc>
        <w:tc>
          <w:tcPr>
            <w:tcW w:w="2479" w:type="dxa"/>
          </w:tcPr>
          <w:p w:rsidR="00323760" w:rsidRDefault="00323760" w:rsidP="00323760">
            <w:pPr>
              <w:pStyle w:val="TableText"/>
              <w:rPr>
                <w:rFonts w:cs="Arial"/>
                <w:color w:val="333333"/>
                <w:szCs w:val="18"/>
              </w:rPr>
            </w:pPr>
            <w:r>
              <w:rPr>
                <w:rFonts w:cs="Arial"/>
                <w:color w:val="333333"/>
                <w:szCs w:val="18"/>
              </w:rPr>
              <w:t>Non</w:t>
            </w:r>
            <w:r>
              <w:rPr>
                <w:rFonts w:cs="Arial"/>
                <w:color w:val="333333"/>
                <w:szCs w:val="18"/>
              </w:rPr>
              <w:noBreakHyphen/>
              <w:t>intermittent generator</w:t>
            </w:r>
          </w:p>
        </w:tc>
      </w:tr>
      <w:tr w:rsidR="00323760" w:rsidTr="003601C2">
        <w:tc>
          <w:tcPr>
            <w:tcW w:w="1494" w:type="dxa"/>
          </w:tcPr>
          <w:p w:rsidR="00323760" w:rsidRDefault="00323760" w:rsidP="00323760">
            <w:pPr>
              <w:pStyle w:val="TableListBullet"/>
              <w:numPr>
                <w:ilvl w:val="0"/>
                <w:numId w:val="0"/>
              </w:numPr>
              <w:rPr>
                <w:lang w:val="en-GB"/>
              </w:rPr>
            </w:pPr>
            <w:r>
              <w:rPr>
                <w:lang w:val="en-GB"/>
              </w:rPr>
              <w:t>Capacity</w:t>
            </w:r>
          </w:p>
        </w:tc>
        <w:tc>
          <w:tcPr>
            <w:tcW w:w="5882" w:type="dxa"/>
          </w:tcPr>
          <w:p w:rsidR="00323760" w:rsidRPr="00BE3C73" w:rsidRDefault="00323760" w:rsidP="00323760">
            <w:pPr>
              <w:pStyle w:val="TableText"/>
              <w:rPr>
                <w:rFonts w:cs="Arial"/>
                <w:color w:val="333333"/>
                <w:szCs w:val="18"/>
              </w:rPr>
            </w:pPr>
            <w:r>
              <w:rPr>
                <w:rFonts w:cs="Arial"/>
                <w:color w:val="333333"/>
                <w:szCs w:val="18"/>
              </w:rPr>
              <w:t>A measure of power or demand at a point in time, typically measured in gigawatts (GW) or megawatts (MW). For an individual generator it measures the maximum amount of electricity that can be produced under nominated conditions.</w:t>
            </w:r>
          </w:p>
        </w:tc>
        <w:tc>
          <w:tcPr>
            <w:tcW w:w="2479" w:type="dxa"/>
          </w:tcPr>
          <w:p w:rsidR="00323760" w:rsidRDefault="00323760" w:rsidP="00323760">
            <w:pPr>
              <w:pStyle w:val="TableText"/>
              <w:rPr>
                <w:rFonts w:cs="Arial"/>
                <w:color w:val="333333"/>
                <w:szCs w:val="18"/>
              </w:rPr>
            </w:pPr>
            <w:r>
              <w:rPr>
                <w:rFonts w:cs="Arial"/>
                <w:color w:val="333333"/>
                <w:szCs w:val="18"/>
              </w:rPr>
              <w:t>Generation, energy</w:t>
            </w:r>
          </w:p>
        </w:tc>
      </w:tr>
      <w:tr w:rsidR="00323760" w:rsidTr="003601C2">
        <w:tc>
          <w:tcPr>
            <w:tcW w:w="1494" w:type="dxa"/>
          </w:tcPr>
          <w:p w:rsidR="00323760" w:rsidRDefault="00323760" w:rsidP="00323760">
            <w:pPr>
              <w:pStyle w:val="TableListBullet"/>
              <w:numPr>
                <w:ilvl w:val="0"/>
                <w:numId w:val="0"/>
              </w:numPr>
              <w:rPr>
                <w:lang w:val="en-GB"/>
              </w:rPr>
            </w:pPr>
            <w:r>
              <w:rPr>
                <w:lang w:val="en-GB"/>
              </w:rPr>
              <w:t xml:space="preserve">Distributed generator </w:t>
            </w:r>
          </w:p>
        </w:tc>
        <w:tc>
          <w:tcPr>
            <w:tcW w:w="5882" w:type="dxa"/>
          </w:tcPr>
          <w:p w:rsidR="00323760" w:rsidRDefault="00323760" w:rsidP="00323760">
            <w:pPr>
              <w:pStyle w:val="TableText"/>
              <w:rPr>
                <w:lang w:val="en-GB" w:eastAsia="en-AU"/>
              </w:rPr>
            </w:pPr>
            <w:r>
              <w:rPr>
                <w:rFonts w:cs="Arial"/>
                <w:color w:val="333333"/>
                <w:szCs w:val="18"/>
              </w:rPr>
              <w:t xml:space="preserve">A generating unit, such as rooftop PV, within the premises of a distribution network customer. Often used interchangeably with ‘embedded generator’ in general use. </w:t>
            </w:r>
          </w:p>
        </w:tc>
        <w:tc>
          <w:tcPr>
            <w:tcW w:w="2479" w:type="dxa"/>
          </w:tcPr>
          <w:p w:rsidR="00323760" w:rsidRDefault="00323760" w:rsidP="00323760">
            <w:pPr>
              <w:pStyle w:val="TableText"/>
              <w:rPr>
                <w:lang w:val="en-GB" w:eastAsia="en-AU"/>
              </w:rPr>
            </w:pPr>
            <w:r>
              <w:rPr>
                <w:lang w:val="en-GB" w:eastAsia="en-AU"/>
              </w:rPr>
              <w:t>Large-scale generator</w:t>
            </w:r>
          </w:p>
        </w:tc>
      </w:tr>
      <w:tr w:rsidR="00323760" w:rsidTr="003601C2">
        <w:tc>
          <w:tcPr>
            <w:tcW w:w="1494" w:type="dxa"/>
          </w:tcPr>
          <w:p w:rsidR="00323760" w:rsidRDefault="00323760" w:rsidP="00323760">
            <w:pPr>
              <w:pStyle w:val="TableListBullet"/>
              <w:numPr>
                <w:ilvl w:val="0"/>
                <w:numId w:val="0"/>
              </w:numPr>
              <w:rPr>
                <w:lang w:val="en-GB"/>
              </w:rPr>
            </w:pPr>
            <w:r>
              <w:rPr>
                <w:lang w:val="en-GB"/>
              </w:rPr>
              <w:t>Generation</w:t>
            </w:r>
          </w:p>
        </w:tc>
        <w:tc>
          <w:tcPr>
            <w:tcW w:w="5882" w:type="dxa"/>
          </w:tcPr>
          <w:p w:rsidR="00323760" w:rsidRDefault="00323760" w:rsidP="00323760">
            <w:pPr>
              <w:pStyle w:val="TableText"/>
              <w:rPr>
                <w:lang w:val="en-GB" w:eastAsia="en-AU"/>
              </w:rPr>
            </w:pPr>
            <w:r>
              <w:rPr>
                <w:lang w:val="en-GB" w:eastAsia="en-AU"/>
              </w:rPr>
              <w:t>The amount of electrical energy produced or used over a period of time, typically measured in gigawatt hours (</w:t>
            </w:r>
            <w:proofErr w:type="spellStart"/>
            <w:r>
              <w:rPr>
                <w:lang w:val="en-GB" w:eastAsia="en-AU"/>
              </w:rPr>
              <w:t>GWh</w:t>
            </w:r>
            <w:proofErr w:type="spellEnd"/>
            <w:r>
              <w:rPr>
                <w:lang w:val="en-GB" w:eastAsia="en-AU"/>
              </w:rPr>
              <w:t>) or megawatt hours (MWh).</w:t>
            </w:r>
          </w:p>
        </w:tc>
        <w:tc>
          <w:tcPr>
            <w:tcW w:w="2479" w:type="dxa"/>
          </w:tcPr>
          <w:p w:rsidR="00323760" w:rsidRDefault="00323760" w:rsidP="00323760">
            <w:pPr>
              <w:pStyle w:val="TableText"/>
              <w:rPr>
                <w:lang w:val="en-GB" w:eastAsia="en-AU"/>
              </w:rPr>
            </w:pPr>
            <w:r>
              <w:rPr>
                <w:lang w:val="en-GB" w:eastAsia="en-AU"/>
              </w:rPr>
              <w:t>Capacity, demand</w:t>
            </w:r>
          </w:p>
        </w:tc>
      </w:tr>
      <w:tr w:rsidR="00323760" w:rsidTr="003601C2">
        <w:tc>
          <w:tcPr>
            <w:tcW w:w="1494" w:type="dxa"/>
          </w:tcPr>
          <w:p w:rsidR="00323760" w:rsidRDefault="00323760" w:rsidP="00323760">
            <w:pPr>
              <w:pStyle w:val="TableListBullet"/>
              <w:numPr>
                <w:ilvl w:val="0"/>
                <w:numId w:val="0"/>
              </w:numPr>
              <w:rPr>
                <w:lang w:val="en-GB"/>
              </w:rPr>
            </w:pPr>
            <w:r>
              <w:rPr>
                <w:lang w:val="en-GB"/>
              </w:rPr>
              <w:t>Intermittent generator</w:t>
            </w:r>
          </w:p>
        </w:tc>
        <w:tc>
          <w:tcPr>
            <w:tcW w:w="5882" w:type="dxa"/>
          </w:tcPr>
          <w:p w:rsidR="00323760" w:rsidRDefault="00323760" w:rsidP="00323760">
            <w:pPr>
              <w:pStyle w:val="TableText"/>
              <w:rPr>
                <w:rFonts w:cs="Arial"/>
                <w:color w:val="333333"/>
                <w:szCs w:val="18"/>
              </w:rPr>
            </w:pPr>
            <w:r>
              <w:rPr>
                <w:rFonts w:cs="Arial"/>
                <w:color w:val="333333"/>
                <w:szCs w:val="18"/>
              </w:rPr>
              <w:t>A generator whose output is not readily predictable within periods relevant for the market operator. Examples are solar generators, wave generators, wi</w:t>
            </w:r>
            <w:r w:rsidR="00951152">
              <w:rPr>
                <w:rFonts w:cs="Arial"/>
                <w:color w:val="333333"/>
                <w:szCs w:val="18"/>
              </w:rPr>
              <w:t xml:space="preserve">nd generators and hydro </w:t>
            </w:r>
            <w:r>
              <w:rPr>
                <w:rFonts w:cs="Arial"/>
                <w:color w:val="333333"/>
                <w:szCs w:val="18"/>
              </w:rPr>
              <w:t xml:space="preserve">generators without any material storage capability. </w:t>
            </w:r>
          </w:p>
          <w:p w:rsidR="00323760" w:rsidRDefault="00323760" w:rsidP="00323760">
            <w:pPr>
              <w:pStyle w:val="TableText"/>
              <w:rPr>
                <w:rFonts w:cs="Arial"/>
                <w:color w:val="333333"/>
                <w:szCs w:val="18"/>
              </w:rPr>
            </w:pPr>
            <w:r>
              <w:rPr>
                <w:rFonts w:cs="Arial"/>
                <w:color w:val="333333"/>
                <w:szCs w:val="18"/>
              </w:rPr>
              <w:t>A non-intermittent generator is any generator that is not intermittent.</w:t>
            </w:r>
          </w:p>
        </w:tc>
        <w:tc>
          <w:tcPr>
            <w:tcW w:w="2479" w:type="dxa"/>
          </w:tcPr>
          <w:p w:rsidR="00323760" w:rsidRDefault="00323760" w:rsidP="00691F52">
            <w:pPr>
              <w:pStyle w:val="TableText"/>
              <w:rPr>
                <w:rFonts w:cs="Arial"/>
                <w:color w:val="333333"/>
                <w:szCs w:val="18"/>
              </w:rPr>
            </w:pPr>
            <w:r>
              <w:rPr>
                <w:rFonts w:cs="Arial"/>
                <w:color w:val="333333"/>
                <w:szCs w:val="18"/>
              </w:rPr>
              <w:t xml:space="preserve">Peaking generator </w:t>
            </w:r>
          </w:p>
        </w:tc>
      </w:tr>
      <w:tr w:rsidR="00323760" w:rsidTr="003601C2">
        <w:tc>
          <w:tcPr>
            <w:tcW w:w="1494" w:type="dxa"/>
          </w:tcPr>
          <w:p w:rsidR="00323760" w:rsidRDefault="00323760" w:rsidP="00323760">
            <w:pPr>
              <w:pStyle w:val="TableListBullet"/>
              <w:numPr>
                <w:ilvl w:val="0"/>
                <w:numId w:val="0"/>
              </w:numPr>
              <w:rPr>
                <w:lang w:val="en-GB"/>
              </w:rPr>
            </w:pPr>
            <w:r>
              <w:rPr>
                <w:lang w:val="en-GB"/>
              </w:rPr>
              <w:t>Large</w:t>
            </w:r>
            <w:r>
              <w:rPr>
                <w:lang w:val="en-GB"/>
              </w:rPr>
              <w:noBreakHyphen/>
              <w:t>scale generator</w:t>
            </w:r>
          </w:p>
        </w:tc>
        <w:tc>
          <w:tcPr>
            <w:tcW w:w="5882" w:type="dxa"/>
          </w:tcPr>
          <w:p w:rsidR="00323760" w:rsidRDefault="00323760" w:rsidP="0094117D">
            <w:pPr>
              <w:pStyle w:val="TableText"/>
              <w:rPr>
                <w:rFonts w:cs="Arial"/>
                <w:color w:val="333333"/>
                <w:szCs w:val="18"/>
              </w:rPr>
            </w:pPr>
            <w:r w:rsidRPr="00580B9F">
              <w:rPr>
                <w:rFonts w:cs="Arial"/>
                <w:color w:val="333333"/>
                <w:szCs w:val="18"/>
              </w:rPr>
              <w:t>A generating facility such as a coal-fired power plant or a wind generator</w:t>
            </w:r>
            <w:r w:rsidR="00D62DE7">
              <w:rPr>
                <w:rFonts w:cs="Arial"/>
                <w:color w:val="333333"/>
                <w:szCs w:val="18"/>
              </w:rPr>
              <w:t xml:space="preserve"> that participates in the</w:t>
            </w:r>
            <w:r w:rsidR="0094117D">
              <w:rPr>
                <w:rFonts w:cs="Arial"/>
                <w:color w:val="333333"/>
                <w:szCs w:val="18"/>
              </w:rPr>
              <w:t xml:space="preserve"> wholesale </w:t>
            </w:r>
            <w:r w:rsidR="00D62DE7">
              <w:rPr>
                <w:rFonts w:cs="Arial"/>
                <w:color w:val="333333"/>
                <w:szCs w:val="18"/>
              </w:rPr>
              <w:t>electricity market</w:t>
            </w:r>
            <w:r w:rsidRPr="00580B9F">
              <w:rPr>
                <w:rFonts w:cs="Arial"/>
                <w:color w:val="333333"/>
                <w:szCs w:val="18"/>
              </w:rPr>
              <w:t xml:space="preserve">. </w:t>
            </w:r>
          </w:p>
        </w:tc>
        <w:tc>
          <w:tcPr>
            <w:tcW w:w="2479" w:type="dxa"/>
          </w:tcPr>
          <w:p w:rsidR="00323760" w:rsidRDefault="00323760" w:rsidP="00323760">
            <w:pPr>
              <w:pStyle w:val="TableText"/>
              <w:rPr>
                <w:rFonts w:cs="Arial"/>
                <w:color w:val="333333"/>
                <w:szCs w:val="18"/>
              </w:rPr>
            </w:pPr>
            <w:r>
              <w:rPr>
                <w:rFonts w:cs="Arial"/>
                <w:color w:val="333333"/>
                <w:szCs w:val="18"/>
              </w:rPr>
              <w:t>Baseload generator, distributed generator</w:t>
            </w:r>
          </w:p>
        </w:tc>
      </w:tr>
      <w:tr w:rsidR="00323760" w:rsidTr="003601C2">
        <w:tc>
          <w:tcPr>
            <w:tcW w:w="1494" w:type="dxa"/>
          </w:tcPr>
          <w:p w:rsidR="00323760" w:rsidRDefault="00323760" w:rsidP="00BC2270">
            <w:pPr>
              <w:pStyle w:val="TableListBullet"/>
              <w:numPr>
                <w:ilvl w:val="0"/>
                <w:numId w:val="0"/>
              </w:numPr>
              <w:rPr>
                <w:lang w:val="en-GB"/>
              </w:rPr>
            </w:pPr>
            <w:r>
              <w:rPr>
                <w:lang w:val="en-GB"/>
              </w:rPr>
              <w:t>Operational demand</w:t>
            </w:r>
          </w:p>
        </w:tc>
        <w:tc>
          <w:tcPr>
            <w:tcW w:w="5882" w:type="dxa"/>
          </w:tcPr>
          <w:p w:rsidR="00926714" w:rsidRDefault="007B0A1A" w:rsidP="00951152">
            <w:pPr>
              <w:pStyle w:val="TableText"/>
              <w:rPr>
                <w:lang w:val="en-GB" w:eastAsia="en-AU"/>
              </w:rPr>
            </w:pPr>
            <w:r>
              <w:t>A</w:t>
            </w:r>
            <w:r w:rsidR="004445E6" w:rsidRPr="007729CB">
              <w:t xml:space="preserve">ll </w:t>
            </w:r>
            <w:r w:rsidR="004445E6">
              <w:t xml:space="preserve">electricity demanded by residential, </w:t>
            </w:r>
            <w:r w:rsidR="004445E6" w:rsidRPr="007729CB">
              <w:t>commercial</w:t>
            </w:r>
            <w:r w:rsidR="004445E6">
              <w:t xml:space="preserve"> and industrial</w:t>
            </w:r>
            <w:r w:rsidR="004445E6" w:rsidRPr="007729CB">
              <w:t xml:space="preserve"> consumers, from the electricity grid, including</w:t>
            </w:r>
            <w:r w:rsidR="004445E6">
              <w:t xml:space="preserve"> distribution and</w:t>
            </w:r>
            <w:r w:rsidR="004445E6" w:rsidRPr="007729CB">
              <w:t xml:space="preserve"> transmission losses</w:t>
            </w:r>
            <w:r w:rsidR="004445E6">
              <w:t xml:space="preserve"> and ‘auxiliary loads’ (the electricity required to generate electricity)</w:t>
            </w:r>
            <w:r w:rsidR="004445E6" w:rsidRPr="007729CB">
              <w:t>.</w:t>
            </w:r>
          </w:p>
        </w:tc>
        <w:tc>
          <w:tcPr>
            <w:tcW w:w="2479" w:type="dxa"/>
          </w:tcPr>
          <w:p w:rsidR="00323760" w:rsidRDefault="00323760" w:rsidP="00BC2270">
            <w:pPr>
              <w:pStyle w:val="TableText"/>
              <w:rPr>
                <w:rFonts w:cs="Arial"/>
                <w:color w:val="333333"/>
                <w:szCs w:val="18"/>
              </w:rPr>
            </w:pPr>
            <w:r>
              <w:rPr>
                <w:rFonts w:cs="Arial"/>
                <w:color w:val="333333"/>
                <w:szCs w:val="18"/>
              </w:rPr>
              <w:t>Underlying demand</w:t>
            </w:r>
          </w:p>
        </w:tc>
      </w:tr>
      <w:tr w:rsidR="00323760" w:rsidTr="003601C2">
        <w:tc>
          <w:tcPr>
            <w:tcW w:w="1494" w:type="dxa"/>
          </w:tcPr>
          <w:p w:rsidR="00323760" w:rsidRDefault="00323760" w:rsidP="00323760">
            <w:pPr>
              <w:pStyle w:val="TableListBullet"/>
              <w:numPr>
                <w:ilvl w:val="0"/>
                <w:numId w:val="0"/>
              </w:numPr>
              <w:rPr>
                <w:lang w:val="en-GB"/>
              </w:rPr>
            </w:pPr>
            <w:r>
              <w:rPr>
                <w:lang w:val="en-GB"/>
              </w:rPr>
              <w:t>Peaking generator</w:t>
            </w:r>
          </w:p>
        </w:tc>
        <w:tc>
          <w:tcPr>
            <w:tcW w:w="5882" w:type="dxa"/>
          </w:tcPr>
          <w:p w:rsidR="00323760" w:rsidRDefault="00323760" w:rsidP="00323760">
            <w:pPr>
              <w:pStyle w:val="TableText"/>
              <w:rPr>
                <w:lang w:val="en-GB" w:eastAsia="en-AU"/>
              </w:rPr>
            </w:pPr>
            <w:r>
              <w:rPr>
                <w:rFonts w:cs="Arial"/>
                <w:color w:val="333333"/>
                <w:szCs w:val="18"/>
              </w:rPr>
              <w:t xml:space="preserve">A generator </w:t>
            </w:r>
            <w:proofErr w:type="gramStart"/>
            <w:r>
              <w:rPr>
                <w:rFonts w:cs="Arial"/>
                <w:color w:val="333333"/>
                <w:szCs w:val="18"/>
              </w:rPr>
              <w:t>whose</w:t>
            </w:r>
            <w:proofErr w:type="gramEnd"/>
            <w:r>
              <w:rPr>
                <w:rFonts w:cs="Arial"/>
                <w:color w:val="333333"/>
                <w:szCs w:val="18"/>
              </w:rPr>
              <w:t xml:space="preserve"> marginal or opportu</w:t>
            </w:r>
            <w:r w:rsidR="00951152">
              <w:rPr>
                <w:rFonts w:cs="Arial"/>
                <w:color w:val="333333"/>
                <w:szCs w:val="18"/>
              </w:rPr>
              <w:t>nity costs are higher than base</w:t>
            </w:r>
            <w:r>
              <w:rPr>
                <w:rFonts w:cs="Arial"/>
                <w:color w:val="333333"/>
                <w:szCs w:val="18"/>
              </w:rPr>
              <w:t>load generators and are therefore dispatched infrequently. In Australia, open</w:t>
            </w:r>
            <w:r>
              <w:rPr>
                <w:rFonts w:cs="Arial"/>
                <w:color w:val="333333"/>
                <w:szCs w:val="18"/>
              </w:rPr>
              <w:noBreakHyphen/>
              <w:t>cycle gas tur</w:t>
            </w:r>
            <w:r w:rsidR="00951152">
              <w:rPr>
                <w:rFonts w:cs="Arial"/>
                <w:color w:val="333333"/>
                <w:szCs w:val="18"/>
              </w:rPr>
              <w:t xml:space="preserve">bines and limited-storage hydro </w:t>
            </w:r>
            <w:r>
              <w:rPr>
                <w:rFonts w:cs="Arial"/>
                <w:color w:val="333333"/>
                <w:szCs w:val="18"/>
              </w:rPr>
              <w:t>generators typically operate in a peaking role.</w:t>
            </w:r>
          </w:p>
        </w:tc>
        <w:tc>
          <w:tcPr>
            <w:tcW w:w="2479" w:type="dxa"/>
          </w:tcPr>
          <w:p w:rsidR="00323760" w:rsidRDefault="00323760" w:rsidP="005D1A7A">
            <w:pPr>
              <w:pStyle w:val="TableText"/>
              <w:rPr>
                <w:rFonts w:cs="Arial"/>
                <w:color w:val="333333"/>
                <w:szCs w:val="18"/>
              </w:rPr>
            </w:pPr>
            <w:r>
              <w:rPr>
                <w:rFonts w:cs="Arial"/>
                <w:color w:val="333333"/>
                <w:szCs w:val="18"/>
              </w:rPr>
              <w:t>Intermittent generator</w:t>
            </w:r>
          </w:p>
        </w:tc>
      </w:tr>
      <w:tr w:rsidR="005F3EEF" w:rsidTr="003601C2">
        <w:tc>
          <w:tcPr>
            <w:tcW w:w="1494" w:type="dxa"/>
          </w:tcPr>
          <w:p w:rsidR="005F3EEF" w:rsidRDefault="005F3EEF" w:rsidP="003601C2">
            <w:pPr>
              <w:pStyle w:val="TableListBullet"/>
              <w:numPr>
                <w:ilvl w:val="0"/>
                <w:numId w:val="0"/>
              </w:numPr>
              <w:rPr>
                <w:lang w:val="en-GB"/>
              </w:rPr>
            </w:pPr>
            <w:r>
              <w:rPr>
                <w:lang w:val="en-GB"/>
              </w:rPr>
              <w:t xml:space="preserve">Reliability </w:t>
            </w:r>
          </w:p>
        </w:tc>
        <w:tc>
          <w:tcPr>
            <w:tcW w:w="5882" w:type="dxa"/>
          </w:tcPr>
          <w:p w:rsidR="005F3EEF" w:rsidRDefault="005F3EEF" w:rsidP="003601C2">
            <w:pPr>
              <w:pStyle w:val="TableText"/>
              <w:rPr>
                <w:lang w:val="en-GB" w:eastAsia="en-AU"/>
              </w:rPr>
            </w:pPr>
            <w:r>
              <w:rPr>
                <w:lang w:val="en-GB" w:eastAsia="en-AU"/>
              </w:rPr>
              <w:t>The power system’s ability to continue supplying sufficient power to satisfy customer demand.</w:t>
            </w:r>
          </w:p>
        </w:tc>
        <w:tc>
          <w:tcPr>
            <w:tcW w:w="2479" w:type="dxa"/>
          </w:tcPr>
          <w:p w:rsidR="005F3EEF" w:rsidRDefault="005F3EEF" w:rsidP="003601C2">
            <w:pPr>
              <w:pStyle w:val="TableText"/>
              <w:rPr>
                <w:lang w:val="en-GB" w:eastAsia="en-AU"/>
              </w:rPr>
            </w:pPr>
            <w:r>
              <w:rPr>
                <w:lang w:val="en-GB" w:eastAsia="en-AU"/>
              </w:rPr>
              <w:t>Security of supply</w:t>
            </w:r>
          </w:p>
        </w:tc>
      </w:tr>
      <w:tr w:rsidR="005F3EEF" w:rsidTr="003601C2">
        <w:tc>
          <w:tcPr>
            <w:tcW w:w="1494" w:type="dxa"/>
          </w:tcPr>
          <w:p w:rsidR="005F3EEF" w:rsidRDefault="005F3EEF" w:rsidP="003601C2">
            <w:pPr>
              <w:pStyle w:val="TableListBullet"/>
              <w:numPr>
                <w:ilvl w:val="0"/>
                <w:numId w:val="0"/>
              </w:numPr>
              <w:rPr>
                <w:lang w:val="en-GB"/>
              </w:rPr>
            </w:pPr>
            <w:r>
              <w:rPr>
                <w:lang w:val="en-GB"/>
              </w:rPr>
              <w:t xml:space="preserve">Security of </w:t>
            </w:r>
            <w:r>
              <w:rPr>
                <w:lang w:val="en-GB"/>
              </w:rPr>
              <w:lastRenderedPageBreak/>
              <w:t>supply</w:t>
            </w:r>
          </w:p>
        </w:tc>
        <w:tc>
          <w:tcPr>
            <w:tcW w:w="5882" w:type="dxa"/>
          </w:tcPr>
          <w:p w:rsidR="005F3EEF" w:rsidRDefault="005F3EEF" w:rsidP="003601C2">
            <w:pPr>
              <w:pStyle w:val="TableText"/>
              <w:rPr>
                <w:lang w:val="en-GB" w:eastAsia="en-AU"/>
              </w:rPr>
            </w:pPr>
            <w:r>
              <w:rPr>
                <w:lang w:val="en-GB" w:eastAsia="en-AU"/>
              </w:rPr>
              <w:lastRenderedPageBreak/>
              <w:t xml:space="preserve">The power system’s ability to continue operating within defined </w:t>
            </w:r>
            <w:r>
              <w:rPr>
                <w:lang w:val="en-GB" w:eastAsia="en-AU"/>
              </w:rPr>
              <w:lastRenderedPageBreak/>
              <w:t>technical limits even if a major power system element, such as a generator or interconnector, fails.</w:t>
            </w:r>
          </w:p>
        </w:tc>
        <w:tc>
          <w:tcPr>
            <w:tcW w:w="2479" w:type="dxa"/>
          </w:tcPr>
          <w:p w:rsidR="005F3EEF" w:rsidRDefault="005F3EEF" w:rsidP="003601C2">
            <w:pPr>
              <w:pStyle w:val="TableText"/>
              <w:rPr>
                <w:lang w:val="en-GB" w:eastAsia="en-AU"/>
              </w:rPr>
            </w:pPr>
            <w:r>
              <w:rPr>
                <w:lang w:val="en-GB" w:eastAsia="en-AU"/>
              </w:rPr>
              <w:lastRenderedPageBreak/>
              <w:t>Reliability</w:t>
            </w:r>
          </w:p>
        </w:tc>
      </w:tr>
      <w:tr w:rsidR="005F3EEF" w:rsidTr="003601C2">
        <w:tc>
          <w:tcPr>
            <w:tcW w:w="1494" w:type="dxa"/>
          </w:tcPr>
          <w:p w:rsidR="005F3EEF" w:rsidRDefault="005F3EEF" w:rsidP="00BC2270">
            <w:pPr>
              <w:pStyle w:val="TableListBullet"/>
              <w:numPr>
                <w:ilvl w:val="0"/>
                <w:numId w:val="0"/>
              </w:numPr>
              <w:rPr>
                <w:lang w:val="en-GB"/>
              </w:rPr>
            </w:pPr>
            <w:r>
              <w:rPr>
                <w:lang w:val="en-GB"/>
              </w:rPr>
              <w:lastRenderedPageBreak/>
              <w:t>Underlying demand</w:t>
            </w:r>
          </w:p>
        </w:tc>
        <w:tc>
          <w:tcPr>
            <w:tcW w:w="5882" w:type="dxa"/>
          </w:tcPr>
          <w:p w:rsidR="004E009F" w:rsidRPr="007729CB" w:rsidRDefault="007B0A1A" w:rsidP="00BC2270">
            <w:pPr>
              <w:pStyle w:val="TableText"/>
            </w:pPr>
            <w:r>
              <w:t>A</w:t>
            </w:r>
            <w:r w:rsidR="005F3EEF" w:rsidRPr="007729CB">
              <w:t xml:space="preserve">ll </w:t>
            </w:r>
            <w:r w:rsidR="005F3EEF">
              <w:t>electricity demanded</w:t>
            </w:r>
            <w:r w:rsidR="005F3EEF" w:rsidRPr="007729CB">
              <w:t xml:space="preserve"> by residential</w:t>
            </w:r>
            <w:r w:rsidR="005F3EEF">
              <w:t>,</w:t>
            </w:r>
            <w:r w:rsidR="005F3EEF" w:rsidRPr="007729CB">
              <w:t xml:space="preserve"> commercial </w:t>
            </w:r>
            <w:r w:rsidR="005F3EEF">
              <w:t xml:space="preserve">and industrial consumers </w:t>
            </w:r>
            <w:r w:rsidR="005F3EEF" w:rsidRPr="007729CB">
              <w:t>whether or not from the electricity gri</w:t>
            </w:r>
            <w:r w:rsidR="005F3EEF">
              <w:t>d. Includes demand met by distributed generation including rooftop PV.</w:t>
            </w:r>
          </w:p>
        </w:tc>
        <w:tc>
          <w:tcPr>
            <w:tcW w:w="2479" w:type="dxa"/>
          </w:tcPr>
          <w:p w:rsidR="005F3EEF" w:rsidRDefault="005F3EEF" w:rsidP="00B62C93">
            <w:pPr>
              <w:pStyle w:val="TableText"/>
              <w:rPr>
                <w:lang w:val="en-GB" w:eastAsia="en-AU"/>
              </w:rPr>
            </w:pPr>
            <w:r>
              <w:rPr>
                <w:lang w:val="en-GB" w:eastAsia="en-AU"/>
              </w:rPr>
              <w:t>Operational demand</w:t>
            </w:r>
          </w:p>
        </w:tc>
      </w:tr>
    </w:tbl>
    <w:p w:rsidR="009173C9" w:rsidRDefault="007037E2" w:rsidP="009818D9">
      <w:pPr>
        <w:pStyle w:val="ChapterHeading1"/>
        <w:numPr>
          <w:ilvl w:val="0"/>
          <w:numId w:val="15"/>
        </w:numPr>
        <w:ind w:left="2552" w:hanging="2552"/>
      </w:pPr>
      <w:bookmarkStart w:id="327" w:name="_Toc447182438"/>
      <w:bookmarkStart w:id="328" w:name="_Toc447183283"/>
      <w:bookmarkStart w:id="329" w:name="_Toc447183357"/>
      <w:bookmarkStart w:id="330" w:name="_Toc447183395"/>
      <w:bookmarkStart w:id="331" w:name="_Toc447183483"/>
      <w:bookmarkStart w:id="332" w:name="_Toc447183542"/>
      <w:bookmarkStart w:id="333" w:name="_Toc448132691"/>
      <w:bookmarkStart w:id="334" w:name="_Toc448151751"/>
      <w:bookmarkStart w:id="335" w:name="_Toc448151819"/>
      <w:bookmarkStart w:id="336" w:name="_Ref448937042"/>
      <w:bookmarkStart w:id="337" w:name="_Ref449005988"/>
      <w:bookmarkStart w:id="338" w:name="_Ref449448807"/>
      <w:bookmarkStart w:id="339" w:name="_Toc460317989"/>
      <w:bookmarkEnd w:id="106"/>
      <w:r>
        <w:lastRenderedPageBreak/>
        <w:t>P</w:t>
      </w:r>
      <w:r w:rsidR="006F53CA">
        <w:t>ossible policies and approach to assessment</w:t>
      </w:r>
      <w:bookmarkEnd w:id="327"/>
      <w:bookmarkEnd w:id="328"/>
      <w:bookmarkEnd w:id="329"/>
      <w:bookmarkEnd w:id="330"/>
      <w:bookmarkEnd w:id="331"/>
      <w:bookmarkEnd w:id="332"/>
      <w:bookmarkEnd w:id="333"/>
      <w:bookmarkEnd w:id="334"/>
      <w:bookmarkEnd w:id="335"/>
      <w:bookmarkEnd w:id="336"/>
      <w:bookmarkEnd w:id="337"/>
      <w:bookmarkEnd w:id="338"/>
      <w:bookmarkEnd w:id="339"/>
    </w:p>
    <w:tbl>
      <w:tblPr>
        <w:tblStyle w:val="CCATablebox"/>
        <w:tblW w:w="0" w:type="auto"/>
        <w:tblLook w:val="04A0" w:firstRow="1" w:lastRow="0" w:firstColumn="1" w:lastColumn="0" w:noHBand="0" w:noVBand="1"/>
      </w:tblPr>
      <w:tblGrid>
        <w:gridCol w:w="9855"/>
      </w:tblGrid>
      <w:tr w:rsidR="009173C9" w:rsidTr="006F53CA">
        <w:trPr>
          <w:cnfStyle w:val="100000000000" w:firstRow="1" w:lastRow="0" w:firstColumn="0" w:lastColumn="0" w:oddVBand="0" w:evenVBand="0" w:oddHBand="0" w:evenHBand="0" w:firstRowFirstColumn="0" w:firstRowLastColumn="0" w:lastRowFirstColumn="0" w:lastRowLastColumn="0"/>
        </w:trPr>
        <w:tc>
          <w:tcPr>
            <w:tcW w:w="9855" w:type="dxa"/>
          </w:tcPr>
          <w:p w:rsidR="009173C9" w:rsidRPr="002D0B23" w:rsidRDefault="00CA762C" w:rsidP="00FD0E80">
            <w:pPr>
              <w:pStyle w:val="BodyText"/>
              <w:spacing w:before="240" w:after="240"/>
              <w:rPr>
                <w:sz w:val="18"/>
                <w:szCs w:val="18"/>
              </w:rPr>
            </w:pPr>
            <w:r>
              <w:t>Chapter 2</w:t>
            </w:r>
            <w:r w:rsidR="00C009C9">
              <w:t xml:space="preserve"> </w:t>
            </w:r>
            <w:r w:rsidR="00760A0E" w:rsidRPr="0048748A">
              <w:t>outlined the opportunities to reduce emissions in the electricity sector, the role of the sector in contributing to Australia’s emissions reduction goals and the importance of stable, durable policy for realising the emissions reduction opportunities. This chapter considers which policies are available to realise these opportunities and outlines how the Authority compare</w:t>
            </w:r>
            <w:r w:rsidR="001B1DA6">
              <w:t>d</w:t>
            </w:r>
            <w:r w:rsidR="00760A0E" w:rsidRPr="0048748A">
              <w:t xml:space="preserve"> them using the principles of cost</w:t>
            </w:r>
            <w:r w:rsidR="00291629">
              <w:t xml:space="preserve"> </w:t>
            </w:r>
            <w:r w:rsidR="00760A0E" w:rsidRPr="0048748A">
              <w:t>effectiveness, environmental effectiveness and equity. The final section introduces the electricity market and economy-wide modelling commissioned by the Authority to help it evaluate policies.</w:t>
            </w:r>
            <w:r w:rsidR="0048748A" w:rsidRPr="0048748A">
              <w:t xml:space="preserve"> </w:t>
            </w:r>
          </w:p>
        </w:tc>
      </w:tr>
    </w:tbl>
    <w:p w:rsidR="00A26410" w:rsidRDefault="00A26410" w:rsidP="00A26410">
      <w:pPr>
        <w:pStyle w:val="ChapterHeading2"/>
        <w:numPr>
          <w:ilvl w:val="1"/>
          <w:numId w:val="15"/>
        </w:numPr>
      </w:pPr>
      <w:bookmarkStart w:id="340" w:name="_Toc444610044"/>
      <w:bookmarkStart w:id="341" w:name="_Toc447099904"/>
      <w:bookmarkStart w:id="342" w:name="_Toc460317990"/>
      <w:r>
        <w:t>Policy options to reduce Australia’s electricity sector emissions</w:t>
      </w:r>
      <w:bookmarkEnd w:id="340"/>
      <w:bookmarkEnd w:id="341"/>
      <w:bookmarkEnd w:id="342"/>
    </w:p>
    <w:p w:rsidR="00A26410" w:rsidRDefault="00A26410" w:rsidP="00A26410">
      <w:pPr>
        <w:pStyle w:val="BodyText"/>
      </w:pPr>
      <w:r>
        <w:rPr>
          <w:rFonts w:eastAsia="Batang"/>
        </w:rPr>
        <w:t xml:space="preserve">Report Two of the Authority’s Special Review </w:t>
      </w:r>
      <w:r>
        <w:t xml:space="preserve">outlined the different types of policies that Australia could use to achieve its emissions reduction targets. </w:t>
      </w:r>
    </w:p>
    <w:p w:rsidR="00A26410" w:rsidRDefault="00A26410" w:rsidP="00A26410">
      <w:pPr>
        <w:pStyle w:val="BodyText"/>
      </w:pPr>
      <w:r>
        <w:t xml:space="preserve">In its consideration of electricity sector policies, the Authority </w:t>
      </w:r>
      <w:r w:rsidR="001B1DA6">
        <w:t>focused</w:t>
      </w:r>
      <w:r>
        <w:t xml:space="preserve"> on policies broadly representative of those proposed and discussed in Australia in recent years. </w:t>
      </w:r>
      <w:r w:rsidR="00CA762C">
        <w:t xml:space="preserve">Table </w:t>
      </w:r>
      <w:r w:rsidR="00CA762C">
        <w:rPr>
          <w:noProof/>
        </w:rPr>
        <w:t>2</w:t>
      </w:r>
      <w:r>
        <w:t xml:space="preserve"> shows how these relate to the policy types outlined in Report Two.</w:t>
      </w:r>
    </w:p>
    <w:p w:rsidR="00A42F4F" w:rsidRDefault="00A42F4F" w:rsidP="00A42F4F">
      <w:pPr>
        <w:pStyle w:val="Caption"/>
      </w:pPr>
      <w:bookmarkStart w:id="343" w:name="_Ref444012059"/>
      <w:bookmarkStart w:id="344" w:name="_Toc443992517"/>
      <w:bookmarkStart w:id="345" w:name="_Toc444003669"/>
      <w:bookmarkStart w:id="346" w:name="_Toc444162833"/>
      <w:bookmarkStart w:id="347" w:name="_Toc447099959"/>
      <w:bookmarkStart w:id="348" w:name="_Toc460318070"/>
      <w:r>
        <w:t xml:space="preserve">Table </w:t>
      </w:r>
      <w:r w:rsidR="00CA762C">
        <w:rPr>
          <w:noProof/>
        </w:rPr>
        <w:t>2</w:t>
      </w:r>
      <w:bookmarkEnd w:id="343"/>
      <w:r>
        <w:tab/>
        <w:t>Electricity sector policies analysed, by category</w:t>
      </w:r>
      <w:bookmarkEnd w:id="344"/>
      <w:bookmarkEnd w:id="345"/>
      <w:bookmarkEnd w:id="346"/>
      <w:bookmarkEnd w:id="347"/>
      <w:bookmarkEnd w:id="348"/>
    </w:p>
    <w:tbl>
      <w:tblPr>
        <w:tblStyle w:val="CCATable"/>
        <w:tblW w:w="0" w:type="auto"/>
        <w:tblLook w:val="04A0" w:firstRow="1" w:lastRow="0" w:firstColumn="1" w:lastColumn="0" w:noHBand="0" w:noVBand="1"/>
      </w:tblPr>
      <w:tblGrid>
        <w:gridCol w:w="4064"/>
        <w:gridCol w:w="5791"/>
      </w:tblGrid>
      <w:tr w:rsidR="00A42F4F" w:rsidRPr="00954D16" w:rsidTr="00C23D1F">
        <w:trPr>
          <w:cnfStyle w:val="100000000000" w:firstRow="1" w:lastRow="0" w:firstColumn="0" w:lastColumn="0" w:oddVBand="0" w:evenVBand="0" w:oddHBand="0" w:evenHBand="0" w:firstRowFirstColumn="0" w:firstRowLastColumn="0" w:lastRowFirstColumn="0" w:lastRowLastColumn="0"/>
        </w:trPr>
        <w:tc>
          <w:tcPr>
            <w:tcW w:w="4064" w:type="dxa"/>
          </w:tcPr>
          <w:p w:rsidR="00A42F4F" w:rsidRPr="00A55EE6" w:rsidRDefault="00A42F4F" w:rsidP="00C23D1F">
            <w:pPr>
              <w:pStyle w:val="TableHeading"/>
            </w:pPr>
            <w:r w:rsidRPr="00A55EE6">
              <w:t>Report Two policy category</w:t>
            </w:r>
          </w:p>
        </w:tc>
        <w:tc>
          <w:tcPr>
            <w:tcW w:w="5791" w:type="dxa"/>
          </w:tcPr>
          <w:p w:rsidR="00A42F4F" w:rsidRPr="00A55EE6" w:rsidRDefault="00A42F4F" w:rsidP="00C23D1F">
            <w:pPr>
              <w:pStyle w:val="TableHeading"/>
            </w:pPr>
            <w:r w:rsidRPr="00A55EE6">
              <w:t>Policies examined for the electricity sector</w:t>
            </w:r>
          </w:p>
        </w:tc>
      </w:tr>
      <w:tr w:rsidR="00A42F4F" w:rsidRPr="00A55EE6" w:rsidTr="00C23D1F">
        <w:trPr>
          <w:cnfStyle w:val="000000100000" w:firstRow="0" w:lastRow="0" w:firstColumn="0" w:lastColumn="0" w:oddVBand="0" w:evenVBand="0" w:oddHBand="1" w:evenHBand="0" w:firstRowFirstColumn="0" w:firstRowLastColumn="0" w:lastRowFirstColumn="0" w:lastRowLastColumn="0"/>
        </w:trPr>
        <w:tc>
          <w:tcPr>
            <w:tcW w:w="4064" w:type="dxa"/>
          </w:tcPr>
          <w:p w:rsidR="00A42F4F" w:rsidRPr="00A55EE6" w:rsidRDefault="00A42F4F" w:rsidP="00C23D1F">
            <w:pPr>
              <w:pStyle w:val="TableText"/>
            </w:pPr>
            <w:r>
              <w:t>Market mechanisms</w:t>
            </w:r>
          </w:p>
        </w:tc>
        <w:tc>
          <w:tcPr>
            <w:tcW w:w="5791" w:type="dxa"/>
          </w:tcPr>
          <w:p w:rsidR="00A42F4F" w:rsidRPr="00A55EE6" w:rsidRDefault="00A42F4F" w:rsidP="00C23D1F">
            <w:pPr>
              <w:pStyle w:val="TableText"/>
            </w:pPr>
            <w:r>
              <w:t xml:space="preserve">Carbon tax; cap and </w:t>
            </w:r>
            <w:r w:rsidRPr="00A55EE6">
              <w:t xml:space="preserve">trade scheme; emissions intensity </w:t>
            </w:r>
            <w:r>
              <w:t xml:space="preserve">scheme; </w:t>
            </w:r>
            <w:r w:rsidRPr="00947B69">
              <w:t>baseline and credit scheme</w:t>
            </w:r>
          </w:p>
        </w:tc>
      </w:tr>
      <w:tr w:rsidR="00A42F4F" w:rsidRPr="00A55EE6" w:rsidTr="00C23D1F">
        <w:tc>
          <w:tcPr>
            <w:tcW w:w="4064" w:type="dxa"/>
          </w:tcPr>
          <w:p w:rsidR="00A42F4F" w:rsidRPr="00A55EE6" w:rsidRDefault="00A42F4F" w:rsidP="00C23D1F">
            <w:pPr>
              <w:pStyle w:val="TableText"/>
            </w:pPr>
            <w:r w:rsidRPr="00A55EE6">
              <w:t xml:space="preserve">Voluntary </w:t>
            </w:r>
            <w:r>
              <w:t>pricing</w:t>
            </w:r>
          </w:p>
        </w:tc>
        <w:tc>
          <w:tcPr>
            <w:tcW w:w="5791" w:type="dxa"/>
          </w:tcPr>
          <w:p w:rsidR="00A42F4F" w:rsidRPr="00A55EE6" w:rsidRDefault="00A42F4F" w:rsidP="00C23D1F">
            <w:pPr>
              <w:pStyle w:val="TableText"/>
            </w:pPr>
            <w:r w:rsidRPr="00A55EE6">
              <w:t xml:space="preserve">Not </w:t>
            </w:r>
            <w:r>
              <w:t>assessed</w:t>
            </w:r>
          </w:p>
        </w:tc>
      </w:tr>
      <w:tr w:rsidR="00A42F4F" w:rsidRPr="00A55EE6" w:rsidTr="00C23D1F">
        <w:trPr>
          <w:cnfStyle w:val="000000100000" w:firstRow="0" w:lastRow="0" w:firstColumn="0" w:lastColumn="0" w:oddVBand="0" w:evenVBand="0" w:oddHBand="1" w:evenHBand="0" w:firstRowFirstColumn="0" w:firstRowLastColumn="0" w:lastRowFirstColumn="0" w:lastRowLastColumn="0"/>
        </w:trPr>
        <w:tc>
          <w:tcPr>
            <w:tcW w:w="4064" w:type="dxa"/>
          </w:tcPr>
          <w:p w:rsidR="00A42F4F" w:rsidRDefault="00A42F4F" w:rsidP="00C23D1F">
            <w:pPr>
              <w:pStyle w:val="TableText"/>
            </w:pPr>
            <w:r>
              <w:t>‘Technology pull’ policies</w:t>
            </w:r>
          </w:p>
          <w:p w:rsidR="00A42F4F" w:rsidRPr="00A55EE6" w:rsidRDefault="00A42F4F" w:rsidP="00C23D1F">
            <w:pPr>
              <w:pStyle w:val="TableText"/>
            </w:pPr>
          </w:p>
        </w:tc>
        <w:tc>
          <w:tcPr>
            <w:tcW w:w="5791" w:type="dxa"/>
          </w:tcPr>
          <w:p w:rsidR="00A42F4F" w:rsidRPr="00A55EE6" w:rsidRDefault="00A42F4F" w:rsidP="00C23D1F">
            <w:pPr>
              <w:pStyle w:val="TableText"/>
            </w:pPr>
            <w:r>
              <w:t>Renewable energy t</w:t>
            </w:r>
            <w:r w:rsidRPr="00A55EE6">
              <w:t>arget</w:t>
            </w:r>
          </w:p>
          <w:p w:rsidR="00A42F4F" w:rsidRPr="00A55EE6" w:rsidRDefault="00A42F4F" w:rsidP="00C23D1F">
            <w:pPr>
              <w:pStyle w:val="TableText"/>
            </w:pPr>
            <w:r w:rsidRPr="00A55EE6">
              <w:t>Low emissions target</w:t>
            </w:r>
          </w:p>
          <w:p w:rsidR="00A42F4F" w:rsidRPr="00A55EE6" w:rsidRDefault="00A42F4F" w:rsidP="00C23D1F">
            <w:pPr>
              <w:pStyle w:val="TableText"/>
            </w:pPr>
            <w:r>
              <w:t>Contracts for difference</w:t>
            </w:r>
          </w:p>
        </w:tc>
      </w:tr>
      <w:tr w:rsidR="00A42F4F" w:rsidRPr="00A55EE6" w:rsidTr="00C23D1F">
        <w:tc>
          <w:tcPr>
            <w:tcW w:w="4064" w:type="dxa"/>
          </w:tcPr>
          <w:p w:rsidR="00A42F4F" w:rsidRPr="00A55EE6" w:rsidRDefault="00A42F4F" w:rsidP="00C23D1F">
            <w:pPr>
              <w:pStyle w:val="TableText"/>
            </w:pPr>
            <w:r w:rsidRPr="00A55EE6">
              <w:t>Regulation</w:t>
            </w:r>
          </w:p>
        </w:tc>
        <w:tc>
          <w:tcPr>
            <w:tcW w:w="5791" w:type="dxa"/>
          </w:tcPr>
          <w:p w:rsidR="00A42F4F" w:rsidRPr="00A55EE6" w:rsidRDefault="00A42F4F" w:rsidP="00C23D1F">
            <w:pPr>
              <w:pStyle w:val="TableText"/>
            </w:pPr>
            <w:r w:rsidRPr="00A55EE6">
              <w:t>Absolute baselines</w:t>
            </w:r>
          </w:p>
          <w:p w:rsidR="00A42F4F" w:rsidRDefault="00A42F4F" w:rsidP="00C23D1F">
            <w:pPr>
              <w:pStyle w:val="TableText"/>
            </w:pPr>
            <w:r w:rsidRPr="00A55EE6">
              <w:t>Regulated closure</w:t>
            </w:r>
            <w:r>
              <w:t>s</w:t>
            </w:r>
          </w:p>
          <w:p w:rsidR="00A42F4F" w:rsidRPr="00A55EE6" w:rsidRDefault="00A42F4F" w:rsidP="00C23D1F">
            <w:pPr>
              <w:pStyle w:val="TableText"/>
            </w:pPr>
            <w:r>
              <w:t>Emissions standards for new generators</w:t>
            </w:r>
          </w:p>
        </w:tc>
      </w:tr>
      <w:tr w:rsidR="00A42F4F" w:rsidRPr="00A55EE6" w:rsidTr="00C23D1F">
        <w:trPr>
          <w:cnfStyle w:val="000000100000" w:firstRow="0" w:lastRow="0" w:firstColumn="0" w:lastColumn="0" w:oddVBand="0" w:evenVBand="0" w:oddHBand="1" w:evenHBand="0" w:firstRowFirstColumn="0" w:firstRowLastColumn="0" w:lastRowFirstColumn="0" w:lastRowLastColumn="0"/>
        </w:trPr>
        <w:tc>
          <w:tcPr>
            <w:tcW w:w="4064" w:type="dxa"/>
          </w:tcPr>
          <w:p w:rsidR="00A42F4F" w:rsidRPr="00A55EE6" w:rsidRDefault="00A42F4F" w:rsidP="00C23D1F">
            <w:pPr>
              <w:pStyle w:val="TableText"/>
            </w:pPr>
            <w:r w:rsidRPr="00A55EE6">
              <w:t>Information</w:t>
            </w:r>
          </w:p>
        </w:tc>
        <w:tc>
          <w:tcPr>
            <w:tcW w:w="5791" w:type="dxa"/>
          </w:tcPr>
          <w:p w:rsidR="00A42F4F" w:rsidRPr="00A55EE6" w:rsidRDefault="00A42F4F" w:rsidP="00C23D1F">
            <w:pPr>
              <w:pStyle w:val="TableText"/>
            </w:pPr>
            <w:r>
              <w:t>Not considered</w:t>
            </w:r>
          </w:p>
        </w:tc>
      </w:tr>
      <w:tr w:rsidR="00A42F4F" w:rsidRPr="00A55EE6" w:rsidTr="00C23D1F">
        <w:tc>
          <w:tcPr>
            <w:tcW w:w="4064" w:type="dxa"/>
          </w:tcPr>
          <w:p w:rsidR="00A42F4F" w:rsidRPr="00A55EE6" w:rsidRDefault="00A42F4F" w:rsidP="00C23D1F">
            <w:pPr>
              <w:pStyle w:val="TableText"/>
            </w:pPr>
            <w:r w:rsidRPr="00A55EE6">
              <w:t>Innovation</w:t>
            </w:r>
          </w:p>
        </w:tc>
        <w:tc>
          <w:tcPr>
            <w:tcW w:w="5791" w:type="dxa"/>
          </w:tcPr>
          <w:p w:rsidR="00A42F4F" w:rsidRPr="00A55EE6" w:rsidRDefault="00A42F4F" w:rsidP="00C23D1F">
            <w:pPr>
              <w:pStyle w:val="TableText"/>
            </w:pPr>
            <w:r w:rsidRPr="00A55EE6">
              <w:t xml:space="preserve">All modelled policies encourage deployment of </w:t>
            </w:r>
            <w:r>
              <w:t>low</w:t>
            </w:r>
            <w:r>
              <w:noBreakHyphen/>
              <w:t xml:space="preserve">emission </w:t>
            </w:r>
            <w:r w:rsidRPr="00A55EE6">
              <w:t xml:space="preserve">technologies. The </w:t>
            </w:r>
            <w:r>
              <w:t>technology pull policies</w:t>
            </w:r>
            <w:r w:rsidRPr="00A55EE6">
              <w:t xml:space="preserve"> target them explicitly.</w:t>
            </w:r>
          </w:p>
        </w:tc>
      </w:tr>
    </w:tbl>
    <w:p w:rsidR="00A42F4F" w:rsidRPr="006C7F13" w:rsidRDefault="00A42F4F" w:rsidP="00A42F4F">
      <w:pPr>
        <w:pStyle w:val="TableNote"/>
        <w:rPr>
          <w:rFonts w:eastAsia="Batang"/>
        </w:rPr>
      </w:pPr>
      <w:r w:rsidRPr="00A26410">
        <w:rPr>
          <w:b/>
        </w:rPr>
        <w:t>Source:</w:t>
      </w:r>
      <w:r w:rsidRPr="002F068F">
        <w:t xml:space="preserve"> Climate Change Authority</w:t>
      </w:r>
      <w:r>
        <w:t>.</w:t>
      </w:r>
    </w:p>
    <w:p w:rsidR="00A26410" w:rsidRDefault="00A26410" w:rsidP="00A26410">
      <w:pPr>
        <w:pStyle w:val="ListBullet"/>
        <w:numPr>
          <w:ilvl w:val="0"/>
          <w:numId w:val="0"/>
        </w:numPr>
      </w:pPr>
      <w:r>
        <w:t xml:space="preserve">This </w:t>
      </w:r>
      <w:r w:rsidR="00AD11F0">
        <w:t>report</w:t>
      </w:r>
      <w:r>
        <w:t xml:space="preserve"> focuses on three broad 'families' of possible policies:</w:t>
      </w:r>
    </w:p>
    <w:p w:rsidR="00A26410" w:rsidRDefault="001733B9" w:rsidP="00A26410">
      <w:pPr>
        <w:pStyle w:val="ListBullet"/>
      </w:pPr>
      <w:r>
        <w:t>‘</w:t>
      </w:r>
      <w:r w:rsidR="00CA6CB1">
        <w:t>Market mechanisms</w:t>
      </w:r>
      <w:r>
        <w:t>’</w:t>
      </w:r>
      <w:r w:rsidR="00A26410">
        <w:t>, in particular carbon taxes, cap and trade schemes</w:t>
      </w:r>
      <w:r w:rsidR="00691F52">
        <w:t>,</w:t>
      </w:r>
      <w:r w:rsidR="00A26410">
        <w:t xml:space="preserve"> and emissions intensity schemes. </w:t>
      </w:r>
    </w:p>
    <w:p w:rsidR="00A26410" w:rsidRDefault="00A26410" w:rsidP="00A26410">
      <w:pPr>
        <w:pStyle w:val="ListBullet"/>
      </w:pPr>
      <w:r>
        <w:t xml:space="preserve">'Technology </w:t>
      </w:r>
      <w:proofErr w:type="gramStart"/>
      <w:r>
        <w:t>pull</w:t>
      </w:r>
      <w:proofErr w:type="gramEnd"/>
      <w:r>
        <w:t xml:space="preserve"> policies': a type of policy that encourages the deployment of </w:t>
      </w:r>
      <w:r w:rsidR="005C6F93">
        <w:t>additional renewable and/or low</w:t>
      </w:r>
      <w:r w:rsidR="005C6F93">
        <w:noBreakHyphen/>
      </w:r>
      <w:r>
        <w:t>emissions generation. These vary in their technology eligibility (for example, whether they accept only renewable generation o</w:t>
      </w:r>
      <w:r w:rsidR="00C519A8">
        <w:t>r also allow other zero- or low</w:t>
      </w:r>
      <w:r w:rsidR="00C519A8">
        <w:noBreakHyphen/>
      </w:r>
      <w:r>
        <w:t xml:space="preserve">emissions sources) and their </w:t>
      </w:r>
      <w:r>
        <w:lastRenderedPageBreak/>
        <w:t>design (for example, whether e</w:t>
      </w:r>
      <w:r w:rsidR="00A16422">
        <w:t>ligible generators receive trad</w:t>
      </w:r>
      <w:r>
        <w:t>able certificates or a payment from consumers or the government).</w:t>
      </w:r>
    </w:p>
    <w:p w:rsidR="00A26410" w:rsidRDefault="00A26410" w:rsidP="00A26410">
      <w:pPr>
        <w:pStyle w:val="ListBullet"/>
      </w:pPr>
      <w:r>
        <w:t>Regulation on entry and/or exit of power plant. For example, standards for the emissions performance of new or existing power stations, mandated closure, or facility-level absolute emissions baselines for emissions-intensive generators (that is, where each generator has a baseline for their total emissions that they must not exceed).</w:t>
      </w:r>
    </w:p>
    <w:p w:rsidR="00A26410" w:rsidRPr="001720BA" w:rsidRDefault="00A16422" w:rsidP="00A26410">
      <w:pPr>
        <w:pStyle w:val="BodyText"/>
      </w:pPr>
      <w:r>
        <w:t>T</w:t>
      </w:r>
      <w:r w:rsidR="00A26410">
        <w:t>hese policies are focused on</w:t>
      </w:r>
      <w:r w:rsidR="00A26410" w:rsidRPr="001720BA">
        <w:t xml:space="preserve">: </w:t>
      </w:r>
    </w:p>
    <w:p w:rsidR="00A26410" w:rsidRDefault="00A16422" w:rsidP="00A26410">
      <w:pPr>
        <w:pStyle w:val="ListBullet"/>
      </w:pPr>
      <w:proofErr w:type="gramStart"/>
      <w:r>
        <w:t>t</w:t>
      </w:r>
      <w:r w:rsidR="00A26410">
        <w:t>he</w:t>
      </w:r>
      <w:proofErr w:type="gramEnd"/>
      <w:r w:rsidR="00A26410">
        <w:t xml:space="preserve"> supply side of the power sector, but also deliver some emissions reductions through reducing electricity demand (</w:t>
      </w:r>
      <w:r w:rsidR="00CA762C">
        <w:t>Box 6</w:t>
      </w:r>
      <w:r w:rsidR="00656961">
        <w:t xml:space="preserve"> </w:t>
      </w:r>
      <w:r w:rsidR="00A26410">
        <w:t xml:space="preserve">in </w:t>
      </w:r>
      <w:r w:rsidR="00CA762C">
        <w:t>Chapter 4</w:t>
      </w:r>
      <w:r w:rsidR="00A26410">
        <w:t xml:space="preserve">). </w:t>
      </w:r>
      <w:r w:rsidR="00D62DE7">
        <w:t>Other policies could be used that directly target electricity demand.</w:t>
      </w:r>
      <w:r w:rsidR="00A26410">
        <w:t xml:space="preserve"> Policies can, for example, target barriers to energy efficiency to drive emissions reductions not encouraged by price changes alone</w:t>
      </w:r>
      <w:r w:rsidR="00A7318F">
        <w:t>—see</w:t>
      </w:r>
      <w:r w:rsidR="00A26410">
        <w:t xml:space="preserve"> Report Three of the Special Review.  </w:t>
      </w:r>
    </w:p>
    <w:p w:rsidR="00A26410" w:rsidRPr="006376F1" w:rsidRDefault="00A16422" w:rsidP="00A26410">
      <w:pPr>
        <w:pStyle w:val="ListBullet"/>
        <w:rPr>
          <w:rFonts w:eastAsiaTheme="minorEastAsia"/>
        </w:rPr>
      </w:pPr>
      <w:proofErr w:type="gramStart"/>
      <w:r>
        <w:t>l</w:t>
      </w:r>
      <w:r w:rsidR="00A26410" w:rsidRPr="001720BA">
        <w:t>arge-scale</w:t>
      </w:r>
      <w:proofErr w:type="gramEnd"/>
      <w:r w:rsidR="00A26410" w:rsidRPr="001720BA">
        <w:t xml:space="preserve"> electricity supply. While the balance may shift towards small-scale generation in coming decades, decarbonising the large-scale generation mix </w:t>
      </w:r>
      <w:r w:rsidR="00A26410">
        <w:t xml:space="preserve">is likely to remain </w:t>
      </w:r>
      <w:r w:rsidR="00A26410" w:rsidRPr="001720BA">
        <w:t xml:space="preserve">very important for </w:t>
      </w:r>
      <w:r w:rsidR="00A26410">
        <w:t xml:space="preserve">reducing </w:t>
      </w:r>
      <w:r w:rsidR="00A26410" w:rsidRPr="001720BA">
        <w:t>emissions in the sector</w:t>
      </w:r>
      <w:r w:rsidR="00A26410">
        <w:t xml:space="preserve"> (</w:t>
      </w:r>
      <w:r w:rsidR="00CA762C">
        <w:t>Box 4</w:t>
      </w:r>
      <w:r w:rsidR="00A26410">
        <w:t>).</w:t>
      </w:r>
    </w:p>
    <w:tbl>
      <w:tblPr>
        <w:tblStyle w:val="CCATablebox"/>
        <w:tblW w:w="0" w:type="auto"/>
        <w:tblLook w:val="04A0" w:firstRow="1" w:lastRow="0" w:firstColumn="1" w:lastColumn="0" w:noHBand="0" w:noVBand="1"/>
      </w:tblPr>
      <w:tblGrid>
        <w:gridCol w:w="9137"/>
      </w:tblGrid>
      <w:tr w:rsidR="006376F1" w:rsidTr="00C23D1F">
        <w:trPr>
          <w:cnfStyle w:val="100000000000" w:firstRow="1" w:lastRow="0" w:firstColumn="0" w:lastColumn="0" w:oddVBand="0" w:evenVBand="0" w:oddHBand="0" w:evenHBand="0" w:firstRowFirstColumn="0" w:firstRowLastColumn="0" w:lastRowFirstColumn="0" w:lastRowLastColumn="0"/>
          <w:trHeight w:val="1202"/>
        </w:trPr>
        <w:tc>
          <w:tcPr>
            <w:tcW w:w="9137" w:type="dxa"/>
          </w:tcPr>
          <w:p w:rsidR="006376F1" w:rsidRPr="00A65756" w:rsidRDefault="006376F1" w:rsidP="00C23D1F">
            <w:pPr>
              <w:pStyle w:val="Headingnumberedbox"/>
              <w:ind w:left="907" w:hanging="907"/>
              <w:outlineLvl w:val="0"/>
              <w:rPr>
                <w:lang w:val="en-AU"/>
              </w:rPr>
            </w:pPr>
            <w:bookmarkStart w:id="349" w:name="_Ref447035696"/>
            <w:bookmarkStart w:id="350" w:name="_Toc447099972"/>
            <w:bookmarkStart w:id="351" w:name="_Toc460318085"/>
            <w:r w:rsidRPr="00A65756">
              <w:rPr>
                <w:lang w:val="en-AU"/>
              </w:rPr>
              <w:t>Small-scale technologies: drivers</w:t>
            </w:r>
            <w:r>
              <w:rPr>
                <w:lang w:val="en-AU"/>
              </w:rPr>
              <w:t xml:space="preserve"> of uptake and implications for </w:t>
            </w:r>
            <w:r w:rsidRPr="00A65756">
              <w:rPr>
                <w:lang w:val="en-AU"/>
              </w:rPr>
              <w:t>climate policy</w:t>
            </w:r>
            <w:bookmarkEnd w:id="349"/>
            <w:bookmarkEnd w:id="350"/>
            <w:bookmarkEnd w:id="351"/>
          </w:p>
          <w:p w:rsidR="006376F1" w:rsidRPr="00A65756" w:rsidRDefault="006376F1" w:rsidP="00C23D1F">
            <w:pPr>
              <w:pStyle w:val="TableText"/>
            </w:pPr>
            <w:r w:rsidRPr="00A65756">
              <w:t>Making deep emissions reductions in the electricity sector will mean reducing emissions through both large- and small-scale generation.</w:t>
            </w:r>
          </w:p>
          <w:p w:rsidR="006376F1" w:rsidRPr="00A65756" w:rsidRDefault="006376F1" w:rsidP="00C23D1F">
            <w:pPr>
              <w:pStyle w:val="TableText"/>
            </w:pPr>
            <w:r w:rsidRPr="00A65756">
              <w:t xml:space="preserve">The vast majority of small-scale generation is rooftop PV, which is popular with households and business for many reasons, including for </w:t>
            </w:r>
            <w:r>
              <w:t>reducing</w:t>
            </w:r>
            <w:r w:rsidRPr="00A65756">
              <w:t xml:space="preserve"> electricity bills. Rooftop PV systems experienced a boom during 2009</w:t>
            </w:r>
            <w:r>
              <w:t xml:space="preserve"> to </w:t>
            </w:r>
            <w:r w:rsidRPr="00A65756">
              <w:t>2012 due to falls in system costs, policy incentiv</w:t>
            </w:r>
            <w:r>
              <w:t>es such as generous state-based</w:t>
            </w:r>
            <w:r w:rsidRPr="00A65756">
              <w:t xml:space="preserve"> feed</w:t>
            </w:r>
            <w:r>
              <w:noBreakHyphen/>
            </w:r>
            <w:r w:rsidRPr="00A65756">
              <w:t xml:space="preserve">in tariffs, and consumers seeking to avoid rising electricity prices. As policy support has been wound back or closed to new entrants, installation rates have declined from their peaks </w:t>
            </w:r>
            <w:bookmarkStart w:id="352" w:name="_CTVP0019e7f85292caf4898b5f5a5b15bd1c57e"/>
            <w:r>
              <w:t>(Green Energy Markets 2016, p. 12)</w:t>
            </w:r>
            <w:bookmarkEnd w:id="352"/>
            <w:r w:rsidRPr="00A65756">
              <w:t xml:space="preserve">. Projected falls in battery storage costs </w:t>
            </w:r>
            <w:r>
              <w:t>may</w:t>
            </w:r>
            <w:r w:rsidRPr="00A65756">
              <w:t xml:space="preserve"> mean ‘PV plus storage’—rather than exporting the electricity from household solar systems—could also become financially attractive to households, with the CSIRO estimating that storage could be financially viable in seven years</w:t>
            </w:r>
            <w:r>
              <w:t xml:space="preserve"> </w:t>
            </w:r>
            <w:r w:rsidRPr="00A65756">
              <w:t xml:space="preserve">with </w:t>
            </w:r>
            <w:r>
              <w:t xml:space="preserve">the </w:t>
            </w:r>
            <w:r w:rsidRPr="00A65756">
              <w:t>curre</w:t>
            </w:r>
            <w:r>
              <w:t xml:space="preserve">nt electricity pricing structure </w:t>
            </w:r>
            <w:bookmarkStart w:id="353" w:name="_CTVP001038ebf0ca42041ce8babedec7d0ae907"/>
            <w:r>
              <w:t>(Brinsmead et al. 2015, p. iv)</w:t>
            </w:r>
            <w:bookmarkEnd w:id="353"/>
            <w:r w:rsidRPr="00A65756">
              <w:t>.</w:t>
            </w:r>
          </w:p>
          <w:p w:rsidR="006376F1" w:rsidRPr="00A65756" w:rsidRDefault="006376F1" w:rsidP="00C23D1F">
            <w:pPr>
              <w:pStyle w:val="TableText"/>
            </w:pPr>
            <w:r w:rsidRPr="00A65756">
              <w:t>While uptake of rooftop PV and battery storage is likely to continue, uptake rates will depend on several factors including:</w:t>
            </w:r>
          </w:p>
          <w:p w:rsidR="006376F1" w:rsidRPr="00A65756" w:rsidRDefault="006376F1" w:rsidP="00C23D1F">
            <w:pPr>
              <w:pStyle w:val="TableListBullet"/>
              <w:rPr>
                <w:szCs w:val="18"/>
              </w:rPr>
            </w:pPr>
            <w:r w:rsidRPr="00A65756">
              <w:rPr>
                <w:szCs w:val="18"/>
              </w:rPr>
              <w:t xml:space="preserve">how fast costs of PV and storage fall in the future </w:t>
            </w:r>
          </w:p>
          <w:p w:rsidR="006376F1" w:rsidRPr="00A65756" w:rsidRDefault="006376F1" w:rsidP="00C23D1F">
            <w:pPr>
              <w:pStyle w:val="TableListBullet"/>
              <w:rPr>
                <w:szCs w:val="18"/>
              </w:rPr>
            </w:pPr>
            <w:r w:rsidRPr="00A65756">
              <w:rPr>
                <w:szCs w:val="18"/>
              </w:rPr>
              <w:t xml:space="preserve">which consumers </w:t>
            </w:r>
            <w:r>
              <w:rPr>
                <w:szCs w:val="18"/>
              </w:rPr>
              <w:t xml:space="preserve">will </w:t>
            </w:r>
            <w:r w:rsidRPr="00A65756">
              <w:rPr>
                <w:szCs w:val="18"/>
              </w:rPr>
              <w:t>buy them (for example, new business models</w:t>
            </w:r>
            <w:r>
              <w:rPr>
                <w:szCs w:val="18"/>
              </w:rPr>
              <w:t>,</w:t>
            </w:r>
            <w:r w:rsidRPr="00A65756">
              <w:rPr>
                <w:szCs w:val="18"/>
              </w:rPr>
              <w:t xml:space="preserve"> </w:t>
            </w:r>
            <w:r>
              <w:rPr>
                <w:szCs w:val="18"/>
              </w:rPr>
              <w:t>such as</w:t>
            </w:r>
            <w:r w:rsidRPr="00A65756">
              <w:rPr>
                <w:szCs w:val="18"/>
              </w:rPr>
              <w:t xml:space="preserve"> solar leasing</w:t>
            </w:r>
            <w:r>
              <w:rPr>
                <w:szCs w:val="18"/>
              </w:rPr>
              <w:t>,</w:t>
            </w:r>
            <w:r w:rsidRPr="00A65756">
              <w:rPr>
                <w:szCs w:val="18"/>
              </w:rPr>
              <w:t xml:space="preserve"> can remove the upfront costs of small-scale systems, and open the products to </w:t>
            </w:r>
            <w:r w:rsidRPr="00CB417A">
              <w:rPr>
                <w:szCs w:val="18"/>
              </w:rPr>
              <w:t xml:space="preserve">new customer segments </w:t>
            </w:r>
            <w:r>
              <w:rPr>
                <w:szCs w:val="18"/>
              </w:rPr>
              <w:t>including</w:t>
            </w:r>
            <w:r w:rsidRPr="00CB417A">
              <w:rPr>
                <w:szCs w:val="18"/>
              </w:rPr>
              <w:t xml:space="preserve"> </w:t>
            </w:r>
            <w:r>
              <w:rPr>
                <w:szCs w:val="18"/>
              </w:rPr>
              <w:t>landlords)</w:t>
            </w:r>
            <w:r w:rsidRPr="00A65756">
              <w:rPr>
                <w:szCs w:val="18"/>
              </w:rPr>
              <w:t xml:space="preserve"> and </w:t>
            </w:r>
          </w:p>
          <w:p w:rsidR="006376F1" w:rsidRPr="00A65756" w:rsidRDefault="006376F1" w:rsidP="00C23D1F">
            <w:pPr>
              <w:pStyle w:val="TableListBullet"/>
              <w:rPr>
                <w:szCs w:val="18"/>
              </w:rPr>
            </w:pPr>
            <w:proofErr w:type="gramStart"/>
            <w:r w:rsidRPr="00A65756">
              <w:rPr>
                <w:szCs w:val="18"/>
              </w:rPr>
              <w:t>a</w:t>
            </w:r>
            <w:proofErr w:type="gramEnd"/>
            <w:r w:rsidRPr="00A65756">
              <w:rPr>
                <w:szCs w:val="18"/>
              </w:rPr>
              <w:t xml:space="preserve"> wide range of policies that influence the relative attractiveness of small-scale systems by changing the relative price of retail electricity, from </w:t>
            </w:r>
            <w:r>
              <w:rPr>
                <w:szCs w:val="18"/>
              </w:rPr>
              <w:t xml:space="preserve">the level of </w:t>
            </w:r>
            <w:r w:rsidRPr="00A65756">
              <w:rPr>
                <w:szCs w:val="18"/>
              </w:rPr>
              <w:t>remaining feed-in tariffs</w:t>
            </w:r>
            <w:r>
              <w:rPr>
                <w:szCs w:val="18"/>
              </w:rPr>
              <w:t xml:space="preserve"> to the future extent of cost</w:t>
            </w:r>
            <w:r>
              <w:rPr>
                <w:szCs w:val="18"/>
              </w:rPr>
              <w:noBreakHyphen/>
              <w:t>reflective network pricing</w:t>
            </w:r>
            <w:r w:rsidRPr="00A65756">
              <w:rPr>
                <w:szCs w:val="18"/>
              </w:rPr>
              <w:t xml:space="preserve">. </w:t>
            </w:r>
          </w:p>
          <w:p w:rsidR="006376F1" w:rsidRPr="00A65756" w:rsidRDefault="006376F1" w:rsidP="00C23D1F">
            <w:pPr>
              <w:pStyle w:val="TableText"/>
            </w:pPr>
            <w:r w:rsidRPr="00A65756">
              <w:t xml:space="preserve">The CSIRO’s Future Grid </w:t>
            </w:r>
            <w:r w:rsidRPr="00307B89">
              <w:t xml:space="preserve">Forum </w:t>
            </w:r>
            <w:bookmarkStart w:id="354" w:name="_CTVP001a2ff386e4a4543c8aaec1dbf980721dd"/>
            <w:r>
              <w:t>(CSIRO 2013; Graham et al. 2015)</w:t>
            </w:r>
            <w:bookmarkEnd w:id="354"/>
            <w:r>
              <w:t xml:space="preserve"> explored</w:t>
            </w:r>
            <w:r w:rsidRPr="00A65756">
              <w:t xml:space="preserve"> how small-scale generation coul</w:t>
            </w:r>
            <w:r>
              <w:t>d evolve. The Forum investigated</w:t>
            </w:r>
            <w:r w:rsidRPr="00A65756">
              <w:t xml:space="preserve"> scenarios for four different possible futures for the electricity system that explore how customer preferences might interact with changes in technology and policy. Looking across these scenarios, the projected share of </w:t>
            </w:r>
            <w:r>
              <w:t xml:space="preserve">on-site </w:t>
            </w:r>
            <w:r w:rsidRPr="00A65756">
              <w:t>generation</w:t>
            </w:r>
            <w:r>
              <w:t xml:space="preserve"> (mostly rooftop PV)</w:t>
            </w:r>
            <w:r w:rsidRPr="00A65756">
              <w:t xml:space="preserve"> in 2050 ranges from </w:t>
            </w:r>
            <w:r>
              <w:t>around 2</w:t>
            </w:r>
            <w:r w:rsidRPr="00A65756">
              <w:t xml:space="preserve">5 to </w:t>
            </w:r>
            <w:r>
              <w:t>45 </w:t>
            </w:r>
            <w:r w:rsidRPr="00A65756">
              <w:t xml:space="preserve">per cent (the current share is </w:t>
            </w:r>
            <w:r>
              <w:t>just under 10 </w:t>
            </w:r>
            <w:r w:rsidRPr="00396A9D">
              <w:t>per cent)</w:t>
            </w:r>
            <w:r>
              <w:t xml:space="preserve"> </w:t>
            </w:r>
            <w:bookmarkStart w:id="355" w:name="_CTVP00150d5e7c126e34eeca51dc4292c4a5c28"/>
            <w:r>
              <w:t>(Graham et al. 2015, p. 100)</w:t>
            </w:r>
            <w:bookmarkEnd w:id="355"/>
            <w:r w:rsidRPr="00396A9D">
              <w:t>.</w:t>
            </w:r>
            <w:r w:rsidRPr="00A65756">
              <w:t xml:space="preserve"> </w:t>
            </w:r>
          </w:p>
          <w:p w:rsidR="006376F1" w:rsidRPr="00A65756" w:rsidRDefault="006376F1" w:rsidP="00C23D1F">
            <w:pPr>
              <w:pStyle w:val="TableText"/>
            </w:pPr>
            <w:r w:rsidRPr="00A65756">
              <w:t>These possibilities raise two questions for climate policy makers: how might a continued shift towards small</w:t>
            </w:r>
            <w:r>
              <w:noBreakHyphen/>
            </w:r>
            <w:r w:rsidRPr="00A65756">
              <w:t xml:space="preserve">scale generation </w:t>
            </w:r>
            <w:r>
              <w:t>affect the emissions reduction</w:t>
            </w:r>
            <w:r w:rsidRPr="00A65756">
              <w:t xml:space="preserve"> task required of Australia’s future climate policy, and whether </w:t>
            </w:r>
            <w:r>
              <w:t>this</w:t>
            </w:r>
            <w:r w:rsidRPr="00A65756">
              <w:t xml:space="preserve"> has any implications for the choice of policy</w:t>
            </w:r>
            <w:r>
              <w:t>?</w:t>
            </w:r>
            <w:r w:rsidRPr="00A65756">
              <w:t xml:space="preserve"> Modelling commissioned by the Authority for this review (</w:t>
            </w:r>
            <w:r>
              <w:t xml:space="preserve">Section </w:t>
            </w:r>
            <w:r w:rsidR="00CA762C">
              <w:t>3.3</w:t>
            </w:r>
            <w:r w:rsidRPr="00A65756">
              <w:t>) sheds some light on both these questions.</w:t>
            </w:r>
          </w:p>
          <w:p w:rsidR="006376F1" w:rsidRPr="00A65756" w:rsidRDefault="006376F1" w:rsidP="00C23D1F">
            <w:pPr>
              <w:pStyle w:val="TableText"/>
            </w:pPr>
            <w:r w:rsidRPr="00A65756">
              <w:t>On the size of the policy task, one scenario</w:t>
            </w:r>
            <w:r>
              <w:t xml:space="preserve"> modelled for the Authority</w:t>
            </w:r>
            <w:r w:rsidRPr="00A65756">
              <w:t xml:space="preserve"> investigates emissions in a higher solar PV, higher storage, low</w:t>
            </w:r>
            <w:r>
              <w:t>er</w:t>
            </w:r>
            <w:r w:rsidRPr="00A65756">
              <w:t xml:space="preserve"> </w:t>
            </w:r>
            <w:r>
              <w:t xml:space="preserve">overall (‘underlying’) electricity </w:t>
            </w:r>
            <w:r w:rsidRPr="00A65756">
              <w:t>demand scenario where no additional climate policies are implemented. In this scenario, electricity sector emissions</w:t>
            </w:r>
            <w:r>
              <w:t xml:space="preserve"> are projected to fall around 30</w:t>
            </w:r>
            <w:r w:rsidRPr="00A65756">
              <w:t> per cent from their current level</w:t>
            </w:r>
            <w:r>
              <w:t xml:space="preserve"> </w:t>
            </w:r>
            <w:r w:rsidRPr="00F77893">
              <w:t>by around 2030</w:t>
            </w:r>
            <w:r w:rsidRPr="00A65756">
              <w:t>, then remain br</w:t>
            </w:r>
            <w:r>
              <w:t xml:space="preserve">oadly flat to 2050 (Climate Change Authority based on </w:t>
            </w:r>
            <w:bookmarkStart w:id="356" w:name="_CTVP001fa86f16383244d5399ff76661376d97f"/>
            <w:r>
              <w:t>DoE 2015b</w:t>
            </w:r>
            <w:bookmarkEnd w:id="356"/>
            <w:r>
              <w:t xml:space="preserve"> and </w:t>
            </w:r>
            <w:bookmarkStart w:id="357" w:name="_CTVP00136253a8bf2ab4f6a8ab3be2317ccc98e"/>
            <w:r>
              <w:t>Jacobs 2016c</w:t>
            </w:r>
            <w:bookmarkEnd w:id="357"/>
            <w:r>
              <w:t>)</w:t>
            </w:r>
            <w:r w:rsidRPr="00A65756">
              <w:t>. This suggests that, while trends towards distributed generation and batteries will reduce the task of climate policy, changing the large-scale generation mix is</w:t>
            </w:r>
            <w:r>
              <w:t xml:space="preserve"> still</w:t>
            </w:r>
            <w:r w:rsidRPr="00A65756">
              <w:t xml:space="preserve"> important for making large emissions reductions in the sector</w:t>
            </w:r>
            <w:r>
              <w:t xml:space="preserve"> to meet a 2 degree consistent emissions reduction goal over the period to 2050</w:t>
            </w:r>
            <w:r w:rsidRPr="00A65756">
              <w:t xml:space="preserve">. </w:t>
            </w:r>
          </w:p>
          <w:p w:rsidR="006376F1" w:rsidRPr="00763D3A" w:rsidRDefault="006376F1" w:rsidP="006376F1">
            <w:pPr>
              <w:pStyle w:val="TableText"/>
              <w:rPr>
                <w:lang w:val="en-GB"/>
              </w:rPr>
            </w:pPr>
            <w:r w:rsidRPr="00A65756">
              <w:t xml:space="preserve">The implication for policy choice is the need for policy to be flexible to changes in technology availability, use, cost, and changes </w:t>
            </w:r>
            <w:r>
              <w:t xml:space="preserve">in </w:t>
            </w:r>
            <w:r w:rsidRPr="00A65756">
              <w:t>operational electricity demand</w:t>
            </w:r>
            <w:r>
              <w:t xml:space="preserve"> (</w:t>
            </w:r>
            <w:r w:rsidR="00CA762C">
              <w:t>Chapter 4</w:t>
            </w:r>
            <w:r>
              <w:t xml:space="preserve"> </w:t>
            </w:r>
            <w:r w:rsidRPr="00A65756">
              <w:t>and</w:t>
            </w:r>
            <w:r>
              <w:t xml:space="preserve"> </w:t>
            </w:r>
            <w:r w:rsidR="00CA762C">
              <w:t>Chapter 5</w:t>
            </w:r>
            <w:r>
              <w:t>)</w:t>
            </w:r>
            <w:r w:rsidRPr="00A65756">
              <w:t>.</w:t>
            </w:r>
          </w:p>
        </w:tc>
      </w:tr>
    </w:tbl>
    <w:p w:rsidR="006376F1" w:rsidRDefault="006376F1" w:rsidP="006376F1">
      <w:pPr>
        <w:pStyle w:val="ListBullet"/>
        <w:numPr>
          <w:ilvl w:val="0"/>
          <w:numId w:val="0"/>
        </w:numPr>
        <w:rPr>
          <w:rFonts w:eastAsiaTheme="minorEastAsia"/>
        </w:rPr>
      </w:pPr>
    </w:p>
    <w:p w:rsidR="00A26410" w:rsidRPr="001720BA" w:rsidRDefault="00A26410" w:rsidP="00A26410">
      <w:r>
        <w:lastRenderedPageBreak/>
        <w:t xml:space="preserve">In this analysis, the Authority does not consider information policies or voluntary </w:t>
      </w:r>
      <w:r w:rsidR="00D95824">
        <w:t xml:space="preserve">offsets </w:t>
      </w:r>
      <w:r w:rsidR="00630195">
        <w:t>policies</w:t>
      </w:r>
      <w:r>
        <w:t xml:space="preserve"> in detail. Information policies are not included as information </w:t>
      </w:r>
      <w:r w:rsidRPr="00A55EE6">
        <w:t xml:space="preserve">about emissions reduction options </w:t>
      </w:r>
      <w:r>
        <w:t xml:space="preserve">is </w:t>
      </w:r>
      <w:r w:rsidRPr="00A55EE6">
        <w:t>not</w:t>
      </w:r>
      <w:r w:rsidR="00735B56">
        <w:t xml:space="preserve"> a</w:t>
      </w:r>
      <w:r w:rsidRPr="00A55EE6">
        <w:t xml:space="preserve"> major barrier in </w:t>
      </w:r>
      <w:r>
        <w:t xml:space="preserve">the </w:t>
      </w:r>
      <w:r w:rsidRPr="00A55EE6">
        <w:t>electricity sector</w:t>
      </w:r>
      <w:r w:rsidR="00735B56">
        <w:t xml:space="preserve"> on the supply side</w:t>
      </w:r>
      <w:r>
        <w:t xml:space="preserve">. Qualitative analysis of voluntary </w:t>
      </w:r>
      <w:r w:rsidR="00D95824">
        <w:t>offsets</w:t>
      </w:r>
      <w:r w:rsidR="00630195">
        <w:t xml:space="preserve"> policies</w:t>
      </w:r>
      <w:r>
        <w:t xml:space="preserve"> to reduce electricity supply emissions indicates it is feasible, but may not be well suited </w:t>
      </w:r>
      <w:r w:rsidR="00D95824">
        <w:t xml:space="preserve">for use as the main policy </w:t>
      </w:r>
      <w:r>
        <w:t>to scal</w:t>
      </w:r>
      <w:r w:rsidR="00D95824">
        <w:t>e</w:t>
      </w:r>
      <w:r>
        <w:t xml:space="preserve"> up emissions reductions over time given the </w:t>
      </w:r>
      <w:r w:rsidR="00735B56">
        <w:t xml:space="preserve">potential </w:t>
      </w:r>
      <w:r>
        <w:t xml:space="preserve">fiscal cost of such an approach. </w:t>
      </w:r>
    </w:p>
    <w:p w:rsidR="00581E3A" w:rsidRPr="000E1739" w:rsidRDefault="00A26410" w:rsidP="00A26410">
      <w:pPr>
        <w:pStyle w:val="BodyText"/>
        <w:rPr>
          <w:b/>
        </w:rPr>
      </w:pPr>
      <w:r>
        <w:t>Some of these policies will be more familiar (for example</w:t>
      </w:r>
      <w:r w:rsidR="00C519A8">
        <w:t>,</w:t>
      </w:r>
      <w:r>
        <w:t xml:space="preserve"> a renewable energy target or cap and trade scheme); some maybe less so. </w:t>
      </w:r>
      <w:r w:rsidR="00CA762C">
        <w:t xml:space="preserve">Table </w:t>
      </w:r>
      <w:r w:rsidR="00CA762C">
        <w:rPr>
          <w:noProof/>
        </w:rPr>
        <w:t>3</w:t>
      </w:r>
      <w:r>
        <w:t xml:space="preserve"> explains the policies in more detail</w:t>
      </w:r>
      <w:r w:rsidR="001C18F1">
        <w:t xml:space="preserve">, focusing on those analysed in the modelling commissioned for this Review (Section </w:t>
      </w:r>
      <w:r w:rsidR="00CA762C">
        <w:t>3.3</w:t>
      </w:r>
      <w:r w:rsidR="001C18F1">
        <w:t>)</w:t>
      </w:r>
      <w:r w:rsidR="00F2798C">
        <w:t xml:space="preserve"> and </w:t>
      </w:r>
      <w:r w:rsidR="00CA762C">
        <w:t>Box 5</w:t>
      </w:r>
      <w:r w:rsidR="00F2798C">
        <w:t xml:space="preserve"> provides an overview of the emissions intensity scheme.</w:t>
      </w:r>
    </w:p>
    <w:p w:rsidR="00581E3A" w:rsidRDefault="00581E3A" w:rsidP="00581E3A">
      <w:pPr>
        <w:pStyle w:val="ListBullet"/>
        <w:numPr>
          <w:ilvl w:val="0"/>
          <w:numId w:val="0"/>
        </w:numPr>
      </w:pPr>
    </w:p>
    <w:p w:rsidR="00F96752" w:rsidRDefault="00F96752" w:rsidP="00F96752">
      <w:pPr>
        <w:pStyle w:val="Caption"/>
      </w:pPr>
      <w:bookmarkStart w:id="358" w:name="_Ref444012099"/>
      <w:bookmarkStart w:id="359" w:name="_Ref447044853"/>
      <w:bookmarkStart w:id="360" w:name="_Toc443992518"/>
      <w:bookmarkStart w:id="361" w:name="_Toc444003670"/>
      <w:bookmarkStart w:id="362" w:name="_Toc444162834"/>
      <w:bookmarkStart w:id="363" w:name="_Ref447044848"/>
      <w:bookmarkStart w:id="364" w:name="_Toc447099960"/>
      <w:bookmarkStart w:id="365" w:name="_Toc460318071"/>
      <w:r>
        <w:t xml:space="preserve">Table </w:t>
      </w:r>
      <w:r w:rsidR="00CA762C">
        <w:rPr>
          <w:noProof/>
        </w:rPr>
        <w:t>3</w:t>
      </w:r>
      <w:bookmarkEnd w:id="358"/>
      <w:bookmarkEnd w:id="359"/>
      <w:r w:rsidR="00A6425D">
        <w:tab/>
      </w:r>
      <w:r>
        <w:t>Description of electricity sector policies</w:t>
      </w:r>
      <w:bookmarkEnd w:id="360"/>
      <w:bookmarkEnd w:id="361"/>
      <w:bookmarkEnd w:id="362"/>
      <w:bookmarkEnd w:id="363"/>
      <w:bookmarkEnd w:id="364"/>
      <w:bookmarkEnd w:id="365"/>
      <w:r w:rsidR="0096589C">
        <w:t xml:space="preserve"> </w:t>
      </w:r>
    </w:p>
    <w:tbl>
      <w:tblPr>
        <w:tblStyle w:val="CCATable"/>
        <w:tblW w:w="9889" w:type="dxa"/>
        <w:tblLook w:val="0420" w:firstRow="1" w:lastRow="0" w:firstColumn="0" w:lastColumn="0" w:noHBand="0" w:noVBand="1"/>
      </w:tblPr>
      <w:tblGrid>
        <w:gridCol w:w="1526"/>
        <w:gridCol w:w="1984"/>
        <w:gridCol w:w="6379"/>
      </w:tblGrid>
      <w:tr w:rsidR="00F96752" w:rsidRPr="00F67708" w:rsidTr="00491635">
        <w:trPr>
          <w:cnfStyle w:val="100000000000" w:firstRow="1" w:lastRow="0" w:firstColumn="0" w:lastColumn="0" w:oddVBand="0" w:evenVBand="0" w:oddHBand="0" w:evenHBand="0" w:firstRowFirstColumn="0" w:firstRowLastColumn="0" w:lastRowFirstColumn="0" w:lastRowLastColumn="0"/>
        </w:trPr>
        <w:tc>
          <w:tcPr>
            <w:tcW w:w="1526" w:type="dxa"/>
            <w:hideMark/>
          </w:tcPr>
          <w:p w:rsidR="00F96752" w:rsidRPr="00A84EBA" w:rsidRDefault="00F96752" w:rsidP="00491635">
            <w:pPr>
              <w:pStyle w:val="TableHeading"/>
            </w:pPr>
            <w:r w:rsidRPr="006C7F13">
              <w:t>Type</w:t>
            </w:r>
          </w:p>
        </w:tc>
        <w:tc>
          <w:tcPr>
            <w:tcW w:w="1984" w:type="dxa"/>
            <w:hideMark/>
          </w:tcPr>
          <w:p w:rsidR="00F96752" w:rsidRPr="00A84EBA" w:rsidRDefault="00F96752" w:rsidP="00491635">
            <w:pPr>
              <w:pStyle w:val="TableHeading"/>
            </w:pPr>
            <w:r w:rsidRPr="006C7F13">
              <w:t>Option</w:t>
            </w:r>
          </w:p>
        </w:tc>
        <w:tc>
          <w:tcPr>
            <w:tcW w:w="6379" w:type="dxa"/>
            <w:hideMark/>
          </w:tcPr>
          <w:p w:rsidR="00F96752" w:rsidRPr="00A84EBA" w:rsidRDefault="00F96752" w:rsidP="00491635">
            <w:pPr>
              <w:pStyle w:val="TableHeading"/>
            </w:pPr>
            <w:r w:rsidRPr="006C7F13">
              <w:t>How it works</w:t>
            </w:r>
          </w:p>
        </w:tc>
      </w:tr>
      <w:tr w:rsidR="00A5086B" w:rsidRPr="00F67708" w:rsidTr="00A5086B">
        <w:trPr>
          <w:cnfStyle w:val="000000100000" w:firstRow="0" w:lastRow="0" w:firstColumn="0" w:lastColumn="0" w:oddVBand="0" w:evenVBand="0" w:oddHBand="1" w:evenHBand="0" w:firstRowFirstColumn="0" w:firstRowLastColumn="0" w:lastRowFirstColumn="0" w:lastRowLastColumn="0"/>
          <w:trHeight w:val="652"/>
        </w:trPr>
        <w:tc>
          <w:tcPr>
            <w:tcW w:w="1526" w:type="dxa"/>
            <w:vMerge w:val="restart"/>
            <w:shd w:val="clear" w:color="auto" w:fill="FFFFFF" w:themeFill="background1"/>
            <w:hideMark/>
          </w:tcPr>
          <w:p w:rsidR="00A5086B" w:rsidRPr="00A84EBA" w:rsidRDefault="00A5086B" w:rsidP="00491635">
            <w:pPr>
              <w:pStyle w:val="TableText"/>
            </w:pPr>
            <w:r>
              <w:t>Market mechanisms</w:t>
            </w:r>
          </w:p>
        </w:tc>
        <w:tc>
          <w:tcPr>
            <w:tcW w:w="1984" w:type="dxa"/>
          </w:tcPr>
          <w:p w:rsidR="00A5086B" w:rsidRPr="00A41765" w:rsidRDefault="00A5086B" w:rsidP="00491635">
            <w:pPr>
              <w:pStyle w:val="TableText"/>
            </w:pPr>
            <w:r w:rsidRPr="00147916">
              <w:t xml:space="preserve">Emissions intensity </w:t>
            </w:r>
            <w:r>
              <w:t>scheme</w:t>
            </w:r>
          </w:p>
        </w:tc>
        <w:tc>
          <w:tcPr>
            <w:tcW w:w="6379" w:type="dxa"/>
          </w:tcPr>
          <w:p w:rsidR="00A5086B" w:rsidRPr="006C7F13" w:rsidRDefault="00A5086B" w:rsidP="00491635">
            <w:pPr>
              <w:pStyle w:val="TableText"/>
            </w:pPr>
            <w:r w:rsidRPr="006C7F13">
              <w:t xml:space="preserve">Government sets </w:t>
            </w:r>
            <w:r>
              <w:t xml:space="preserve">an </w:t>
            </w:r>
            <w:r w:rsidRPr="006C7F13">
              <w:t xml:space="preserve">emissions intensity baseline (in emissions per unit of electricity generated). Generators below </w:t>
            </w:r>
            <w:r>
              <w:t xml:space="preserve">the </w:t>
            </w:r>
            <w:r w:rsidRPr="006C7F13">
              <w:t xml:space="preserve">baseline get </w:t>
            </w:r>
            <w:r>
              <w:t>permits</w:t>
            </w:r>
            <w:r w:rsidRPr="006C7F13">
              <w:t xml:space="preserve"> to sell; generators above </w:t>
            </w:r>
            <w:r>
              <w:t xml:space="preserve">the </w:t>
            </w:r>
            <w:r w:rsidRPr="006C7F13">
              <w:t xml:space="preserve">baseline </w:t>
            </w:r>
            <w:r>
              <w:t>must buy permits for excess emissions.</w:t>
            </w:r>
            <w:r w:rsidRPr="006C7F13">
              <w:t xml:space="preserve"> </w:t>
            </w:r>
            <w:r>
              <w:t>Trade in permits determines their price, creating an incentive to reduce emissions.</w:t>
            </w:r>
          </w:p>
        </w:tc>
      </w:tr>
      <w:tr w:rsidR="00A5086B" w:rsidRPr="00F67708" w:rsidTr="00A5086B">
        <w:trPr>
          <w:trHeight w:val="776"/>
        </w:trPr>
        <w:tc>
          <w:tcPr>
            <w:tcW w:w="1526" w:type="dxa"/>
            <w:vMerge/>
            <w:shd w:val="clear" w:color="auto" w:fill="FFFFFF" w:themeFill="background1"/>
          </w:tcPr>
          <w:p w:rsidR="00A5086B" w:rsidRPr="006C7F13" w:rsidRDefault="00A5086B" w:rsidP="00491635">
            <w:pPr>
              <w:pStyle w:val="TableText"/>
            </w:pPr>
          </w:p>
        </w:tc>
        <w:tc>
          <w:tcPr>
            <w:tcW w:w="1984" w:type="dxa"/>
          </w:tcPr>
          <w:p w:rsidR="00A5086B" w:rsidRPr="006C7F13" w:rsidRDefault="00A5086B" w:rsidP="00491635">
            <w:pPr>
              <w:pStyle w:val="TableText"/>
            </w:pPr>
            <w:r>
              <w:t>Cap and trade scheme</w:t>
            </w:r>
          </w:p>
        </w:tc>
        <w:tc>
          <w:tcPr>
            <w:tcW w:w="6379" w:type="dxa"/>
          </w:tcPr>
          <w:p w:rsidR="00A5086B" w:rsidRPr="006C7F13" w:rsidRDefault="00A5086B" w:rsidP="00491635">
            <w:pPr>
              <w:pStyle w:val="TableText"/>
            </w:pPr>
            <w:r>
              <w:t>Government sets an emissions limit (the cap). Generators surrender a permit for each tonne of emissions. Government may auction permits, allocate them free of charge, or use a combination of both. Trade in permits determines their price, creating an incentive to reduce emissions.</w:t>
            </w:r>
          </w:p>
        </w:tc>
      </w:tr>
      <w:tr w:rsidR="00A5086B" w:rsidRPr="00F67708" w:rsidTr="00A5086B">
        <w:trPr>
          <w:cnfStyle w:val="000000100000" w:firstRow="0" w:lastRow="0" w:firstColumn="0" w:lastColumn="0" w:oddVBand="0" w:evenVBand="0" w:oddHBand="1" w:evenHBand="0" w:firstRowFirstColumn="0" w:firstRowLastColumn="0" w:lastRowFirstColumn="0" w:lastRowLastColumn="0"/>
          <w:trHeight w:val="776"/>
        </w:trPr>
        <w:tc>
          <w:tcPr>
            <w:tcW w:w="1526" w:type="dxa"/>
            <w:vMerge/>
            <w:shd w:val="clear" w:color="auto" w:fill="FFFFFF" w:themeFill="background1"/>
            <w:hideMark/>
          </w:tcPr>
          <w:p w:rsidR="00A5086B" w:rsidRPr="006C7F13" w:rsidRDefault="00A5086B" w:rsidP="00491635">
            <w:pPr>
              <w:pStyle w:val="TableText"/>
            </w:pPr>
          </w:p>
        </w:tc>
        <w:tc>
          <w:tcPr>
            <w:tcW w:w="1984" w:type="dxa"/>
          </w:tcPr>
          <w:p w:rsidR="00A5086B" w:rsidRPr="006C7F13" w:rsidRDefault="00A5086B" w:rsidP="00491635">
            <w:pPr>
              <w:pStyle w:val="TableText"/>
            </w:pPr>
            <w:r w:rsidRPr="00A41765">
              <w:t>Carbon tax</w:t>
            </w:r>
          </w:p>
        </w:tc>
        <w:tc>
          <w:tcPr>
            <w:tcW w:w="6379" w:type="dxa"/>
          </w:tcPr>
          <w:p w:rsidR="00A5086B" w:rsidRPr="006C7F13" w:rsidRDefault="00A5086B" w:rsidP="00491635">
            <w:pPr>
              <w:pStyle w:val="TableText"/>
            </w:pPr>
            <w:r w:rsidRPr="006C7F13">
              <w:t xml:space="preserve">Government sets </w:t>
            </w:r>
            <w:r>
              <w:t xml:space="preserve">a price per unit of greenhouse gas </w:t>
            </w:r>
            <w:r w:rsidRPr="006C7F13">
              <w:t>emissions</w:t>
            </w:r>
            <w:r>
              <w:t>.</w:t>
            </w:r>
            <w:r w:rsidRPr="006C7F13">
              <w:t xml:space="preserve"> Generators pay that price for</w:t>
            </w:r>
            <w:r>
              <w:t xml:space="preserve"> their</w:t>
            </w:r>
            <w:r w:rsidRPr="006C7F13">
              <w:t xml:space="preserve"> emissions</w:t>
            </w:r>
            <w:r>
              <w:t>; this creates an incentive to reduce emissions if the cost of doing so is lower than the emissions price.</w:t>
            </w:r>
          </w:p>
        </w:tc>
      </w:tr>
      <w:tr w:rsidR="00A5086B" w:rsidRPr="00F67708" w:rsidTr="00491635">
        <w:trPr>
          <w:trHeight w:val="664"/>
        </w:trPr>
        <w:tc>
          <w:tcPr>
            <w:tcW w:w="1526" w:type="dxa"/>
            <w:vMerge w:val="restart"/>
            <w:hideMark/>
          </w:tcPr>
          <w:p w:rsidR="00A5086B" w:rsidRPr="00A84EBA" w:rsidRDefault="00A5086B" w:rsidP="00491635">
            <w:pPr>
              <w:pStyle w:val="TableText"/>
            </w:pPr>
            <w:r>
              <w:t>Technology pull policies</w:t>
            </w:r>
          </w:p>
        </w:tc>
        <w:tc>
          <w:tcPr>
            <w:tcW w:w="1984" w:type="dxa"/>
            <w:hideMark/>
          </w:tcPr>
          <w:p w:rsidR="00A5086B" w:rsidRPr="00A41765" w:rsidRDefault="00A5086B" w:rsidP="00491635">
            <w:pPr>
              <w:pStyle w:val="TableText"/>
            </w:pPr>
            <w:r w:rsidRPr="00A41765">
              <w:t>Renewable energy target</w:t>
            </w:r>
          </w:p>
        </w:tc>
        <w:tc>
          <w:tcPr>
            <w:tcW w:w="6379" w:type="dxa"/>
            <w:hideMark/>
          </w:tcPr>
          <w:p w:rsidR="00A5086B" w:rsidRPr="006C7F13" w:rsidRDefault="00A5086B" w:rsidP="00491635">
            <w:pPr>
              <w:pStyle w:val="TableText"/>
            </w:pPr>
            <w:r w:rsidRPr="006C7F13">
              <w:t xml:space="preserve">Government sets </w:t>
            </w:r>
            <w:r>
              <w:t xml:space="preserve">a </w:t>
            </w:r>
            <w:r w:rsidRPr="006C7F13">
              <w:t>target for new renewable generation</w:t>
            </w:r>
            <w:r>
              <w:t xml:space="preserve">. Eligible </w:t>
            </w:r>
            <w:r w:rsidRPr="006C7F13">
              <w:t>generators get certificates to sell</w:t>
            </w:r>
            <w:r>
              <w:t xml:space="preserve">, which electricity </w:t>
            </w:r>
            <w:r w:rsidRPr="006C7F13">
              <w:t>retailers buy</w:t>
            </w:r>
            <w:r>
              <w:t xml:space="preserve"> to meet their target obligations</w:t>
            </w:r>
            <w:r w:rsidRPr="006C7F13">
              <w:t xml:space="preserve">. </w:t>
            </w:r>
            <w:r>
              <w:t xml:space="preserve">Trade in certificates determines their price, which subsidises new renewables. </w:t>
            </w:r>
          </w:p>
        </w:tc>
      </w:tr>
      <w:tr w:rsidR="00A5086B" w:rsidRPr="00F67708" w:rsidTr="00491635">
        <w:trPr>
          <w:cnfStyle w:val="000000100000" w:firstRow="0" w:lastRow="0" w:firstColumn="0" w:lastColumn="0" w:oddVBand="0" w:evenVBand="0" w:oddHBand="1" w:evenHBand="0" w:firstRowFirstColumn="0" w:firstRowLastColumn="0" w:lastRowFirstColumn="0" w:lastRowLastColumn="0"/>
          <w:trHeight w:val="836"/>
        </w:trPr>
        <w:tc>
          <w:tcPr>
            <w:tcW w:w="1526" w:type="dxa"/>
            <w:vMerge/>
            <w:hideMark/>
          </w:tcPr>
          <w:p w:rsidR="00A5086B" w:rsidRPr="006C7F13" w:rsidRDefault="00A5086B" w:rsidP="00491635">
            <w:pPr>
              <w:pStyle w:val="TableText"/>
            </w:pPr>
          </w:p>
        </w:tc>
        <w:tc>
          <w:tcPr>
            <w:tcW w:w="1984" w:type="dxa"/>
            <w:hideMark/>
          </w:tcPr>
          <w:p w:rsidR="00A5086B" w:rsidRPr="006C7F13" w:rsidRDefault="00A5086B" w:rsidP="00491635">
            <w:pPr>
              <w:pStyle w:val="TableText"/>
            </w:pPr>
            <w:r w:rsidRPr="006C7F13">
              <w:t>Low emissions target</w:t>
            </w:r>
          </w:p>
        </w:tc>
        <w:tc>
          <w:tcPr>
            <w:tcW w:w="6379" w:type="dxa"/>
            <w:hideMark/>
          </w:tcPr>
          <w:p w:rsidR="00A5086B" w:rsidRPr="006C7F13" w:rsidRDefault="00A5086B" w:rsidP="00491635">
            <w:pPr>
              <w:pStyle w:val="TableText"/>
            </w:pPr>
            <w:r w:rsidRPr="006C7F13">
              <w:t xml:space="preserve">Government sets </w:t>
            </w:r>
            <w:r>
              <w:t>a target for new low</w:t>
            </w:r>
            <w:r>
              <w:noBreakHyphen/>
            </w:r>
            <w:r w:rsidRPr="006C7F13">
              <w:t>emission</w:t>
            </w:r>
            <w:r>
              <w:t>s</w:t>
            </w:r>
            <w:r w:rsidRPr="006C7F13">
              <w:t xml:space="preserve"> generation. Eligible generators get certificates to sell (scaled in line with </w:t>
            </w:r>
            <w:r>
              <w:t xml:space="preserve">their </w:t>
            </w:r>
            <w:r w:rsidRPr="006C7F13">
              <w:t xml:space="preserve">emissions intensity), </w:t>
            </w:r>
            <w:r>
              <w:t xml:space="preserve">which electricity </w:t>
            </w:r>
            <w:r w:rsidRPr="006C7F13">
              <w:t>retailers buy</w:t>
            </w:r>
            <w:r>
              <w:t xml:space="preserve"> to meet their target obligations</w:t>
            </w:r>
            <w:r w:rsidRPr="006C7F13">
              <w:t xml:space="preserve">. </w:t>
            </w:r>
            <w:r>
              <w:t>Trade in certificates determines their price, which subsidises new low</w:t>
            </w:r>
            <w:r>
              <w:noBreakHyphen/>
              <w:t>emissions generation.</w:t>
            </w:r>
          </w:p>
        </w:tc>
      </w:tr>
      <w:tr w:rsidR="00A5086B" w:rsidRPr="00F67708" w:rsidTr="00491635">
        <w:trPr>
          <w:trHeight w:val="852"/>
        </w:trPr>
        <w:tc>
          <w:tcPr>
            <w:tcW w:w="1526" w:type="dxa"/>
            <w:vMerge/>
            <w:hideMark/>
          </w:tcPr>
          <w:p w:rsidR="00A5086B" w:rsidRPr="006C7F13" w:rsidRDefault="00A5086B" w:rsidP="00491635">
            <w:pPr>
              <w:pStyle w:val="TableText"/>
            </w:pPr>
          </w:p>
        </w:tc>
        <w:tc>
          <w:tcPr>
            <w:tcW w:w="1984" w:type="dxa"/>
            <w:hideMark/>
          </w:tcPr>
          <w:p w:rsidR="00A5086B" w:rsidRPr="006C7F13" w:rsidRDefault="00A5086B" w:rsidP="00491635">
            <w:pPr>
              <w:pStyle w:val="TableText"/>
            </w:pPr>
            <w:r>
              <w:t>C</w:t>
            </w:r>
            <w:r w:rsidRPr="006C7F13">
              <w:t>ontract</w:t>
            </w:r>
            <w:r>
              <w:t>s</w:t>
            </w:r>
            <w:r w:rsidRPr="006C7F13">
              <w:t xml:space="preserve"> for difference</w:t>
            </w:r>
          </w:p>
        </w:tc>
        <w:tc>
          <w:tcPr>
            <w:tcW w:w="6379" w:type="dxa"/>
            <w:hideMark/>
          </w:tcPr>
          <w:p w:rsidR="00A5086B" w:rsidRPr="006C7F13" w:rsidRDefault="00A5086B" w:rsidP="00D24E44">
            <w:pPr>
              <w:pStyle w:val="TableText"/>
            </w:pPr>
            <w:r w:rsidRPr="006C7F13">
              <w:t xml:space="preserve">Government sets </w:t>
            </w:r>
            <w:r>
              <w:t xml:space="preserve">a required </w:t>
            </w:r>
            <w:r w:rsidRPr="006C7F13">
              <w:t xml:space="preserve">quantity of new </w:t>
            </w:r>
            <w:r w:rsidR="00515AA3">
              <w:t>zero</w:t>
            </w:r>
            <w:r w:rsidR="00515AA3">
              <w:noBreakHyphen/>
              <w:t xml:space="preserve"> or low</w:t>
            </w:r>
            <w:r w:rsidR="00515AA3">
              <w:noBreakHyphen/>
            </w:r>
            <w:r w:rsidRPr="006C7F13">
              <w:t>emission</w:t>
            </w:r>
            <w:r>
              <w:t>s</w:t>
            </w:r>
            <w:r w:rsidRPr="006C7F13">
              <w:t xml:space="preserve"> generation</w:t>
            </w:r>
            <w:r>
              <w:t>. Low</w:t>
            </w:r>
            <w:r>
              <w:noBreakHyphen/>
            </w:r>
            <w:r w:rsidRPr="006C7F13">
              <w:t>emission</w:t>
            </w:r>
            <w:r>
              <w:t>s</w:t>
            </w:r>
            <w:r w:rsidRPr="006C7F13">
              <w:t xml:space="preserve"> generators bid for long-term </w:t>
            </w:r>
            <w:r>
              <w:t>‘</w:t>
            </w:r>
            <w:r w:rsidRPr="006C7F13">
              <w:t>contracts</w:t>
            </w:r>
            <w:r>
              <w:t xml:space="preserve"> for difference’</w:t>
            </w:r>
            <w:r w:rsidRPr="006C7F13">
              <w:t xml:space="preserve"> with the government</w:t>
            </w:r>
            <w:r>
              <w:t xml:space="preserve"> which partially</w:t>
            </w:r>
            <w:r w:rsidR="00DD22C3">
              <w:t xml:space="preserve"> or fully</w:t>
            </w:r>
            <w:r>
              <w:t xml:space="preserve"> specify the price per MWh received by generators.</w:t>
            </w:r>
            <w:r w:rsidR="0022240C">
              <w:t xml:space="preserve"> </w:t>
            </w:r>
            <w:r w:rsidR="00D24E44">
              <w:t xml:space="preserve">This bidding process takes place through a reverse auction and so can also be termed ‘auctions for contracts for difference’. </w:t>
            </w:r>
          </w:p>
        </w:tc>
      </w:tr>
      <w:tr w:rsidR="00A5086B" w:rsidRPr="00F67708" w:rsidTr="00F96752">
        <w:trPr>
          <w:cnfStyle w:val="000000100000" w:firstRow="0" w:lastRow="0" w:firstColumn="0" w:lastColumn="0" w:oddVBand="0" w:evenVBand="0" w:oddHBand="1" w:evenHBand="0" w:firstRowFirstColumn="0" w:firstRowLastColumn="0" w:lastRowFirstColumn="0" w:lastRowLastColumn="0"/>
          <w:trHeight w:val="790"/>
        </w:trPr>
        <w:tc>
          <w:tcPr>
            <w:tcW w:w="1526" w:type="dxa"/>
            <w:vMerge w:val="restart"/>
            <w:hideMark/>
          </w:tcPr>
          <w:p w:rsidR="00A5086B" w:rsidRPr="00A84EBA" w:rsidRDefault="00A5086B" w:rsidP="00491635">
            <w:pPr>
              <w:pStyle w:val="TableText"/>
            </w:pPr>
            <w:r w:rsidRPr="00A84EBA">
              <w:t>Regulation</w:t>
            </w:r>
          </w:p>
        </w:tc>
        <w:tc>
          <w:tcPr>
            <w:tcW w:w="1984" w:type="dxa"/>
            <w:hideMark/>
          </w:tcPr>
          <w:p w:rsidR="00A5086B" w:rsidRPr="00A41765" w:rsidRDefault="00A5086B" w:rsidP="00491635">
            <w:pPr>
              <w:pStyle w:val="TableText"/>
            </w:pPr>
            <w:r w:rsidRPr="00A41765">
              <w:t>Absolute baselines</w:t>
            </w:r>
          </w:p>
        </w:tc>
        <w:tc>
          <w:tcPr>
            <w:tcW w:w="6379" w:type="dxa"/>
            <w:hideMark/>
          </w:tcPr>
          <w:p w:rsidR="00A5086B" w:rsidRPr="006C7F13" w:rsidRDefault="00A5086B" w:rsidP="00491635">
            <w:pPr>
              <w:pStyle w:val="TableText"/>
            </w:pPr>
            <w:r w:rsidRPr="006C7F13">
              <w:t xml:space="preserve">Government specifies </w:t>
            </w:r>
            <w:r>
              <w:t xml:space="preserve">separate emissions </w:t>
            </w:r>
            <w:r w:rsidRPr="006C7F13">
              <w:t xml:space="preserve">baselines for </w:t>
            </w:r>
            <w:r>
              <w:t>each</w:t>
            </w:r>
            <w:r w:rsidRPr="006C7F13">
              <w:t xml:space="preserve"> generator</w:t>
            </w:r>
            <w:r>
              <w:t xml:space="preserve"> with above average emissions intensity. </w:t>
            </w:r>
            <w:r w:rsidRPr="006C7F13">
              <w:t xml:space="preserve">Generators </w:t>
            </w:r>
            <w:r>
              <w:t>must</w:t>
            </w:r>
            <w:r w:rsidRPr="006C7F13">
              <w:t xml:space="preserve"> reduce </w:t>
            </w:r>
            <w:r>
              <w:t xml:space="preserve">their </w:t>
            </w:r>
            <w:r w:rsidRPr="006C7F13">
              <w:t xml:space="preserve">emissions </w:t>
            </w:r>
            <w:r>
              <w:t xml:space="preserve">to the baseline level. </w:t>
            </w:r>
            <w:r w:rsidRPr="006C7F13">
              <w:t>Mandated emissions standards for new generators.</w:t>
            </w:r>
          </w:p>
        </w:tc>
      </w:tr>
      <w:tr w:rsidR="00A5086B" w:rsidRPr="00F67708" w:rsidTr="00491635">
        <w:trPr>
          <w:trHeight w:val="820"/>
        </w:trPr>
        <w:tc>
          <w:tcPr>
            <w:tcW w:w="1526" w:type="dxa"/>
            <w:vMerge/>
            <w:hideMark/>
          </w:tcPr>
          <w:p w:rsidR="00A5086B" w:rsidRPr="006C7F13" w:rsidRDefault="00A5086B" w:rsidP="00491635">
            <w:pPr>
              <w:pStyle w:val="TableText"/>
            </w:pPr>
          </w:p>
        </w:tc>
        <w:tc>
          <w:tcPr>
            <w:tcW w:w="1984" w:type="dxa"/>
            <w:hideMark/>
          </w:tcPr>
          <w:p w:rsidR="00A5086B" w:rsidRPr="006C7F13" w:rsidRDefault="00A5086B" w:rsidP="00491635">
            <w:pPr>
              <w:pStyle w:val="TableText"/>
            </w:pPr>
            <w:r w:rsidRPr="006C7F13">
              <w:t>Regulated closure</w:t>
            </w:r>
            <w:r w:rsidR="00A82A29">
              <w:t>s</w:t>
            </w:r>
          </w:p>
        </w:tc>
        <w:tc>
          <w:tcPr>
            <w:tcW w:w="6379" w:type="dxa"/>
            <w:hideMark/>
          </w:tcPr>
          <w:p w:rsidR="00A5086B" w:rsidRPr="006C7F13" w:rsidRDefault="00A5086B" w:rsidP="00491635">
            <w:pPr>
              <w:pStyle w:val="TableText"/>
            </w:pPr>
            <w:r w:rsidRPr="006C7F13">
              <w:t>Government specifies closure date</w:t>
            </w:r>
            <w:r>
              <w:t>s</w:t>
            </w:r>
            <w:r w:rsidRPr="006C7F13">
              <w:t xml:space="preserve"> for all coal-fired generators. Generators must close or retrofit with </w:t>
            </w:r>
            <w:r>
              <w:t>CCS</w:t>
            </w:r>
            <w:r w:rsidRPr="006C7F13">
              <w:t xml:space="preserve"> by </w:t>
            </w:r>
            <w:r>
              <w:t>this</w:t>
            </w:r>
            <w:r w:rsidRPr="006C7F13">
              <w:t xml:space="preserve"> date. Mandated emissions st</w:t>
            </w:r>
            <w:r>
              <w:t xml:space="preserve">andards </w:t>
            </w:r>
            <w:r w:rsidRPr="006C7F13">
              <w:t>for new generators.</w:t>
            </w:r>
          </w:p>
        </w:tc>
      </w:tr>
    </w:tbl>
    <w:p w:rsidR="00760A0E" w:rsidRPr="002F068F" w:rsidRDefault="00F96752" w:rsidP="00CE47F4">
      <w:pPr>
        <w:pStyle w:val="TableNote"/>
      </w:pPr>
      <w:r w:rsidRPr="00F96752">
        <w:rPr>
          <w:b/>
        </w:rPr>
        <w:t>Note:</w:t>
      </w:r>
      <w:r w:rsidRPr="002F068F">
        <w:t xml:space="preserve"> This overview table presents basic, generic descriptions of the different policy types </w:t>
      </w:r>
      <w:r w:rsidR="0096589C">
        <w:t xml:space="preserve">modelled for this </w:t>
      </w:r>
      <w:r w:rsidR="00515AA3">
        <w:t>r</w:t>
      </w:r>
      <w:r w:rsidR="0096589C">
        <w:t xml:space="preserve">eview </w:t>
      </w:r>
      <w:r w:rsidRPr="002F068F">
        <w:t>and for simplicity avoid</w:t>
      </w:r>
      <w:r>
        <w:t>s</w:t>
      </w:r>
      <w:r w:rsidRPr="002F068F">
        <w:t xml:space="preserve"> discussions of exemptions from liability, the use of international emissions </w:t>
      </w:r>
      <w:r w:rsidR="003837AB">
        <w:t>permits or offset credits</w:t>
      </w:r>
      <w:r w:rsidRPr="002F068F">
        <w:t xml:space="preserve">, and other design features. </w:t>
      </w:r>
      <w:r w:rsidR="0096589C" w:rsidRPr="00DC2BB8">
        <w:t xml:space="preserve">Carbon taxes and cap and trade schemes with full auctioning are very similar in economic models, so only </w:t>
      </w:r>
      <w:r w:rsidR="00013EA8" w:rsidRPr="00DC2BB8">
        <w:t>one</w:t>
      </w:r>
      <w:r w:rsidR="0096589C" w:rsidRPr="00DC2BB8">
        <w:t xml:space="preserve"> was modelled.</w:t>
      </w:r>
      <w:r w:rsidR="0096589C" w:rsidRPr="00735B56">
        <w:t xml:space="preserve"> </w:t>
      </w:r>
      <w:r w:rsidRPr="009B1EF7">
        <w:t>F</w:t>
      </w:r>
      <w:r w:rsidRPr="002F068F">
        <w:t xml:space="preserve">or description of the specific designs adopted in the Authority’s commissioned modelling see </w:t>
      </w:r>
      <w:r w:rsidR="00CA762C">
        <w:t>Appendix C</w:t>
      </w:r>
      <w:proofErr w:type="gramStart"/>
      <w:r w:rsidRPr="002F068F">
        <w:t>.</w:t>
      </w:r>
      <w:proofErr w:type="gramEnd"/>
      <w:r w:rsidR="00CE47F4">
        <w:br/>
      </w:r>
      <w:r w:rsidRPr="00F96752">
        <w:rPr>
          <w:b/>
        </w:rPr>
        <w:t>Source:</w:t>
      </w:r>
      <w:r w:rsidRPr="002F068F">
        <w:t xml:space="preserve"> Climate Change Authority</w:t>
      </w:r>
      <w:r>
        <w:t>.</w:t>
      </w:r>
    </w:p>
    <w:tbl>
      <w:tblPr>
        <w:tblStyle w:val="CCATablebox"/>
        <w:tblW w:w="0" w:type="auto"/>
        <w:tblLook w:val="04A0" w:firstRow="1" w:lastRow="0" w:firstColumn="1" w:lastColumn="0" w:noHBand="0" w:noVBand="1"/>
      </w:tblPr>
      <w:tblGrid>
        <w:gridCol w:w="9855"/>
      </w:tblGrid>
      <w:tr w:rsidR="009173C9" w:rsidTr="006F53CA">
        <w:trPr>
          <w:cnfStyle w:val="100000000000" w:firstRow="1" w:lastRow="0" w:firstColumn="0" w:lastColumn="0" w:oddVBand="0" w:evenVBand="0" w:oddHBand="0" w:evenHBand="0" w:firstRowFirstColumn="0" w:firstRowLastColumn="0" w:lastRowFirstColumn="0" w:lastRowLastColumn="0"/>
        </w:trPr>
        <w:tc>
          <w:tcPr>
            <w:tcW w:w="9855" w:type="dxa"/>
          </w:tcPr>
          <w:p w:rsidR="00811A90" w:rsidRPr="00DA2476" w:rsidRDefault="00811A90" w:rsidP="005265CD">
            <w:pPr>
              <w:pStyle w:val="Headingnumberedbox"/>
              <w:keepNext w:val="0"/>
              <w:keepLines w:val="0"/>
              <w:outlineLvl w:val="0"/>
              <w:rPr>
                <w:lang w:val="en-AU"/>
              </w:rPr>
            </w:pPr>
            <w:bookmarkStart w:id="366" w:name="_Ref449115053"/>
            <w:bookmarkStart w:id="367" w:name="_Toc460318086"/>
            <w:r w:rsidRPr="00DA2476">
              <w:rPr>
                <w:lang w:val="en-AU"/>
              </w:rPr>
              <w:lastRenderedPageBreak/>
              <w:t>Emissions intensity scheme</w:t>
            </w:r>
            <w:r w:rsidR="00654045">
              <w:rPr>
                <w:lang w:val="en-AU"/>
              </w:rPr>
              <w:t>: overview</w:t>
            </w:r>
            <w:bookmarkEnd w:id="366"/>
            <w:bookmarkEnd w:id="367"/>
          </w:p>
          <w:p w:rsidR="004932D8" w:rsidRPr="00D31B93" w:rsidRDefault="004932D8" w:rsidP="005265CD">
            <w:pPr>
              <w:pStyle w:val="TableText"/>
              <w:keepNext w:val="0"/>
              <w:keepLines w:val="0"/>
            </w:pPr>
            <w:r w:rsidRPr="00D31B93">
              <w:t xml:space="preserve">The emissions intensity scheme is a form of </w:t>
            </w:r>
            <w:r w:rsidR="00CA6CB1">
              <w:t>market mechanism</w:t>
            </w:r>
            <w:r w:rsidRPr="00D31B93">
              <w:t xml:space="preserve"> that has much in common with a cap and trade scheme. </w:t>
            </w:r>
          </w:p>
          <w:p w:rsidR="00D31B93" w:rsidRPr="00D31B93" w:rsidRDefault="00D31B93" w:rsidP="005265CD">
            <w:pPr>
              <w:pStyle w:val="TableText"/>
              <w:keepNext w:val="0"/>
              <w:keepLines w:val="0"/>
            </w:pPr>
            <w:r w:rsidRPr="00D31B93">
              <w:t xml:space="preserve">The aim of an emissions intensity scheme is to drive least-cost emissions reductions (through trade), with lower direct costs to firms and lower indirect costs to the economy (compared to a cap and trade scheme with auctioning). It uses a mix of penalties and subsidies to change incentives. </w:t>
            </w:r>
          </w:p>
          <w:p w:rsidR="00D31B93" w:rsidRPr="00D31B93" w:rsidRDefault="00D31B93" w:rsidP="005265CD">
            <w:pPr>
              <w:pStyle w:val="TableText"/>
              <w:keepNext w:val="0"/>
              <w:keepLines w:val="0"/>
            </w:pPr>
            <w:r w:rsidRPr="00D31B93">
              <w:t>In its simplest form, the government sets a baseline emissions intensity target. All liable firms receive the same free allocation of permits per unit of production (effectively a production subsidy</w:t>
            </w:r>
            <w:r w:rsidR="00D95824">
              <w:t>)</w:t>
            </w:r>
            <w:r w:rsidRPr="00D31B93">
              <w:t>. Lower</w:t>
            </w:r>
            <w:r w:rsidR="00691F52">
              <w:noBreakHyphen/>
            </w:r>
            <w:r w:rsidRPr="00D31B93">
              <w:t>emitting firms receive extra per</w:t>
            </w:r>
            <w:r w:rsidR="00670150">
              <w:t>mits that they can sell; higher</w:t>
            </w:r>
            <w:r w:rsidR="00670150">
              <w:noBreakHyphen/>
            </w:r>
            <w:r w:rsidRPr="00D31B93">
              <w:t xml:space="preserve">emitting firms need to purchase permits for emissions above the baseline. Trade establishes a price on emissions, changing relative </w:t>
            </w:r>
            <w:r w:rsidR="00691F52">
              <w:t xml:space="preserve">generation </w:t>
            </w:r>
            <w:r w:rsidRPr="00D31B93">
              <w:t>prices and ensuring that emissions are reduced where it is cheapest to do so</w:t>
            </w:r>
            <w:r w:rsidR="00DC2BB8">
              <w:t>.</w:t>
            </w:r>
            <w:r w:rsidR="005A2656">
              <w:t xml:space="preserve"> </w:t>
            </w:r>
            <w:r w:rsidR="005A2656" w:rsidRPr="00D31B93">
              <w:t xml:space="preserve">Put simply, the scheme rewards below-baseline </w:t>
            </w:r>
            <w:r w:rsidR="005A2656">
              <w:t>producers</w:t>
            </w:r>
            <w:r w:rsidR="005A2656" w:rsidRPr="00D31B93">
              <w:t xml:space="preserve"> and penalises above-baseline ones</w:t>
            </w:r>
            <w:r w:rsidR="005A2656">
              <w:t>.</w:t>
            </w:r>
          </w:p>
          <w:p w:rsidR="00D31B93" w:rsidRPr="00D31B93" w:rsidRDefault="00D31B93" w:rsidP="005265CD">
            <w:pPr>
              <w:pStyle w:val="TableText"/>
              <w:keepNext w:val="0"/>
              <w:keepLines w:val="0"/>
            </w:pPr>
            <w:r w:rsidRPr="00D31B93">
              <w:t>The baseline could be set to achieve the desired level of emissions, based on projected output, and could decline over time to help achieve the economy-wide target. If the baseline was reduced to zero, the scheme would</w:t>
            </w:r>
            <w:r w:rsidR="00D95824">
              <w:t xml:space="preserve"> have an effect</w:t>
            </w:r>
            <w:r w:rsidR="009C6BC1">
              <w:t xml:space="preserve"> equivalent to</w:t>
            </w:r>
            <w:r w:rsidR="00D95824">
              <w:t xml:space="preserve"> a</w:t>
            </w:r>
            <w:r w:rsidRPr="00D31B93">
              <w:t xml:space="preserve"> cap and trade scheme. </w:t>
            </w:r>
          </w:p>
          <w:p w:rsidR="00E71DBF" w:rsidRPr="00D31B93" w:rsidRDefault="004932D8" w:rsidP="005265CD">
            <w:pPr>
              <w:pStyle w:val="TableText"/>
              <w:keepNext w:val="0"/>
              <w:keepLines w:val="0"/>
            </w:pPr>
            <w:r w:rsidRPr="00D31B93">
              <w:t xml:space="preserve">An emissions intensity scheme was proposed during the development of an Australian cap and trade scheme </w:t>
            </w:r>
            <w:bookmarkStart w:id="368" w:name="_CTVP001d6b7d4475a3a4fb39e306a806575512f"/>
            <w:bookmarkStart w:id="369" w:name="_CTVP0016a5a9613a73f42698bab82f259aeaf60"/>
            <w:r w:rsidR="0059109A">
              <w:t>(Frontier Economics 2009)</w:t>
            </w:r>
            <w:bookmarkEnd w:id="368"/>
            <w:bookmarkEnd w:id="369"/>
            <w:r w:rsidRPr="00D31B93">
              <w:t xml:space="preserve">. Under this proposal the electricity sector would receive free permits based on benchmark baselines. The government would set a sectoral emissions intensity baseline in emissions per unit of output. Each generator would receive an allocation of </w:t>
            </w:r>
            <w:r>
              <w:t>permits</w:t>
            </w:r>
            <w:r w:rsidRPr="00D31B93">
              <w:t xml:space="preserve"> calculated by multiplying the emissions intensity baseline by the generator's actual individual outpu</w:t>
            </w:r>
            <w:r w:rsidR="005A2656">
              <w:t>t (</w:t>
            </w:r>
            <w:r w:rsidR="00CA762C" w:rsidRPr="00CA762C">
              <w:t xml:space="preserve">Figure </w:t>
            </w:r>
            <w:r w:rsidR="00CA762C" w:rsidRPr="00CA762C">
              <w:rPr>
                <w:noProof/>
              </w:rPr>
              <w:t>10</w:t>
            </w:r>
            <w:r w:rsidR="005A2656">
              <w:t>)</w:t>
            </w:r>
            <w:r w:rsidRPr="00D31B93">
              <w:t xml:space="preserve">. Each credit represents one tonne of emissions. Generators with emissions above their allocation must purchase and surrender </w:t>
            </w:r>
            <w:r>
              <w:t>permits</w:t>
            </w:r>
            <w:r w:rsidRPr="00D31B93">
              <w:t xml:space="preserve">. Generators with emissions below their allocation can sell their spare </w:t>
            </w:r>
            <w:r>
              <w:t xml:space="preserve">permits, </w:t>
            </w:r>
            <w:r w:rsidRPr="00D31B93">
              <w:t>or bank them for future periods</w:t>
            </w:r>
            <w:r>
              <w:t>.</w:t>
            </w:r>
            <w:r w:rsidRPr="00D31B93">
              <w:t xml:space="preserve"> </w:t>
            </w:r>
          </w:p>
          <w:p w:rsidR="005C0B12" w:rsidRPr="005C0B12" w:rsidRDefault="005C0B12" w:rsidP="005265CD">
            <w:pPr>
              <w:pStyle w:val="Caption"/>
              <w:keepNext w:val="0"/>
              <w:keepLines w:val="0"/>
              <w:rPr>
                <w:bCs w:val="0"/>
                <w:sz w:val="21"/>
                <w:szCs w:val="21"/>
              </w:rPr>
            </w:pPr>
            <w:bookmarkStart w:id="370" w:name="_Ref448319231"/>
            <w:bookmarkStart w:id="371" w:name="_Toc460318041"/>
            <w:r w:rsidRPr="005C0B12">
              <w:rPr>
                <w:sz w:val="21"/>
                <w:szCs w:val="21"/>
              </w:rPr>
              <w:t xml:space="preserve">Figure </w:t>
            </w:r>
            <w:r w:rsidR="00CA762C">
              <w:rPr>
                <w:noProof/>
                <w:sz w:val="21"/>
                <w:szCs w:val="21"/>
              </w:rPr>
              <w:t>10</w:t>
            </w:r>
            <w:bookmarkEnd w:id="370"/>
            <w:r w:rsidR="00A6425D">
              <w:rPr>
                <w:sz w:val="21"/>
                <w:szCs w:val="21"/>
              </w:rPr>
              <w:tab/>
            </w:r>
            <w:r w:rsidRPr="005C0B12">
              <w:rPr>
                <w:sz w:val="21"/>
                <w:szCs w:val="21"/>
              </w:rPr>
              <w:t>Emissions intensity scheme: baseline, credit and liabilities</w:t>
            </w:r>
            <w:bookmarkEnd w:id="371"/>
          </w:p>
          <w:p w:rsidR="005C0B12" w:rsidRDefault="005C0B12" w:rsidP="005265CD">
            <w:pPr>
              <w:keepNext w:val="0"/>
              <w:keepLines w:val="0"/>
            </w:pPr>
            <w:r>
              <w:rPr>
                <w:noProof/>
                <w:lang w:eastAsia="en-AU"/>
              </w:rPr>
              <w:drawing>
                <wp:inline distT="0" distB="0" distL="0" distR="0" wp14:anchorId="573463C0" wp14:editId="0FE392B2">
                  <wp:extent cx="3666226" cy="237857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70513" cy="2381357"/>
                          </a:xfrm>
                          <a:prstGeom prst="rect">
                            <a:avLst/>
                          </a:prstGeom>
                        </pic:spPr>
                      </pic:pic>
                    </a:graphicData>
                  </a:graphic>
                </wp:inline>
              </w:drawing>
            </w:r>
          </w:p>
          <w:p w:rsidR="000A416C" w:rsidRPr="000A416C" w:rsidRDefault="000A416C" w:rsidP="00CE47F4">
            <w:pPr>
              <w:pStyle w:val="TableNote"/>
            </w:pPr>
            <w:r w:rsidRPr="00DE0DC1">
              <w:rPr>
                <w:b/>
              </w:rPr>
              <w:t>Note:</w:t>
            </w:r>
            <w:r w:rsidRPr="00DE0DC1">
              <w:t xml:space="preserve"> </w:t>
            </w:r>
            <w:r>
              <w:t>Stylised illustration.</w:t>
            </w:r>
            <w:r w:rsidR="00CE47F4">
              <w:br/>
            </w:r>
            <w:r w:rsidRPr="000A416C">
              <w:rPr>
                <w:b/>
              </w:rPr>
              <w:t>Source:</w:t>
            </w:r>
            <w:r w:rsidRPr="000A416C">
              <w:t xml:space="preserve"> Climate Change Authority</w:t>
            </w:r>
            <w:r w:rsidRPr="000A416C" w:rsidDel="000A416C">
              <w:rPr>
                <w:b/>
              </w:rPr>
              <w:t xml:space="preserve"> </w:t>
            </w:r>
            <w:r>
              <w:t xml:space="preserve">based on </w:t>
            </w:r>
            <w:bookmarkStart w:id="372" w:name="_CTVP00197aebc0949154936966b12c7d7c56ced"/>
            <w:r w:rsidR="0059109A">
              <w:t>Frontier Economics 2009</w:t>
            </w:r>
            <w:bookmarkEnd w:id="372"/>
            <w:r w:rsidR="00B95485">
              <w:t>.</w:t>
            </w:r>
          </w:p>
          <w:p w:rsidR="002F1931" w:rsidRPr="00D31B93" w:rsidRDefault="00E32132" w:rsidP="009D0F88">
            <w:pPr>
              <w:pStyle w:val="TableText"/>
              <w:rPr>
                <w:rFonts w:eastAsiaTheme="minorHAnsi"/>
              </w:rPr>
            </w:pPr>
            <w:r w:rsidRPr="00D31B93">
              <w:t xml:space="preserve">The </w:t>
            </w:r>
            <w:proofErr w:type="gramStart"/>
            <w:r w:rsidRPr="00D31B93">
              <w:t xml:space="preserve">impacts of permit allocation </w:t>
            </w:r>
            <w:r w:rsidR="008660B6" w:rsidRPr="00D31B93">
              <w:t>on consumer</w:t>
            </w:r>
            <w:r w:rsidR="00130580" w:rsidRPr="00D31B93">
              <w:t>s</w:t>
            </w:r>
            <w:r w:rsidR="008660B6" w:rsidRPr="00D31B93">
              <w:t xml:space="preserve"> </w:t>
            </w:r>
            <w:r w:rsidRPr="00D31B93">
              <w:t>depend</w:t>
            </w:r>
            <w:r w:rsidR="00B95485">
              <w:t>s</w:t>
            </w:r>
            <w:proofErr w:type="gramEnd"/>
            <w:r w:rsidRPr="00D31B93">
              <w:t xml:space="preserve"> on the specific method</w:t>
            </w:r>
            <w:r w:rsidR="005F71F0" w:rsidRPr="00D31B93">
              <w:t xml:space="preserve"> of allocation. </w:t>
            </w:r>
            <w:r w:rsidRPr="00D31B93">
              <w:rPr>
                <w:rFonts w:eastAsiaTheme="minorHAnsi"/>
              </w:rPr>
              <w:t xml:space="preserve">Under </w:t>
            </w:r>
            <w:r w:rsidR="00515AA3">
              <w:rPr>
                <w:rFonts w:eastAsiaTheme="minorHAnsi"/>
              </w:rPr>
              <w:t xml:space="preserve">an </w:t>
            </w:r>
            <w:r w:rsidRPr="00D31B93">
              <w:rPr>
                <w:rFonts w:eastAsiaTheme="minorHAnsi"/>
              </w:rPr>
              <w:t>emissions intensity</w:t>
            </w:r>
            <w:r w:rsidR="00515AA3">
              <w:rPr>
                <w:rFonts w:eastAsiaTheme="minorHAnsi"/>
              </w:rPr>
              <w:t xml:space="preserve"> scheme</w:t>
            </w:r>
            <w:r w:rsidRPr="00D31B93">
              <w:rPr>
                <w:rFonts w:eastAsiaTheme="minorHAnsi"/>
              </w:rPr>
              <w:t>, allocations are conditional on the generator producing output</w:t>
            </w:r>
            <w:r w:rsidR="00D31B93" w:rsidRPr="00D31B93">
              <w:rPr>
                <w:rFonts w:eastAsiaTheme="minorHAnsi"/>
              </w:rPr>
              <w:t xml:space="preserve">. This means relative to a cap and trade scheme with auctioning, an emissions intensity </w:t>
            </w:r>
            <w:r w:rsidR="005C0B12">
              <w:rPr>
                <w:rFonts w:eastAsiaTheme="minorHAnsi"/>
              </w:rPr>
              <w:t>scheme</w:t>
            </w:r>
            <w:r w:rsidR="005C0B12" w:rsidRPr="00D31B93">
              <w:rPr>
                <w:rFonts w:eastAsiaTheme="minorHAnsi"/>
              </w:rPr>
              <w:t xml:space="preserve"> </w:t>
            </w:r>
            <w:r w:rsidR="00D31B93" w:rsidRPr="00D31B93">
              <w:rPr>
                <w:rFonts w:eastAsiaTheme="minorHAnsi"/>
              </w:rPr>
              <w:t>would have less impact on prices. As a result, it would create less need to provide assistance to emissions</w:t>
            </w:r>
            <w:r w:rsidR="00D31B93" w:rsidRPr="00D31B93">
              <w:rPr>
                <w:rFonts w:eastAsiaTheme="minorHAnsi"/>
              </w:rPr>
              <w:noBreakHyphen/>
              <w:t>intensive trade</w:t>
            </w:r>
            <w:r w:rsidR="00D31B93" w:rsidRPr="00D31B93">
              <w:rPr>
                <w:rFonts w:eastAsiaTheme="minorHAnsi"/>
              </w:rPr>
              <w:noBreakHyphen/>
              <w:t>exposed firms and low</w:t>
            </w:r>
            <w:r w:rsidR="00D31B93" w:rsidRPr="00D31B93">
              <w:rPr>
                <w:rFonts w:eastAsiaTheme="minorHAnsi"/>
              </w:rPr>
              <w:noBreakHyphen/>
              <w:t>income households, and have smaller indirect (tax</w:t>
            </w:r>
            <w:r w:rsidR="00D31B93" w:rsidRPr="00D31B93">
              <w:rPr>
                <w:rFonts w:eastAsiaTheme="minorHAnsi"/>
              </w:rPr>
              <w:noBreakHyphen/>
              <w:t>related) effects on the economy. It would also drive fewer demand-side emissions reductions.</w:t>
            </w:r>
            <w:r w:rsidRPr="00D31B93">
              <w:rPr>
                <w:rFonts w:eastAsiaTheme="minorHAnsi"/>
              </w:rPr>
              <w:t xml:space="preserve"> </w:t>
            </w:r>
          </w:p>
          <w:p w:rsidR="00E32132" w:rsidRPr="00D31B93" w:rsidRDefault="00E32132" w:rsidP="009D0F88">
            <w:pPr>
              <w:pStyle w:val="TableText"/>
              <w:rPr>
                <w:rFonts w:eastAsiaTheme="minorHAnsi"/>
              </w:rPr>
            </w:pPr>
            <w:r w:rsidRPr="00D31B93">
              <w:rPr>
                <w:rFonts w:eastAsiaTheme="minorHAnsi"/>
              </w:rPr>
              <w:t>In contrast, ‘grandfathering’ allocates permits according to generators’ historical output levels</w:t>
            </w:r>
            <w:r w:rsidR="00130580" w:rsidRPr="00D31B93">
              <w:rPr>
                <w:rFonts w:eastAsiaTheme="minorHAnsi"/>
              </w:rPr>
              <w:t xml:space="preserve">, </w:t>
            </w:r>
            <w:r w:rsidRPr="00D31B93">
              <w:rPr>
                <w:rFonts w:eastAsiaTheme="minorHAnsi"/>
              </w:rPr>
              <w:t>regardless of the</w:t>
            </w:r>
            <w:r w:rsidR="008660B6" w:rsidRPr="00D31B93">
              <w:rPr>
                <w:rFonts w:eastAsiaTheme="minorHAnsi"/>
              </w:rPr>
              <w:t>ir</w:t>
            </w:r>
            <w:r w:rsidRPr="00D31B93">
              <w:rPr>
                <w:rFonts w:eastAsiaTheme="minorHAnsi"/>
              </w:rPr>
              <w:t xml:space="preserve"> actual level of output. </w:t>
            </w:r>
            <w:r w:rsidR="002F1931" w:rsidRPr="00D31B93">
              <w:rPr>
                <w:rFonts w:eastAsiaTheme="minorHAnsi"/>
              </w:rPr>
              <w:t>Any generator</w:t>
            </w:r>
            <w:r w:rsidR="008660B6" w:rsidRPr="00D31B93">
              <w:rPr>
                <w:rFonts w:eastAsiaTheme="minorHAnsi"/>
              </w:rPr>
              <w:t xml:space="preserve"> can</w:t>
            </w:r>
            <w:r w:rsidR="00C86A7E" w:rsidRPr="00D31B93">
              <w:rPr>
                <w:rFonts w:eastAsiaTheme="minorHAnsi"/>
              </w:rPr>
              <w:t xml:space="preserve"> </w:t>
            </w:r>
            <w:r w:rsidRPr="00D31B93">
              <w:rPr>
                <w:rFonts w:eastAsiaTheme="minorHAnsi"/>
              </w:rPr>
              <w:t>use the</w:t>
            </w:r>
            <w:r w:rsidR="002F1931" w:rsidRPr="00D31B93">
              <w:rPr>
                <w:rFonts w:eastAsiaTheme="minorHAnsi"/>
              </w:rPr>
              <w:t>ir</w:t>
            </w:r>
            <w:r w:rsidRPr="00D31B93">
              <w:rPr>
                <w:rFonts w:eastAsiaTheme="minorHAnsi"/>
              </w:rPr>
              <w:t xml:space="preserve"> pe</w:t>
            </w:r>
            <w:r w:rsidR="002F1931" w:rsidRPr="00D31B93">
              <w:rPr>
                <w:rFonts w:eastAsiaTheme="minorHAnsi"/>
              </w:rPr>
              <w:t xml:space="preserve">rmits themselves, or sell them. The price generators would receive for </w:t>
            </w:r>
            <w:r w:rsidR="008660B6" w:rsidRPr="00D31B93">
              <w:rPr>
                <w:rFonts w:eastAsiaTheme="minorHAnsi"/>
              </w:rPr>
              <w:t xml:space="preserve">selling </w:t>
            </w:r>
            <w:r w:rsidR="002F1931" w:rsidRPr="00D31B93">
              <w:rPr>
                <w:rFonts w:eastAsiaTheme="minorHAnsi"/>
              </w:rPr>
              <w:t>a permit is its ‘opportunity cost’, which is incorporated in gen</w:t>
            </w:r>
            <w:r w:rsidR="008660B6" w:rsidRPr="00D31B93">
              <w:rPr>
                <w:rFonts w:eastAsiaTheme="minorHAnsi"/>
              </w:rPr>
              <w:t>e</w:t>
            </w:r>
            <w:r w:rsidR="002F1931" w:rsidRPr="00D31B93">
              <w:rPr>
                <w:rFonts w:eastAsiaTheme="minorHAnsi"/>
              </w:rPr>
              <w:t>rators’ wholesale costs and therefore</w:t>
            </w:r>
            <w:r w:rsidR="00130580" w:rsidRPr="00D31B93">
              <w:rPr>
                <w:rFonts w:eastAsiaTheme="minorHAnsi"/>
              </w:rPr>
              <w:t xml:space="preserve"> passed on to</w:t>
            </w:r>
            <w:r w:rsidR="002F1931" w:rsidRPr="00D31B93">
              <w:rPr>
                <w:rFonts w:eastAsiaTheme="minorHAnsi"/>
              </w:rPr>
              <w:t xml:space="preserve"> consumer electricity prices.</w:t>
            </w:r>
          </w:p>
          <w:p w:rsidR="0041453E" w:rsidRPr="00763D3A" w:rsidRDefault="005F71F0" w:rsidP="006B777E">
            <w:pPr>
              <w:pStyle w:val="TableText"/>
              <w:keepNext w:val="0"/>
              <w:keepLines w:val="0"/>
              <w:rPr>
                <w:lang w:val="en-GB"/>
              </w:rPr>
            </w:pPr>
            <w:r w:rsidRPr="00D31B93">
              <w:t xml:space="preserve">Further </w:t>
            </w:r>
            <w:r w:rsidR="00C86A7E" w:rsidRPr="00D31B93">
              <w:t>comparison</w:t>
            </w:r>
            <w:r w:rsidR="007D0D9E">
              <w:t>s</w:t>
            </w:r>
            <w:r w:rsidRPr="00D31B93">
              <w:t xml:space="preserve"> of </w:t>
            </w:r>
            <w:r w:rsidR="00C10CAE">
              <w:t>market mechanisms</w:t>
            </w:r>
            <w:r w:rsidR="00D31B93" w:rsidRPr="00D31B93">
              <w:t xml:space="preserve"> </w:t>
            </w:r>
            <w:r w:rsidR="007D0D9E">
              <w:t>are</w:t>
            </w:r>
            <w:r w:rsidRPr="00D31B93">
              <w:t xml:space="preserve"> in </w:t>
            </w:r>
            <w:r w:rsidR="007D0D9E">
              <w:t>S</w:t>
            </w:r>
            <w:r w:rsidRPr="00D31B93">
              <w:t>ection</w:t>
            </w:r>
            <w:r w:rsidR="00D31B93" w:rsidRPr="00D31B93">
              <w:t>s</w:t>
            </w:r>
            <w:r w:rsidRPr="00D31B93">
              <w:t xml:space="preserve"> </w:t>
            </w:r>
            <w:r w:rsidR="00CA762C">
              <w:t>4.1</w:t>
            </w:r>
            <w:r w:rsidR="00656961">
              <w:t xml:space="preserve"> and </w:t>
            </w:r>
            <w:r w:rsidR="00CA762C">
              <w:t>4.3</w:t>
            </w:r>
            <w:r w:rsidR="00656961">
              <w:t xml:space="preserve">, and </w:t>
            </w:r>
            <w:r w:rsidR="00CA762C">
              <w:t xml:space="preserve">Table </w:t>
            </w:r>
            <w:r w:rsidR="00CA762C">
              <w:rPr>
                <w:noProof/>
              </w:rPr>
              <w:t>7</w:t>
            </w:r>
            <w:r w:rsidR="00656961">
              <w:t>.</w:t>
            </w:r>
          </w:p>
        </w:tc>
      </w:tr>
    </w:tbl>
    <w:p w:rsidR="00760A0E" w:rsidRDefault="00760A0E" w:rsidP="005265CD">
      <w:pPr>
        <w:pStyle w:val="ChapterHeading2"/>
        <w:keepLines/>
        <w:numPr>
          <w:ilvl w:val="1"/>
          <w:numId w:val="15"/>
        </w:numPr>
      </w:pPr>
      <w:bookmarkStart w:id="373" w:name="_Toc447099905"/>
      <w:bookmarkStart w:id="374" w:name="_Ref447639013"/>
      <w:bookmarkStart w:id="375" w:name="_Toc448132693"/>
      <w:bookmarkStart w:id="376" w:name="_Toc448151753"/>
      <w:bookmarkStart w:id="377" w:name="_Toc448151821"/>
      <w:bookmarkStart w:id="378" w:name="_Toc460317991"/>
      <w:r>
        <w:t>The Authority’s approach to comparing policies</w:t>
      </w:r>
      <w:bookmarkEnd w:id="373"/>
      <w:bookmarkEnd w:id="374"/>
      <w:bookmarkEnd w:id="375"/>
      <w:bookmarkEnd w:id="376"/>
      <w:bookmarkEnd w:id="377"/>
      <w:bookmarkEnd w:id="378"/>
    </w:p>
    <w:p w:rsidR="003B355D" w:rsidRPr="001478F3" w:rsidRDefault="003B355D" w:rsidP="003B355D">
      <w:pPr>
        <w:rPr>
          <w:szCs w:val="21"/>
        </w:rPr>
      </w:pPr>
      <w:r>
        <w:t xml:space="preserve">In Report Two of the Special Review the Authority sought feedback on an evaluation framework to </w:t>
      </w:r>
      <w:r w:rsidRPr="001478F3">
        <w:rPr>
          <w:szCs w:val="21"/>
        </w:rPr>
        <w:t>compare and assess emissions reduction policy options. The framework is based on the principles set out in the</w:t>
      </w:r>
      <w:r w:rsidR="00DE4641">
        <w:rPr>
          <w:szCs w:val="21"/>
        </w:rPr>
        <w:t xml:space="preserve"> </w:t>
      </w:r>
      <w:r w:rsidR="00DE4641" w:rsidRPr="00DE4641">
        <w:rPr>
          <w:i/>
          <w:szCs w:val="21"/>
        </w:rPr>
        <w:t>Climate Change Authority Act 2011</w:t>
      </w:r>
      <w:r w:rsidR="00DE4641">
        <w:rPr>
          <w:szCs w:val="21"/>
        </w:rPr>
        <w:t xml:space="preserve"> </w:t>
      </w:r>
      <w:r w:rsidR="00E96612">
        <w:rPr>
          <w:szCs w:val="21"/>
        </w:rPr>
        <w:t>(</w:t>
      </w:r>
      <w:proofErr w:type="spellStart"/>
      <w:r w:rsidR="00E96612">
        <w:rPr>
          <w:szCs w:val="21"/>
        </w:rPr>
        <w:t>Cth</w:t>
      </w:r>
      <w:proofErr w:type="spellEnd"/>
      <w:r w:rsidR="00E96612">
        <w:rPr>
          <w:szCs w:val="21"/>
        </w:rPr>
        <w:t>)</w:t>
      </w:r>
      <w:r w:rsidRPr="001478F3">
        <w:rPr>
          <w:szCs w:val="21"/>
        </w:rPr>
        <w:t xml:space="preserve"> and comprises three key principles:</w:t>
      </w:r>
    </w:p>
    <w:p w:rsidR="003B355D" w:rsidRPr="003B355D" w:rsidRDefault="003B355D" w:rsidP="003B355D">
      <w:pPr>
        <w:pStyle w:val="ListNumber"/>
        <w:rPr>
          <w:sz w:val="21"/>
          <w:szCs w:val="21"/>
        </w:rPr>
      </w:pPr>
      <w:r w:rsidRPr="003B355D">
        <w:rPr>
          <w:sz w:val="21"/>
          <w:szCs w:val="21"/>
        </w:rPr>
        <w:t xml:space="preserve">Cost effectiveness: policies should help Australia meet its emissions reduction goals at least cost as efforts are scaled-up over time, taking account of: the </w:t>
      </w:r>
      <w:r w:rsidRPr="003B355D">
        <w:rPr>
          <w:i/>
          <w:sz w:val="21"/>
          <w:szCs w:val="21"/>
        </w:rPr>
        <w:t>direct costs</w:t>
      </w:r>
      <w:r w:rsidRPr="003B355D">
        <w:rPr>
          <w:sz w:val="21"/>
          <w:szCs w:val="21"/>
        </w:rPr>
        <w:t xml:space="preserve"> of reducing emissions; the costs </w:t>
      </w:r>
      <w:r w:rsidRPr="003B355D">
        <w:rPr>
          <w:sz w:val="21"/>
          <w:szCs w:val="21"/>
        </w:rPr>
        <w:lastRenderedPageBreak/>
        <w:t xml:space="preserve">of </w:t>
      </w:r>
      <w:r w:rsidRPr="003B355D">
        <w:rPr>
          <w:i/>
          <w:sz w:val="21"/>
          <w:szCs w:val="21"/>
        </w:rPr>
        <w:t>administering and complying</w:t>
      </w:r>
      <w:r w:rsidRPr="003B355D">
        <w:rPr>
          <w:sz w:val="21"/>
          <w:szCs w:val="21"/>
        </w:rPr>
        <w:t xml:space="preserve"> with policies; and </w:t>
      </w:r>
      <w:r w:rsidRPr="003B355D">
        <w:rPr>
          <w:i/>
          <w:sz w:val="21"/>
          <w:szCs w:val="21"/>
        </w:rPr>
        <w:t>indirect costs</w:t>
      </w:r>
      <w:r w:rsidRPr="003B355D">
        <w:rPr>
          <w:sz w:val="21"/>
          <w:szCs w:val="21"/>
        </w:rPr>
        <w:t xml:space="preserve"> of policies on the economy as a whole. </w:t>
      </w:r>
    </w:p>
    <w:p w:rsidR="003B355D" w:rsidRPr="003B355D" w:rsidRDefault="003B355D" w:rsidP="003B355D">
      <w:pPr>
        <w:pStyle w:val="ListNumber"/>
        <w:rPr>
          <w:sz w:val="21"/>
          <w:szCs w:val="21"/>
        </w:rPr>
      </w:pPr>
      <w:r w:rsidRPr="003B355D">
        <w:rPr>
          <w:sz w:val="21"/>
          <w:szCs w:val="21"/>
        </w:rPr>
        <w:t xml:space="preserve">Environmental effectiveness: policies should achieve real emissions reductions, at the national and global level. </w:t>
      </w:r>
    </w:p>
    <w:p w:rsidR="003B355D" w:rsidRPr="003B355D" w:rsidRDefault="003B355D" w:rsidP="003B355D">
      <w:pPr>
        <w:pStyle w:val="ListNumber"/>
        <w:rPr>
          <w:sz w:val="21"/>
          <w:szCs w:val="21"/>
        </w:rPr>
      </w:pPr>
      <w:r w:rsidRPr="003B355D">
        <w:rPr>
          <w:sz w:val="21"/>
          <w:szCs w:val="21"/>
        </w:rPr>
        <w:t>Equity: policy design should take account of—and support an equitable distribution of—impacts and risks across households, businesses and communities.</w:t>
      </w:r>
    </w:p>
    <w:p w:rsidR="003B355D" w:rsidRPr="00E712F4" w:rsidRDefault="00610361" w:rsidP="003B355D">
      <w:pPr>
        <w:rPr>
          <w:szCs w:val="21"/>
        </w:rPr>
      </w:pPr>
      <w:r>
        <w:rPr>
          <w:szCs w:val="21"/>
        </w:rPr>
        <w:t>As outlined in Report Three, s</w:t>
      </w:r>
      <w:r w:rsidR="003B355D" w:rsidRPr="001478F3">
        <w:rPr>
          <w:szCs w:val="21"/>
        </w:rPr>
        <w:t xml:space="preserve">takeholders generally endorsed the Authority’s </w:t>
      </w:r>
      <w:r w:rsidR="003B355D" w:rsidRPr="001F7FD5">
        <w:rPr>
          <w:szCs w:val="21"/>
        </w:rPr>
        <w:t>evaluation framework, agreeing that the principles above are a robust basis for assessment of poli</w:t>
      </w:r>
      <w:r w:rsidR="003B355D" w:rsidRPr="00995B90">
        <w:rPr>
          <w:szCs w:val="21"/>
        </w:rPr>
        <w:t>cies. Some stakeholders suggested additional criteria for consideration.</w:t>
      </w:r>
    </w:p>
    <w:p w:rsidR="003B355D" w:rsidRDefault="003B355D" w:rsidP="003B355D">
      <w:pPr>
        <w:pStyle w:val="ListBullet"/>
      </w:pPr>
      <w:r w:rsidRPr="00CD52F1">
        <w:t xml:space="preserve">Some energy sector stakeholders—including the Australian Energy Council (formerly the </w:t>
      </w:r>
      <w:r w:rsidR="00691F52">
        <w:t>Energy Supply Association of Australia</w:t>
      </w:r>
      <w:r w:rsidRPr="00CD52F1">
        <w:t>), the Energy Networks Association (ENA) and Origin Energy</w:t>
      </w:r>
      <w:r>
        <w:t>—noted the importance of energy reliability and security, and the ENA suggested including these in the evaluation framework. The Authority agrees that policies’ consistency with electricity reliability and other aspects of market operation are important for the cost effectiveness of electricity sector climate policy and has cons</w:t>
      </w:r>
      <w:r w:rsidR="006D1947">
        <w:t>idered this in its evaluation.</w:t>
      </w:r>
      <w:r>
        <w:t xml:space="preserve"> </w:t>
      </w:r>
    </w:p>
    <w:p w:rsidR="003B355D" w:rsidRDefault="003B355D" w:rsidP="003B355D">
      <w:pPr>
        <w:pStyle w:val="ListBullet"/>
      </w:pPr>
      <w:r>
        <w:t xml:space="preserve">Some stakeholders—including </w:t>
      </w:r>
      <w:r w:rsidRPr="00CD52F1">
        <w:t>WWF Australia</w:t>
      </w:r>
      <w:r>
        <w:t xml:space="preserve">, </w:t>
      </w:r>
      <w:proofErr w:type="spellStart"/>
      <w:r>
        <w:t>ClimateWorks</w:t>
      </w:r>
      <w:proofErr w:type="spellEnd"/>
      <w:r>
        <w:t xml:space="preserve"> and Local Government NSW—</w:t>
      </w:r>
      <w:r w:rsidRPr="00547A94">
        <w:t>h</w:t>
      </w:r>
      <w:r>
        <w:t>ighlighted policy scalability and</w:t>
      </w:r>
      <w:r w:rsidR="006D1947">
        <w:t>/or</w:t>
      </w:r>
      <w:r>
        <w:t xml:space="preserve"> flexibility as important criteria. The Authority agrees that these are important and considers them when assessing both cost effectiveness and environmental effectiveness.</w:t>
      </w:r>
      <w:r w:rsidR="008B6FC5">
        <w:t xml:space="preserve"> See Report Three for further discussion.</w:t>
      </w:r>
    </w:p>
    <w:p w:rsidR="003B355D" w:rsidRDefault="003B355D" w:rsidP="003B355D">
      <w:pPr>
        <w:pStyle w:val="ListBullet"/>
        <w:numPr>
          <w:ilvl w:val="0"/>
          <w:numId w:val="0"/>
        </w:numPr>
      </w:pPr>
      <w:r>
        <w:t xml:space="preserve">In this </w:t>
      </w:r>
      <w:r w:rsidR="00AD11F0">
        <w:t>report</w:t>
      </w:r>
      <w:r>
        <w:t xml:space="preserve">, the Authority considers how these general principles relate to the electricity sector. The rest of this section outlines some issues of particular importance. The relatively longer discussion of cost effectiveness should not necessarily be interpreted as implying the Authority places greater weight on this criterion; rather it is because of the additional explanation of the underpinning concepts. The full list of factors that the Authority has considered is at </w:t>
      </w:r>
      <w:r w:rsidR="00CA762C">
        <w:t>Appendix B</w:t>
      </w:r>
      <w:r>
        <w:t xml:space="preserve">. </w:t>
      </w:r>
    </w:p>
    <w:p w:rsidR="003B355D" w:rsidRDefault="003B355D" w:rsidP="003B355D">
      <w:r>
        <w:t>The terms of reference for the Special Review (</w:t>
      </w:r>
      <w:r w:rsidR="00CA762C">
        <w:t>Appendix A</w:t>
      </w:r>
      <w:r>
        <w:t xml:space="preserve">) require the Authority to consider the possible effects </w:t>
      </w:r>
      <w:proofErr w:type="gramStart"/>
      <w:r>
        <w:t>of an emissions</w:t>
      </w:r>
      <w:proofErr w:type="gramEnd"/>
      <w:r>
        <w:t xml:space="preserve"> trading scheme or other policies with similar effect on the international competitiveness of Australian business</w:t>
      </w:r>
      <w:r w:rsidR="004229E6">
        <w:t>es</w:t>
      </w:r>
      <w:r>
        <w:t>. Emissions reduction policies in the electricity sector can increase prices for electricity consumers, including trade-exposed businesses, which may in turn affect the competitiveness of those sectors in global markets. These potential impacts are discussed briefly in Section</w:t>
      </w:r>
      <w:r w:rsidR="00656961">
        <w:t xml:space="preserve"> </w:t>
      </w:r>
      <w:r w:rsidR="00CA762C">
        <w:t>4.1.1</w:t>
      </w:r>
      <w:r>
        <w:t>; policy options to address</w:t>
      </w:r>
      <w:r w:rsidR="009C650C">
        <w:t xml:space="preserve"> international competitiveness are</w:t>
      </w:r>
      <w:r>
        <w:t xml:space="preserve"> discussed in Report Three of the Special Review. </w:t>
      </w:r>
    </w:p>
    <w:p w:rsidR="003B355D" w:rsidRDefault="003B355D" w:rsidP="003B355D">
      <w:r>
        <w:t>When considering</w:t>
      </w:r>
      <w:r w:rsidR="00515AA3">
        <w:t xml:space="preserve"> the</w:t>
      </w:r>
      <w:r>
        <w:t xml:space="preserve"> </w:t>
      </w:r>
      <w:r w:rsidRPr="006B26EA">
        <w:rPr>
          <w:rStyle w:val="Textbold"/>
        </w:rPr>
        <w:t>cost</w:t>
      </w:r>
      <w:r>
        <w:rPr>
          <w:rStyle w:val="Textbold"/>
        </w:rPr>
        <w:t xml:space="preserve"> </w:t>
      </w:r>
      <w:r w:rsidRPr="006B26EA">
        <w:rPr>
          <w:rStyle w:val="Textbold"/>
        </w:rPr>
        <w:t>effectiveness</w:t>
      </w:r>
      <w:r>
        <w:t xml:space="preserve"> of electricity sector policies, the Authority places particular emphasis on policies’ ability to respond flexibly to changes. </w:t>
      </w:r>
      <w:r w:rsidR="00515AA3">
        <w:t>T</w:t>
      </w:r>
      <w:r w:rsidR="00515AA3" w:rsidRPr="004C793D">
        <w:t>he Paris Agreement architecture require</w:t>
      </w:r>
      <w:r w:rsidR="008E5784">
        <w:t>s</w:t>
      </w:r>
      <w:r w:rsidR="00515AA3" w:rsidRPr="004C793D">
        <w:t xml:space="preserve"> all Parties to review and progressively increase their emission reduction commitments every five years, with referenc</w:t>
      </w:r>
      <w:r w:rsidR="00515AA3">
        <w:t>e to the global emissions goals</w:t>
      </w:r>
      <w:r>
        <w:t>, so it is important that Australia’s policies can be scaled up to meet targets at least cost to the community. The long-term nature of the challenge means it is also important that policies have the flexibility to adjust and cost</w:t>
      </w:r>
      <w:r>
        <w:noBreakHyphen/>
        <w:t>effectively reduce emissions in light of unforeseen changes in technology costs and availability, and electricity demand. Also important to flexibility (noting that these are also discrete policy choices and views differ as to their merits) is whether policies can be li</w:t>
      </w:r>
      <w:r w:rsidR="004229E6">
        <w:t xml:space="preserve">nked internationally with a cap and </w:t>
      </w:r>
      <w:r>
        <w:t xml:space="preserve">trade, emissions intensity or other scheme, can use international </w:t>
      </w:r>
      <w:r w:rsidR="003837AB">
        <w:t>permits or credits</w:t>
      </w:r>
      <w:r>
        <w:t xml:space="preserve">, or can cover sectors other than electricity. </w:t>
      </w:r>
    </w:p>
    <w:p w:rsidR="003B355D" w:rsidRDefault="003B355D" w:rsidP="003B355D">
      <w:pPr>
        <w:pStyle w:val="ListBullet"/>
        <w:numPr>
          <w:ilvl w:val="0"/>
          <w:numId w:val="0"/>
        </w:numPr>
        <w:tabs>
          <w:tab w:val="left" w:pos="720"/>
        </w:tabs>
      </w:pPr>
      <w:r>
        <w:lastRenderedPageBreak/>
        <w:t xml:space="preserve">The Authority is drawing on commissioned electricity sector and economy-wide modelling (discussed further in the next section) to estimate both the direct and indirect costs of policy options, as well as their cost per unit of emissions reduced. </w:t>
      </w:r>
    </w:p>
    <w:p w:rsidR="003B355D" w:rsidRDefault="003B355D" w:rsidP="003B355D">
      <w:pPr>
        <w:pStyle w:val="ListBullet"/>
      </w:pPr>
      <w:r>
        <w:t xml:space="preserve">Direct implementation costs are the additional costs above those that would have occurred in the absence of the policy, such as </w:t>
      </w:r>
      <w:r w:rsidRPr="00305D51">
        <w:t>the added cost of</w:t>
      </w:r>
      <w:r>
        <w:t xml:space="preserve"> investing in a low</w:t>
      </w:r>
      <w:r>
        <w:noBreakHyphen/>
      </w:r>
      <w:r w:rsidRPr="00305D51">
        <w:t>emissions electricity gene</w:t>
      </w:r>
      <w:r>
        <w:t>ration plant rather than a high</w:t>
      </w:r>
      <w:r>
        <w:noBreakHyphen/>
      </w:r>
      <w:r w:rsidRPr="00305D51">
        <w:t>emissions one</w:t>
      </w:r>
      <w:r>
        <w:t>. These are measured by the ‘resource cost’ of the policy in the electricity sector, before considering its emissions reductions. This takes into account the net change in fuel costs, operational expenditure, capital expenditure, and retirement costs, adjusted for the reduction in demand due to the policy. For example, policies which result in more low</w:t>
      </w:r>
      <w:r>
        <w:noBreakHyphen/>
        <w:t xml:space="preserve">emissions plant being built tend to require greater capital expenditure, but can have lower fuel costs than a situation with no policy. </w:t>
      </w:r>
    </w:p>
    <w:p w:rsidR="003B355D" w:rsidRDefault="003B355D" w:rsidP="003B355D">
      <w:pPr>
        <w:pStyle w:val="ListBullet"/>
      </w:pPr>
      <w:r>
        <w:t>The cost per unit of emissions reduced is measured through the ‘cost of abatement’. This measures</w:t>
      </w:r>
      <w:r w:rsidRPr="002D2221">
        <w:t xml:space="preserve"> the overall cost effectiveness of each policy </w:t>
      </w:r>
      <w:r>
        <w:t>in reducing emissions. It is calculated by dividing the resource costs relative to the reference scenario by the emissions reductions achieved by the policy.</w:t>
      </w:r>
    </w:p>
    <w:p w:rsidR="003B355D" w:rsidRDefault="003B355D" w:rsidP="003B355D">
      <w:pPr>
        <w:pStyle w:val="ListBullet"/>
      </w:pPr>
      <w:r>
        <w:t xml:space="preserve">In addition to their direct costs, policies often involve indirect costs, including those due to interactions with the tax system. Taxes and price rises generally dampen economic activity. These indirect costs are more important to the cost effectiveness of policies than has been generally recognised </w:t>
      </w:r>
      <w:bookmarkStart w:id="379" w:name="_CTVP00113b29a9292144e3fbdcd0b3cc69bff50"/>
      <w:r w:rsidR="0059109A">
        <w:t>(</w:t>
      </w:r>
      <w:proofErr w:type="spellStart"/>
      <w:r w:rsidR="0059109A">
        <w:t>Goulder</w:t>
      </w:r>
      <w:proofErr w:type="spellEnd"/>
      <w:r w:rsidR="0059109A">
        <w:t> 2013)</w:t>
      </w:r>
      <w:bookmarkEnd w:id="379"/>
      <w:r>
        <w:t xml:space="preserve"> and are discussed further in Section </w:t>
      </w:r>
      <w:r w:rsidR="00CA762C">
        <w:t>3.3</w:t>
      </w:r>
      <w:r>
        <w:t>.</w:t>
      </w:r>
    </w:p>
    <w:p w:rsidR="003B355D" w:rsidRDefault="003B355D" w:rsidP="003B355D">
      <w:pPr>
        <w:pStyle w:val="ListBullet"/>
      </w:pPr>
      <w:r>
        <w:t xml:space="preserve">Both direct and indirect costs are captured through indicators such as changes in macroeconomic measures such as Gross National Income (GNI) and Gross Domestic Product (GDP). GNI and GDP are widely used to assess the total economic cost of a policy change. GNI is generally preferred in this report as an indicator of economic welfare as it is a better measure of the purchasing power and living standards of Australians than GDP. This is because GNI estimates the total income of Australians, including that earned abroad but excluding that of </w:t>
      </w:r>
      <w:r w:rsidR="001B028E">
        <w:t>persons from overseas</w:t>
      </w:r>
      <w:r>
        <w:t xml:space="preserve"> in Australia, while GDP reflects the total economic output of the domestic economy. GNI also includes changes in the ability of Australians to purchase imports when the relative prices of imports and exports (the ‘terms of trade’) changes. Changes in wholesale and residential electricity prices affect consumption and investment decisions across the economy and therefore GDP and GNI.   </w:t>
      </w:r>
    </w:p>
    <w:p w:rsidR="003B355D" w:rsidRDefault="00FD4D6B" w:rsidP="003B355D">
      <w:pPr>
        <w:pStyle w:val="ListBullet"/>
        <w:numPr>
          <w:ilvl w:val="0"/>
          <w:numId w:val="0"/>
        </w:numPr>
      </w:pPr>
      <w:r>
        <w:t xml:space="preserve">Further information on the cost </w:t>
      </w:r>
      <w:r w:rsidR="003B355D">
        <w:t xml:space="preserve">effectiveness measures is at </w:t>
      </w:r>
      <w:r w:rsidR="00CA762C">
        <w:t>Appendix C</w:t>
      </w:r>
      <w:r w:rsidR="003B355D">
        <w:t>.</w:t>
      </w:r>
    </w:p>
    <w:p w:rsidR="003B355D" w:rsidRDefault="003B355D" w:rsidP="003B355D">
      <w:pPr>
        <w:pStyle w:val="ListBullet"/>
        <w:numPr>
          <w:ilvl w:val="0"/>
          <w:numId w:val="0"/>
        </w:numPr>
      </w:pPr>
      <w:r>
        <w:t xml:space="preserve">While the focus here is </w:t>
      </w:r>
      <w:r w:rsidRPr="00341A19">
        <w:rPr>
          <w:i/>
        </w:rPr>
        <w:t xml:space="preserve">comparing </w:t>
      </w:r>
      <w:r w:rsidRPr="00547A94">
        <w:t>policies</w:t>
      </w:r>
      <w:r w:rsidRPr="00E32320">
        <w:t xml:space="preserve"> </w:t>
      </w:r>
      <w:r>
        <w:t xml:space="preserve">using cost effectiveness as a guide, this does not include an assessment of the benefits they provide. Benefits not measured include: the climate-related economic, health and environmental benefits of avoided warming; and specific co-benefits of policies, such as avoided air pollution due to reduced coal combustion. </w:t>
      </w:r>
    </w:p>
    <w:p w:rsidR="003B355D" w:rsidRDefault="003B355D" w:rsidP="003B355D">
      <w:r>
        <w:t xml:space="preserve">The key aspects of </w:t>
      </w:r>
      <w:r w:rsidRPr="005C792A">
        <w:rPr>
          <w:rStyle w:val="Textbold"/>
        </w:rPr>
        <w:t>environmental effectiveness</w:t>
      </w:r>
      <w:r>
        <w:t xml:space="preserve"> the Authority considers are</w:t>
      </w:r>
      <w:r w:rsidRPr="00A37597">
        <w:t xml:space="preserve"> </w:t>
      </w:r>
      <w:r>
        <w:t xml:space="preserve">how </w:t>
      </w:r>
      <w:r w:rsidR="006C4EAF">
        <w:t xml:space="preserve">overall </w:t>
      </w:r>
      <w:r>
        <w:t xml:space="preserve">emissions and emissions intensity change under the policy, and whether a policy can </w:t>
      </w:r>
      <w:r w:rsidRPr="00B663C0">
        <w:t xml:space="preserve">achieve </w:t>
      </w:r>
      <w:r>
        <w:t xml:space="preserve">the </w:t>
      </w:r>
      <w:r w:rsidRPr="00B663C0">
        <w:t>desired emissions reductions with certainty</w:t>
      </w:r>
      <w:r>
        <w:t>. Policy scalability and robustness are important here, as they are for cost</w:t>
      </w:r>
      <w:r w:rsidR="00CF02AB">
        <w:t xml:space="preserve"> </w:t>
      </w:r>
      <w:r>
        <w:t>effectiveness.</w:t>
      </w:r>
    </w:p>
    <w:p w:rsidR="009173C9" w:rsidRPr="002D2221" w:rsidRDefault="003B355D" w:rsidP="003B355D">
      <w:r>
        <w:t xml:space="preserve">The Authority’s consideration of </w:t>
      </w:r>
      <w:r w:rsidRPr="00B07DE6">
        <w:rPr>
          <w:rStyle w:val="Textbold"/>
        </w:rPr>
        <w:t>equity</w:t>
      </w:r>
      <w:r>
        <w:t xml:space="preserve"> includes the distribution of the costs and benefits of the policy, for example its impacts on household electricity costs, and </w:t>
      </w:r>
      <w:r w:rsidRPr="00457248">
        <w:t xml:space="preserve">profits of incumbent </w:t>
      </w:r>
      <w:r w:rsidRPr="006C7F13">
        <w:t>generators</w:t>
      </w:r>
      <w:r>
        <w:t>. Also relevant is whether a policy creates or consumes revenue (</w:t>
      </w:r>
      <w:r w:rsidR="00121CA7">
        <w:t xml:space="preserve">and in turn whether revenue is available </w:t>
      </w:r>
      <w:r>
        <w:t>for assisting affected groups).</w:t>
      </w:r>
    </w:p>
    <w:p w:rsidR="00F2173F" w:rsidRDefault="00F2173F" w:rsidP="00F2173F">
      <w:pPr>
        <w:pStyle w:val="ChapterHeading2"/>
        <w:numPr>
          <w:ilvl w:val="1"/>
          <w:numId w:val="15"/>
        </w:numPr>
      </w:pPr>
      <w:bookmarkStart w:id="380" w:name="_Toc444610046"/>
      <w:bookmarkStart w:id="381" w:name="_Ref446071167"/>
      <w:bookmarkStart w:id="382" w:name="_Ref447098248"/>
      <w:bookmarkStart w:id="383" w:name="_Ref447098252"/>
      <w:bookmarkStart w:id="384" w:name="_Ref447099238"/>
      <w:bookmarkStart w:id="385" w:name="_Ref447102118"/>
      <w:bookmarkStart w:id="386" w:name="_Ref447102153"/>
      <w:bookmarkStart w:id="387" w:name="_Ref447106901"/>
      <w:bookmarkStart w:id="388" w:name="_Toc447182441"/>
      <w:bookmarkStart w:id="389" w:name="_Toc447183286"/>
      <w:bookmarkStart w:id="390" w:name="_Toc447183360"/>
      <w:bookmarkStart w:id="391" w:name="_Toc447183398"/>
      <w:bookmarkStart w:id="392" w:name="_Toc447183486"/>
      <w:bookmarkStart w:id="393" w:name="_Toc447183545"/>
      <w:bookmarkStart w:id="394" w:name="_Toc447268018"/>
      <w:bookmarkStart w:id="395" w:name="_Ref447638818"/>
      <w:bookmarkStart w:id="396" w:name="_Ref447639041"/>
      <w:bookmarkStart w:id="397" w:name="_Ref447639063"/>
      <w:bookmarkStart w:id="398" w:name="_Toc448132694"/>
      <w:bookmarkStart w:id="399" w:name="_Toc448151754"/>
      <w:bookmarkStart w:id="400" w:name="_Toc448151822"/>
      <w:bookmarkStart w:id="401" w:name="_Ref448934831"/>
      <w:bookmarkStart w:id="402" w:name="_Ref448935494"/>
      <w:bookmarkStart w:id="403" w:name="_Ref448935616"/>
      <w:bookmarkStart w:id="404" w:name="_Ref448935811"/>
      <w:bookmarkStart w:id="405" w:name="_Ref448936969"/>
      <w:bookmarkStart w:id="406" w:name="_Ref449005941"/>
      <w:bookmarkStart w:id="407" w:name="_Ref449087719"/>
      <w:bookmarkStart w:id="408" w:name="_Toc460317992"/>
      <w:r>
        <w:lastRenderedPageBreak/>
        <w:t>Modelling commissioned for this Review</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7B38ED" w:rsidRDefault="007B38ED" w:rsidP="007B38ED">
      <w:pPr>
        <w:pStyle w:val="BodyText"/>
      </w:pPr>
      <w:r>
        <w:t>The Authority commissioned two sets of economic modelling to inform its consideration of policy options for Australia’s electricity supply sector. The modelling provides a quantitative comparison of policy options on a like</w:t>
      </w:r>
      <w:r>
        <w:noBreakHyphen/>
        <w:t>for</w:t>
      </w:r>
      <w:r>
        <w:noBreakHyphen/>
        <w:t>like basis. The Authority engaged:</w:t>
      </w:r>
    </w:p>
    <w:p w:rsidR="007B38ED" w:rsidRDefault="007B38ED" w:rsidP="007B38ED">
      <w:pPr>
        <w:pStyle w:val="ListBullet"/>
      </w:pPr>
      <w:r w:rsidRPr="00676E85">
        <w:t>Jacobs Group to undertake electricity market modelling</w:t>
      </w:r>
      <w:r>
        <w:t xml:space="preserve"> of a wide range of mitigation policy options</w:t>
      </w:r>
      <w:r w:rsidR="00121CA7">
        <w:t xml:space="preserve"> and</w:t>
      </w:r>
    </w:p>
    <w:p w:rsidR="007B38ED" w:rsidRDefault="007B38ED" w:rsidP="007B38ED">
      <w:pPr>
        <w:pStyle w:val="ListBullet"/>
      </w:pPr>
      <w:r>
        <w:t xml:space="preserve">Victoria University to undertake </w:t>
      </w:r>
      <w:r w:rsidRPr="00676E85">
        <w:t>computable general equilibrium (CGE) modelling</w:t>
      </w:r>
      <w:r>
        <w:t xml:space="preserve"> of the economy</w:t>
      </w:r>
      <w:r>
        <w:noBreakHyphen/>
        <w:t>wide implications of a subset of electricity sector mitigation policies.</w:t>
      </w:r>
    </w:p>
    <w:p w:rsidR="007B38ED" w:rsidRDefault="007B38ED" w:rsidP="007B38ED">
      <w:pPr>
        <w:pStyle w:val="ListBullet"/>
        <w:numPr>
          <w:ilvl w:val="0"/>
          <w:numId w:val="0"/>
        </w:numPr>
      </w:pPr>
      <w:r>
        <w:rPr>
          <w:lang w:val="en-US"/>
        </w:rPr>
        <w:t xml:space="preserve">Detailed reports with modelling results from Jacobs and Victoria University are available </w:t>
      </w:r>
      <w:r w:rsidRPr="00890566">
        <w:t xml:space="preserve">at </w:t>
      </w:r>
      <w:r w:rsidRPr="00C05A15">
        <w:t>www.climatechangeauthority.gov.au</w:t>
      </w:r>
      <w:r w:rsidRPr="00890566">
        <w:t>.</w:t>
      </w:r>
      <w:r>
        <w:t xml:space="preserve"> </w:t>
      </w:r>
    </w:p>
    <w:p w:rsidR="007B38ED" w:rsidRDefault="007B38ED" w:rsidP="007B38ED">
      <w:pPr>
        <w:pStyle w:val="ChapterHeading4"/>
        <w:numPr>
          <w:ilvl w:val="3"/>
          <w:numId w:val="15"/>
        </w:numPr>
      </w:pPr>
      <w:r>
        <w:t>Electricity market modelling</w:t>
      </w:r>
    </w:p>
    <w:p w:rsidR="007B38ED" w:rsidRDefault="007B38ED" w:rsidP="007B38ED">
      <w:pPr>
        <w:pStyle w:val="BodyText"/>
      </w:pPr>
      <w:r>
        <w:t>Jacobs’</w:t>
      </w:r>
      <w:r w:rsidRPr="00676E85">
        <w:t xml:space="preserve"> modelling compares the performance of a range of policies </w:t>
      </w:r>
      <w:r>
        <w:t>across measures including</w:t>
      </w:r>
      <w:r w:rsidRPr="00676E85">
        <w:t xml:space="preserve"> emissions, electricity prices, resource costs and their distribution.</w:t>
      </w:r>
      <w:r>
        <w:t xml:space="preserve"> </w:t>
      </w:r>
      <w:r w:rsidRPr="0058193B">
        <w:t xml:space="preserve">In order to </w:t>
      </w:r>
      <w:r>
        <w:t>facilitate a like</w:t>
      </w:r>
      <w:r>
        <w:noBreakHyphen/>
        <w:t>for</w:t>
      </w:r>
      <w:r>
        <w:noBreakHyphen/>
      </w:r>
      <w:r w:rsidRPr="0058193B">
        <w:t>like comparison of policies, the modelling</w:t>
      </w:r>
      <w:r>
        <w:t xml:space="preserve"> uses common input assumptions and</w:t>
      </w:r>
      <w:r w:rsidRPr="0058193B">
        <w:t xml:space="preserve"> constrains each policy scenario to achieve the same </w:t>
      </w:r>
      <w:r>
        <w:t>emissions budget over 2020 to 2050</w:t>
      </w:r>
      <w:r w:rsidRPr="0058193B">
        <w:t>.</w:t>
      </w:r>
      <w:r>
        <w:t xml:space="preserve"> T</w:t>
      </w:r>
      <w:r w:rsidRPr="0058193B">
        <w:t xml:space="preserve">he emissions </w:t>
      </w:r>
      <w:r>
        <w:t>budget was</w:t>
      </w:r>
      <w:r w:rsidRPr="0058193B">
        <w:t xml:space="preserve"> set at a level consistent with </w:t>
      </w:r>
      <w:r>
        <w:t xml:space="preserve">Australia and </w:t>
      </w:r>
      <w:r w:rsidRPr="0058193B">
        <w:t xml:space="preserve">the world taking action to limit global </w:t>
      </w:r>
      <w:r>
        <w:t>warming to no more than 2 </w:t>
      </w:r>
      <w:r w:rsidRPr="0058193B">
        <w:t>degrees</w:t>
      </w:r>
      <w:r>
        <w:t xml:space="preserve"> by the end of the century</w:t>
      </w:r>
      <w:r w:rsidRPr="0058193B">
        <w:t>.</w:t>
      </w:r>
      <w:r>
        <w:t xml:space="preserve"> </w:t>
      </w:r>
    </w:p>
    <w:p w:rsidR="007B38ED" w:rsidRDefault="007B38ED" w:rsidP="007B38ED">
      <w:pPr>
        <w:pStyle w:val="BodyText"/>
      </w:pPr>
      <w:r>
        <w:t>Jacobs modelled a range of polices, some of these policies will be more familiar (for example</w:t>
      </w:r>
      <w:r w:rsidR="004229E6">
        <w:t>,</w:t>
      </w:r>
      <w:r>
        <w:t xml:space="preserve"> a renewable energy target or cap and trade scheme); some maybe less so. These policies are explained in greater detail in </w:t>
      </w:r>
      <w:r w:rsidR="00CA762C">
        <w:t xml:space="preserve">Table </w:t>
      </w:r>
      <w:r w:rsidR="00CA762C">
        <w:rPr>
          <w:noProof/>
        </w:rPr>
        <w:t>3</w:t>
      </w:r>
      <w:r>
        <w:t>.</w:t>
      </w:r>
      <w:r>
        <w:rPr>
          <w:rStyle w:val="FootnoteReference"/>
        </w:rPr>
        <w:footnoteReference w:id="8"/>
      </w:r>
      <w:r>
        <w:t xml:space="preserve"> Jacobs also modelled the performance of policy combinations, and examined the robustness of policies through sensitivity analysis. The sensitivities </w:t>
      </w:r>
      <w:r w:rsidR="00121142">
        <w:t>were</w:t>
      </w:r>
      <w:r>
        <w:t xml:space="preserve"> chosen to assist in comparing the performance of policies only and should not be interpreted as policies the Authority would recommend. Sensitivities modelled were:</w:t>
      </w:r>
    </w:p>
    <w:p w:rsidR="007B38ED" w:rsidRDefault="007B38ED" w:rsidP="007B38ED">
      <w:pPr>
        <w:pStyle w:val="ListBullet"/>
      </w:pPr>
      <w:r>
        <w:t xml:space="preserve">Low demand—a shift to both lower demand drawn from the grid (that is, lower ‘operational’ demand, due to higher penetration of rooftop PV) and lower overall (‘underlying’) </w:t>
      </w:r>
      <w:r w:rsidRPr="005520DA">
        <w:t xml:space="preserve">electricity </w:t>
      </w:r>
      <w:r>
        <w:t>demand. Battery storage costs decline faster than in the core policy scenarios.</w:t>
      </w:r>
    </w:p>
    <w:p w:rsidR="007B38ED" w:rsidRDefault="007B38ED" w:rsidP="007B38ED">
      <w:pPr>
        <w:pStyle w:val="ListBullet"/>
      </w:pPr>
      <w:r>
        <w:t>High demand—underlying electricity demand grows faster, on average, than currently projected, for example due to electrification of the transport and industrial sectors.</w:t>
      </w:r>
    </w:p>
    <w:p w:rsidR="007B38ED" w:rsidRDefault="007B38ED" w:rsidP="007B38ED">
      <w:pPr>
        <w:pStyle w:val="ListBullet"/>
      </w:pPr>
      <w:r>
        <w:t xml:space="preserve">Technology sensitivity—nuclear, CCS and geothermal technologies never become available in Australia. Battery storage costs decline at the same rate as </w:t>
      </w:r>
      <w:r w:rsidR="00121142">
        <w:t xml:space="preserve">in </w:t>
      </w:r>
      <w:r>
        <w:t>the low demand scenario.</w:t>
      </w:r>
      <w:r w:rsidRPr="008D524C">
        <w:t xml:space="preserve"> </w:t>
      </w:r>
    </w:p>
    <w:p w:rsidR="007B38ED" w:rsidRDefault="007B38ED" w:rsidP="007B38ED">
      <w:pPr>
        <w:pStyle w:val="ListBullet"/>
      </w:pPr>
      <w:r w:rsidRPr="005520DA">
        <w:t xml:space="preserve">Weaker emissions </w:t>
      </w:r>
      <w:r>
        <w:t xml:space="preserve">budget—consistent with limiting warming to no more than 3 degrees. This scenario is included merely for the purpose of testing model sensitivity and does </w:t>
      </w:r>
      <w:r>
        <w:rPr>
          <w:u w:val="single"/>
        </w:rPr>
        <w:t>not</w:t>
      </w:r>
      <w:r>
        <w:t xml:space="preserve"> reflect the Authority’s endorsement of a three degree temperature increase as a policy objective.</w:t>
      </w:r>
    </w:p>
    <w:p w:rsidR="007B38ED" w:rsidRDefault="007B38ED" w:rsidP="007B38ED">
      <w:pPr>
        <w:pStyle w:val="BodyText"/>
      </w:pPr>
      <w:r>
        <w:t xml:space="preserve">The corresponding reference cases each assume that existing state policies, the Small-scale Renewable Energy Scheme and the 33,000 </w:t>
      </w:r>
      <w:proofErr w:type="spellStart"/>
      <w:r>
        <w:t>GWh</w:t>
      </w:r>
      <w:proofErr w:type="spellEnd"/>
      <w:r>
        <w:t xml:space="preserve"> Large-scale Renewable Energy Target remain in place.</w:t>
      </w:r>
    </w:p>
    <w:p w:rsidR="007B38ED" w:rsidRDefault="007B38ED" w:rsidP="007B38ED">
      <w:pPr>
        <w:pStyle w:val="BodyText"/>
      </w:pPr>
      <w:r>
        <w:t xml:space="preserve">Further details on the policies and policy combinations, reference cases and sensitivities are in </w:t>
      </w:r>
      <w:r w:rsidR="00CA762C">
        <w:t>Appendix C.1</w:t>
      </w:r>
      <w:r>
        <w:t>.</w:t>
      </w:r>
    </w:p>
    <w:p w:rsidR="007B38ED" w:rsidRDefault="007B38ED" w:rsidP="007B38ED">
      <w:pPr>
        <w:pStyle w:val="BodyText"/>
      </w:pPr>
      <w:r w:rsidRPr="00676E85">
        <w:lastRenderedPageBreak/>
        <w:t>It is important to note that the modelling does not aim to predict future outcomes; rather</w:t>
      </w:r>
      <w:r>
        <w:t xml:space="preserve"> it is intended to provide high</w:t>
      </w:r>
      <w:r>
        <w:noBreakHyphen/>
      </w:r>
      <w:r w:rsidRPr="00676E85">
        <w:t xml:space="preserve">level insights to inform </w:t>
      </w:r>
      <w:r>
        <w:t>policy</w:t>
      </w:r>
      <w:r w:rsidRPr="00676E85">
        <w:t xml:space="preserve"> choice.</w:t>
      </w:r>
      <w:r>
        <w:t xml:space="preserve"> This means that the modelling makes a range of assumptions and simplifications. For example, some details of the electricity sector that are important for short-term outcomes, but small in absolute terms over the period to 2050, are omitted. This does not materially affect policy comparisons. Where the assumptions are most important for making policy comparisons—such as the level of electricity demand or th</w:t>
      </w:r>
      <w:r w:rsidR="00121142">
        <w:t>e availability of technologies—</w:t>
      </w:r>
      <w:r>
        <w:t>Jacobs’ work in the sensitivity scenarios explores how the performance of policies change when assumptions are varied.</w:t>
      </w:r>
    </w:p>
    <w:p w:rsidR="006F392D" w:rsidRPr="002650C8" w:rsidRDefault="007B38ED" w:rsidP="007B38ED">
      <w:pPr>
        <w:pStyle w:val="BodyText"/>
        <w:rPr>
          <w:lang w:val="en-GB" w:eastAsia="en-AU"/>
        </w:rPr>
      </w:pPr>
      <w:r>
        <w:t xml:space="preserve">To test the robustness of the policy comparisons in Jacobs’ modelling, the Authority commissioned </w:t>
      </w:r>
      <w:proofErr w:type="spellStart"/>
      <w:r>
        <w:t>HoustonKemp</w:t>
      </w:r>
      <w:proofErr w:type="spellEnd"/>
      <w:r>
        <w:t xml:space="preserve"> to undertake an independent peer review. </w:t>
      </w:r>
      <w:proofErr w:type="spellStart"/>
      <w:r>
        <w:t>HoustonKemp</w:t>
      </w:r>
      <w:proofErr w:type="spellEnd"/>
      <w:r w:rsidRPr="00E6416A">
        <w:t xml:space="preserve"> </w:t>
      </w:r>
      <w:r>
        <w:t>assessed</w:t>
      </w:r>
      <w:r w:rsidRPr="00E6416A">
        <w:t xml:space="preserve"> </w:t>
      </w:r>
      <w:r>
        <w:t>whether</w:t>
      </w:r>
      <w:r w:rsidRPr="00E6416A">
        <w:t xml:space="preserve"> the assumptions and approach </w:t>
      </w:r>
      <w:r>
        <w:t>might</w:t>
      </w:r>
      <w:r w:rsidRPr="00E6416A">
        <w:t xml:space="preserve"> advantage one policy option over another. Overall, </w:t>
      </w:r>
      <w:proofErr w:type="spellStart"/>
      <w:r w:rsidRPr="00E6416A">
        <w:t>HoustonKemp</w:t>
      </w:r>
      <w:proofErr w:type="spellEnd"/>
      <w:r>
        <w:t xml:space="preserve"> </w:t>
      </w:r>
      <w:r w:rsidRPr="00E6416A">
        <w:t>found that the modelling had been conducted to a high standard</w:t>
      </w:r>
      <w:r>
        <w:t xml:space="preserve"> of rigour and that the critical policy comparisons drawn by Jacobs were robust </w:t>
      </w:r>
      <w:bookmarkStart w:id="409" w:name="_CTVP0017acf5fd04b81417785c34e64c6e3ede8"/>
      <w:r w:rsidR="0059109A">
        <w:t>(</w:t>
      </w:r>
      <w:proofErr w:type="spellStart"/>
      <w:r w:rsidR="0059109A">
        <w:t>HoustonKemp</w:t>
      </w:r>
      <w:proofErr w:type="spellEnd"/>
      <w:r w:rsidR="0059109A">
        <w:t> 2016)</w:t>
      </w:r>
      <w:bookmarkEnd w:id="409"/>
      <w:r>
        <w:t xml:space="preserve">. </w:t>
      </w:r>
      <w:r w:rsidR="00CA762C">
        <w:t>Appendix C.2</w:t>
      </w:r>
      <w:r w:rsidR="008E5784">
        <w:t xml:space="preserve"> </w:t>
      </w:r>
      <w:r>
        <w:t>provides further details on the peer review.</w:t>
      </w:r>
    </w:p>
    <w:p w:rsidR="00391FE0" w:rsidRDefault="00391FE0" w:rsidP="00391FE0">
      <w:pPr>
        <w:pStyle w:val="ChapterHeading4"/>
        <w:numPr>
          <w:ilvl w:val="3"/>
          <w:numId w:val="15"/>
        </w:numPr>
      </w:pPr>
      <w:r>
        <w:t>Economy-wide modelling</w:t>
      </w:r>
    </w:p>
    <w:p w:rsidR="005F575B" w:rsidRDefault="005F575B" w:rsidP="005F575B">
      <w:pPr>
        <w:pStyle w:val="BodyText"/>
        <w:rPr>
          <w:lang w:val="en-GB" w:eastAsia="en-AU"/>
        </w:rPr>
      </w:pPr>
      <w:r>
        <w:rPr>
          <w:lang w:val="en-GB" w:eastAsia="en-AU"/>
        </w:rPr>
        <w:t>Electricity sector policies will have effects on the broader economy that are not captured by electricity sector modelling. These effects could change the relative ranking of policy options examined in the electricity market modelling</w:t>
      </w:r>
      <w:r w:rsidR="004229E6">
        <w:rPr>
          <w:lang w:val="en-GB" w:eastAsia="en-AU"/>
        </w:rPr>
        <w:t>,</w:t>
      </w:r>
      <w:r>
        <w:rPr>
          <w:lang w:val="en-GB" w:eastAsia="en-AU"/>
        </w:rPr>
        <w:t xml:space="preserve"> so are relevant for comparing the performance of electricity sector climate policies. </w:t>
      </w:r>
    </w:p>
    <w:p w:rsidR="005F575B" w:rsidRDefault="005F575B" w:rsidP="005F575B">
      <w:pPr>
        <w:pStyle w:val="BodyText"/>
        <w:rPr>
          <w:lang w:val="en-GB" w:eastAsia="en-AU"/>
        </w:rPr>
      </w:pPr>
      <w:r>
        <w:rPr>
          <w:lang w:val="en-GB" w:eastAsia="en-AU"/>
        </w:rPr>
        <w:t xml:space="preserve">Two particular effects might change the relative cost effectiveness of different </w:t>
      </w:r>
      <w:r w:rsidR="00C10CAE">
        <w:rPr>
          <w:lang w:val="en-GB" w:eastAsia="en-AU"/>
        </w:rPr>
        <w:t>market mechanisms</w:t>
      </w:r>
      <w:r>
        <w:rPr>
          <w:lang w:val="en-GB" w:eastAsia="en-AU"/>
        </w:rPr>
        <w:t>. These are:</w:t>
      </w:r>
    </w:p>
    <w:p w:rsidR="005F575B" w:rsidRDefault="005F575B" w:rsidP="005F575B">
      <w:pPr>
        <w:pStyle w:val="ListBullet"/>
        <w:rPr>
          <w:lang w:val="en-GB" w:eastAsia="en-AU"/>
        </w:rPr>
      </w:pPr>
      <w:r>
        <w:rPr>
          <w:lang w:val="en-GB"/>
        </w:rPr>
        <w:t>tax interaction effects</w:t>
      </w:r>
    </w:p>
    <w:p w:rsidR="005F575B" w:rsidRDefault="005F575B" w:rsidP="005F575B">
      <w:pPr>
        <w:pStyle w:val="ListBullet"/>
        <w:rPr>
          <w:lang w:val="en-GB" w:eastAsia="en-AU"/>
        </w:rPr>
      </w:pPr>
      <w:proofErr w:type="gramStart"/>
      <w:r>
        <w:rPr>
          <w:lang w:val="en-GB"/>
        </w:rPr>
        <w:t>revenue</w:t>
      </w:r>
      <w:proofErr w:type="gramEnd"/>
      <w:r>
        <w:rPr>
          <w:lang w:val="en-GB"/>
        </w:rPr>
        <w:t xml:space="preserve"> recycling.</w:t>
      </w:r>
      <w:r>
        <w:rPr>
          <w:rStyle w:val="FootnoteReference"/>
          <w:lang w:val="en-GB"/>
        </w:rPr>
        <w:footnoteReference w:id="9"/>
      </w:r>
      <w:r>
        <w:rPr>
          <w:lang w:val="en-GB"/>
        </w:rPr>
        <w:t xml:space="preserve"> </w:t>
      </w:r>
    </w:p>
    <w:p w:rsidR="00B50DE0" w:rsidRPr="00C76F38" w:rsidRDefault="00B50DE0" w:rsidP="00610361">
      <w:pPr>
        <w:pStyle w:val="BodyText"/>
      </w:pPr>
      <w:r w:rsidRPr="00C76F38">
        <w:t xml:space="preserve">Taxes are necessary for governments to fund </w:t>
      </w:r>
      <w:r w:rsidR="008E5784">
        <w:t>their</w:t>
      </w:r>
      <w:r w:rsidRPr="00C76F38">
        <w:t xml:space="preserve"> spending programs. However, in general, taxes discourage economic activity and, hence reduce economic value. For example, income tax will, at some point, discourage people from working. If people work less this reduces economic activity and diminishes the value of the economy. Corporate taxes have a similar effect on discouraging activity. At some point taxes on the profit of firms will discourage investors from taking investment risks because taxes erode too much o</w:t>
      </w:r>
      <w:r>
        <w:t>f the returns. If investors do no</w:t>
      </w:r>
      <w:r w:rsidRPr="00C76F38">
        <w:t xml:space="preserve">t devote resources to building new business this will diminish the value of the economy because there will be fewer jobs and less innovation. </w:t>
      </w:r>
    </w:p>
    <w:p w:rsidR="002B3CB2" w:rsidRPr="00610361" w:rsidRDefault="00B50DE0" w:rsidP="00610361">
      <w:pPr>
        <w:pStyle w:val="BodyText"/>
      </w:pPr>
      <w:r w:rsidRPr="00C76F38">
        <w:t xml:space="preserve">Emissions reduction policies that have the effect of increasing energy prices act like a tax in that they raise the price of goods and services and this reduces either disposable income or investor returns. The fact that this effect comes on top of existing taxes means that the lost economic value is magnified because the additional impost discourages even more valuable consumption and lower cost production. This magnification of lost economic value due to emissions reduction policies being imposed as well as </w:t>
      </w:r>
      <w:r>
        <w:t>existing taxes is known as the ‘tax interaction effect’</w:t>
      </w:r>
      <w:r w:rsidRPr="00C76F38">
        <w:t>.</w:t>
      </w:r>
      <w:r w:rsidR="002B3CB2" w:rsidRPr="00610361">
        <w:t xml:space="preserve"> </w:t>
      </w:r>
    </w:p>
    <w:p w:rsidR="005F575B" w:rsidRDefault="005F575B" w:rsidP="005F575B">
      <w:pPr>
        <w:pStyle w:val="BodyText"/>
        <w:rPr>
          <w:lang w:val="en-GB"/>
        </w:rPr>
      </w:pPr>
      <w:r>
        <w:rPr>
          <w:lang w:val="en-GB"/>
        </w:rPr>
        <w:t xml:space="preserve">Revenue recycling refers to how governments use revenue raised by emissions reduction policies. Some policies raise substantial revenue to recycle; other policies do not. Further, the manner in which revenue is recycled can have important economic effects: using revenue to cut existing taxes is likely to increase economic output more than making ‘lump sum’ payments to households. </w:t>
      </w:r>
      <w:r w:rsidR="002B3CB2">
        <w:rPr>
          <w:lang w:val="en-GB"/>
        </w:rPr>
        <w:t>L</w:t>
      </w:r>
      <w:r>
        <w:rPr>
          <w:lang w:val="en-GB"/>
        </w:rPr>
        <w:t xml:space="preserve">ump sum payments </w:t>
      </w:r>
      <w:r>
        <w:rPr>
          <w:lang w:val="en-GB"/>
        </w:rPr>
        <w:lastRenderedPageBreak/>
        <w:t xml:space="preserve">are payments </w:t>
      </w:r>
      <w:r w:rsidR="00A2138E">
        <w:rPr>
          <w:lang w:val="en-GB"/>
        </w:rPr>
        <w:t>such as pensions</w:t>
      </w:r>
      <w:r>
        <w:rPr>
          <w:lang w:val="en-GB"/>
        </w:rPr>
        <w:t>. While they return government revenue to households,</w:t>
      </w:r>
      <w:r w:rsidR="00B969E3">
        <w:rPr>
          <w:lang w:val="en-GB"/>
        </w:rPr>
        <w:t xml:space="preserve"> resulting in an increase in consumption,</w:t>
      </w:r>
      <w:r>
        <w:rPr>
          <w:lang w:val="en-GB"/>
        </w:rPr>
        <w:t xml:space="preserve"> they have a minimal effect on economic efficiency. </w:t>
      </w:r>
    </w:p>
    <w:p w:rsidR="005F575B" w:rsidRDefault="005F575B" w:rsidP="005F575B">
      <w:pPr>
        <w:pStyle w:val="BodyText"/>
        <w:rPr>
          <w:lang w:val="en-GB" w:eastAsia="en-AU"/>
        </w:rPr>
      </w:pPr>
      <w:r>
        <w:rPr>
          <w:lang w:val="en-GB" w:eastAsia="en-AU"/>
        </w:rPr>
        <w:t xml:space="preserve">To examine these economy-wide effects and ensure they are considered in its assessment of policy options, the Authority commissioned Victoria University to undertake economy-wide CGE modelling of different </w:t>
      </w:r>
      <w:r w:rsidR="00C10CAE">
        <w:rPr>
          <w:lang w:val="en-GB" w:eastAsia="en-AU"/>
        </w:rPr>
        <w:t>market mechanisms</w:t>
      </w:r>
      <w:r>
        <w:rPr>
          <w:lang w:val="en-GB" w:eastAsia="en-AU"/>
        </w:rPr>
        <w:t xml:space="preserve">. The modelling projects the overall impact of </w:t>
      </w:r>
      <w:r w:rsidR="00A2138E">
        <w:rPr>
          <w:lang w:val="en-GB" w:eastAsia="en-AU"/>
        </w:rPr>
        <w:t xml:space="preserve">electricity sector climate </w:t>
      </w:r>
      <w:r>
        <w:rPr>
          <w:lang w:val="en-GB" w:eastAsia="en-AU"/>
        </w:rPr>
        <w:t>policies on economic activity</w:t>
      </w:r>
      <w:r w:rsidR="00A2138E">
        <w:rPr>
          <w:lang w:val="en-GB" w:eastAsia="en-AU"/>
        </w:rPr>
        <w:t xml:space="preserve"> across the economy</w:t>
      </w:r>
      <w:r>
        <w:rPr>
          <w:lang w:val="en-GB" w:eastAsia="en-AU"/>
        </w:rPr>
        <w:t xml:space="preserve"> (as measured by </w:t>
      </w:r>
      <w:r w:rsidR="00835BC3">
        <w:rPr>
          <w:lang w:val="en-GB" w:eastAsia="en-AU"/>
        </w:rPr>
        <w:t>GDP</w:t>
      </w:r>
      <w:r>
        <w:rPr>
          <w:lang w:val="en-GB" w:eastAsia="en-AU"/>
        </w:rPr>
        <w:t xml:space="preserve"> and </w:t>
      </w:r>
      <w:r w:rsidR="00835BC3">
        <w:rPr>
          <w:lang w:val="en-GB" w:eastAsia="en-AU"/>
        </w:rPr>
        <w:t>GNI</w:t>
      </w:r>
      <w:r>
        <w:rPr>
          <w:lang w:val="en-GB" w:eastAsia="en-AU"/>
        </w:rPr>
        <w:t xml:space="preserve">), employment, </w:t>
      </w:r>
      <w:proofErr w:type="gramStart"/>
      <w:r>
        <w:rPr>
          <w:lang w:val="en-GB" w:eastAsia="en-AU"/>
        </w:rPr>
        <w:t>investment</w:t>
      </w:r>
      <w:proofErr w:type="gramEnd"/>
      <w:r>
        <w:rPr>
          <w:lang w:val="en-GB" w:eastAsia="en-AU"/>
        </w:rPr>
        <w:t xml:space="preserve"> and trade outcomes. </w:t>
      </w:r>
    </w:p>
    <w:p w:rsidR="005F575B" w:rsidRDefault="005F575B" w:rsidP="005F575B">
      <w:pPr>
        <w:pStyle w:val="BodyText"/>
        <w:rPr>
          <w:lang w:val="en-GB" w:eastAsia="en-AU"/>
        </w:rPr>
      </w:pPr>
      <w:r>
        <w:rPr>
          <w:lang w:val="en-GB" w:eastAsia="en-AU"/>
        </w:rPr>
        <w:t>Victoria University modelled three policy scenarios to examine these effects. These are:</w:t>
      </w:r>
    </w:p>
    <w:p w:rsidR="005F575B" w:rsidRDefault="00977188" w:rsidP="005F575B">
      <w:pPr>
        <w:pStyle w:val="ListBullet"/>
        <w:rPr>
          <w:lang w:val="en-GB"/>
        </w:rPr>
      </w:pPr>
      <w:r>
        <w:rPr>
          <w:lang w:val="en-GB"/>
        </w:rPr>
        <w:t>a cap and trade scheme</w:t>
      </w:r>
      <w:r w:rsidR="005F575B">
        <w:rPr>
          <w:lang w:val="en-GB"/>
        </w:rPr>
        <w:t xml:space="preserve"> with lump sum revenue recycling (‘cap and trade </w:t>
      </w:r>
      <w:r w:rsidR="00D60900">
        <w:rPr>
          <w:lang w:val="en-GB"/>
        </w:rPr>
        <w:t>(</w:t>
      </w:r>
      <w:r w:rsidR="005F575B">
        <w:rPr>
          <w:lang w:val="en-GB"/>
        </w:rPr>
        <w:t>lump sum</w:t>
      </w:r>
      <w:r w:rsidR="00D60900">
        <w:rPr>
          <w:lang w:val="en-GB"/>
        </w:rPr>
        <w:t>)</w:t>
      </w:r>
      <w:r w:rsidR="005F575B">
        <w:rPr>
          <w:lang w:val="en-GB"/>
        </w:rPr>
        <w:t>’)</w:t>
      </w:r>
    </w:p>
    <w:p w:rsidR="005F575B" w:rsidRDefault="005F575B" w:rsidP="005F575B">
      <w:pPr>
        <w:pStyle w:val="ListBullet"/>
        <w:rPr>
          <w:lang w:val="en-GB"/>
        </w:rPr>
      </w:pPr>
      <w:r>
        <w:rPr>
          <w:lang w:val="en-GB"/>
        </w:rPr>
        <w:t xml:space="preserve">a cap and trade scheme with revenue recycling through tax cuts (‘cap and trade </w:t>
      </w:r>
      <w:r w:rsidR="00D60900">
        <w:rPr>
          <w:lang w:val="en-GB"/>
        </w:rPr>
        <w:t>(</w:t>
      </w:r>
      <w:r>
        <w:rPr>
          <w:lang w:val="en-GB"/>
        </w:rPr>
        <w:t>tax cuts</w:t>
      </w:r>
      <w:r w:rsidR="00D60900">
        <w:rPr>
          <w:lang w:val="en-GB"/>
        </w:rPr>
        <w:t>)</w:t>
      </w:r>
      <w:r>
        <w:rPr>
          <w:lang w:val="en-GB"/>
        </w:rPr>
        <w:t>’) and</w:t>
      </w:r>
    </w:p>
    <w:p w:rsidR="005F575B" w:rsidRDefault="005F575B" w:rsidP="005F575B">
      <w:pPr>
        <w:pStyle w:val="ListBullet"/>
        <w:rPr>
          <w:lang w:val="en-GB"/>
        </w:rPr>
      </w:pPr>
      <w:proofErr w:type="gramStart"/>
      <w:r>
        <w:rPr>
          <w:lang w:val="en-GB"/>
        </w:rPr>
        <w:t>an</w:t>
      </w:r>
      <w:proofErr w:type="gramEnd"/>
      <w:r>
        <w:rPr>
          <w:lang w:val="en-GB"/>
        </w:rPr>
        <w:t xml:space="preserve"> emissions intensity scheme.</w:t>
      </w:r>
    </w:p>
    <w:p w:rsidR="005F575B" w:rsidRDefault="005F575B" w:rsidP="00835BC3">
      <w:pPr>
        <w:pStyle w:val="BodyText"/>
        <w:rPr>
          <w:lang w:val="en-GB" w:eastAsia="en-AU"/>
        </w:rPr>
      </w:pPr>
      <w:r>
        <w:rPr>
          <w:lang w:val="en-GB" w:eastAsia="en-AU"/>
        </w:rPr>
        <w:t xml:space="preserve">When comparing between scenarios the cap and trade (lump sum) scenario is used as the reference case. </w:t>
      </w:r>
    </w:p>
    <w:p w:rsidR="005F575B" w:rsidRDefault="005F575B" w:rsidP="00835BC3">
      <w:pPr>
        <w:pStyle w:val="BodyText"/>
        <w:rPr>
          <w:lang w:val="en-GB" w:eastAsia="en-AU"/>
        </w:rPr>
      </w:pPr>
      <w:r>
        <w:rPr>
          <w:lang w:val="en-GB" w:eastAsia="en-AU"/>
        </w:rPr>
        <w:t>Com</w:t>
      </w:r>
      <w:r w:rsidR="004229E6">
        <w:rPr>
          <w:lang w:val="en-GB" w:eastAsia="en-AU"/>
        </w:rPr>
        <w:t xml:space="preserve">paring results from the two cap and </w:t>
      </w:r>
      <w:proofErr w:type="gramStart"/>
      <w:r>
        <w:rPr>
          <w:lang w:val="en-GB" w:eastAsia="en-AU"/>
        </w:rPr>
        <w:t>trade scenarios illustrates</w:t>
      </w:r>
      <w:proofErr w:type="gramEnd"/>
      <w:r>
        <w:rPr>
          <w:lang w:val="en-GB" w:eastAsia="en-AU"/>
        </w:rPr>
        <w:t xml:space="preserve"> the economic effects of recycling revenue in different ways. Using carbon revenue to fund tax cuts will tend to improve economic efficiency when compared to returning it to households through lump sum payments. </w:t>
      </w:r>
    </w:p>
    <w:p w:rsidR="005F575B" w:rsidRDefault="005F575B" w:rsidP="00835BC3">
      <w:pPr>
        <w:pStyle w:val="BodyText"/>
        <w:rPr>
          <w:lang w:val="en-GB" w:eastAsia="en-AU"/>
        </w:rPr>
      </w:pPr>
      <w:r>
        <w:rPr>
          <w:lang w:val="en-GB" w:eastAsia="en-AU"/>
        </w:rPr>
        <w:t>Comparing the emissions intensity and cap</w:t>
      </w:r>
      <w:r w:rsidR="004229E6">
        <w:rPr>
          <w:lang w:val="en-GB" w:eastAsia="en-AU"/>
        </w:rPr>
        <w:t xml:space="preserve"> and </w:t>
      </w:r>
      <w:r>
        <w:rPr>
          <w:lang w:val="en-GB" w:eastAsia="en-AU"/>
        </w:rPr>
        <w:t>trade (lump sum) scenarios provides insights into the size of the tax interaction effect. An emissions intensity scheme tends to have a smaller impact on electricity prices than a cap and trade scheme or a carbon tax, and so is likely to cause smaller tax interaction effects</w:t>
      </w:r>
      <w:r w:rsidR="009B1ED4">
        <w:rPr>
          <w:lang w:val="en-GB" w:eastAsia="en-AU"/>
        </w:rPr>
        <w:t>,</w:t>
      </w:r>
      <w:r w:rsidR="009B1ED4" w:rsidRPr="009B1ED4">
        <w:rPr>
          <w:lang w:val="en-GB" w:eastAsia="en-AU"/>
        </w:rPr>
        <w:t xml:space="preserve"> </w:t>
      </w:r>
      <w:r w:rsidR="009B1ED4">
        <w:rPr>
          <w:lang w:val="en-GB" w:eastAsia="en-AU"/>
        </w:rPr>
        <w:t>and a smaller effect on economic activity</w:t>
      </w:r>
      <w:r>
        <w:rPr>
          <w:lang w:val="en-GB" w:eastAsia="en-AU"/>
        </w:rPr>
        <w:t xml:space="preserve">. </w:t>
      </w:r>
    </w:p>
    <w:p w:rsidR="007232F2" w:rsidRDefault="005F575B" w:rsidP="00835BC3">
      <w:pPr>
        <w:pStyle w:val="BodyText"/>
        <w:rPr>
          <w:lang w:val="en-GB" w:eastAsia="en-AU"/>
        </w:rPr>
      </w:pPr>
      <w:r>
        <w:rPr>
          <w:lang w:val="en-GB" w:eastAsia="en-AU"/>
        </w:rPr>
        <w:t xml:space="preserve">The three scenarios are summarised in </w:t>
      </w:r>
      <w:r w:rsidR="00CA762C" w:rsidRPr="00CA762C">
        <w:rPr>
          <w:lang w:val="en-GB" w:eastAsia="en-AU"/>
        </w:rPr>
        <w:t>Table 4</w:t>
      </w:r>
      <w:r>
        <w:rPr>
          <w:lang w:val="en-GB" w:eastAsia="en-AU"/>
        </w:rPr>
        <w:t>.</w:t>
      </w:r>
    </w:p>
    <w:p w:rsidR="007232F2" w:rsidRDefault="007232F2" w:rsidP="007232F2">
      <w:pPr>
        <w:pStyle w:val="BodyText"/>
        <w:rPr>
          <w:lang w:val="en-GB" w:eastAsia="en-AU"/>
        </w:rPr>
      </w:pPr>
      <w:r>
        <w:rPr>
          <w:lang w:val="en-GB" w:eastAsia="en-AU"/>
        </w:rPr>
        <w:t>The policy scenarios are the same as or closely based upon electricity sector modelling scenarios consistent with limiting temperature increases to no more than 2 degrees. Changes were made to the scenario design where they were important for making a like-for-like comparison between policies at the economy-wide level. The main changes were:</w:t>
      </w:r>
    </w:p>
    <w:p w:rsidR="007232F2" w:rsidRDefault="007232F2" w:rsidP="007232F2">
      <w:pPr>
        <w:pStyle w:val="ListBullet"/>
        <w:rPr>
          <w:lang w:val="en-GB"/>
        </w:rPr>
      </w:pPr>
      <w:r>
        <w:rPr>
          <w:lang w:val="en-GB" w:eastAsia="en-AU"/>
        </w:rPr>
        <w:t xml:space="preserve">The carbon price used in all three scenarios was the same. </w:t>
      </w:r>
      <w:r>
        <w:t>This approach makes it easier to compare the economy-wide effects of</w:t>
      </w:r>
      <w:r w:rsidR="00C10CAE">
        <w:t xml:space="preserve"> market mechanisms</w:t>
      </w:r>
      <w:r>
        <w:t>.</w:t>
      </w:r>
    </w:p>
    <w:p w:rsidR="005F575B" w:rsidRPr="00431EC3" w:rsidRDefault="007232F2" w:rsidP="00431EC3">
      <w:pPr>
        <w:pStyle w:val="ListBullet"/>
      </w:pPr>
      <w:r w:rsidRPr="00431EC3">
        <w:t>Australia can purchase international permits</w:t>
      </w:r>
      <w:r w:rsidR="000A09B8">
        <w:t xml:space="preserve"> or credits</w:t>
      </w:r>
      <w:r w:rsidRPr="00431EC3">
        <w:t xml:space="preserve"> at the prevailing carbon price. Using the same carbon price means that Australian domestic emissions may vary between scenarios. To allow</w:t>
      </w:r>
      <w:r w:rsidR="00431EC3">
        <w:t xml:space="preserve"> a like</w:t>
      </w:r>
      <w:r w:rsidR="00431EC3">
        <w:noBreakHyphen/>
        <w:t>for</w:t>
      </w:r>
      <w:r w:rsidR="00431EC3">
        <w:noBreakHyphen/>
      </w:r>
      <w:r w:rsidRPr="00431EC3">
        <w:t xml:space="preserve">like policy comparison, differences in costs between the scenarios must be due to differences in policy design rather than in their level of emissions reductions. This is achieved by allowing purchases of international </w:t>
      </w:r>
      <w:r w:rsidR="00022B76" w:rsidRPr="00431EC3">
        <w:t>permits</w:t>
      </w:r>
      <w:r w:rsidR="00022B76">
        <w:t xml:space="preserve"> or credits</w:t>
      </w:r>
      <w:r w:rsidRPr="00431EC3">
        <w:t xml:space="preserve"> so that the scenarios achieve a common net national emissions budget.</w:t>
      </w:r>
      <w:r w:rsidR="005F575B" w:rsidRPr="00431EC3">
        <w:t xml:space="preserve"> </w:t>
      </w:r>
    </w:p>
    <w:p w:rsidR="005F575B" w:rsidRDefault="005F575B" w:rsidP="007232F2">
      <w:pPr>
        <w:pStyle w:val="Caption"/>
        <w:keepLines/>
      </w:pPr>
      <w:bookmarkStart w:id="410" w:name="_Ref444093405"/>
      <w:bookmarkStart w:id="411" w:name="_Toc444003671"/>
      <w:bookmarkStart w:id="412" w:name="_Toc444162835"/>
      <w:bookmarkStart w:id="413" w:name="_Toc447099961"/>
      <w:bookmarkStart w:id="414" w:name="_Toc447641410"/>
      <w:bookmarkStart w:id="415" w:name="_Toc460318072"/>
      <w:r>
        <w:lastRenderedPageBreak/>
        <w:t xml:space="preserve">Table </w:t>
      </w:r>
      <w:r w:rsidR="00CA762C">
        <w:rPr>
          <w:noProof/>
        </w:rPr>
        <w:t>4</w:t>
      </w:r>
      <w:bookmarkEnd w:id="410"/>
      <w:r w:rsidR="00A6425D">
        <w:tab/>
      </w:r>
      <w:r>
        <w:t>Summary of CGE modelling policy scenarios</w:t>
      </w:r>
      <w:bookmarkEnd w:id="411"/>
      <w:bookmarkEnd w:id="412"/>
      <w:bookmarkEnd w:id="413"/>
      <w:bookmarkEnd w:id="414"/>
      <w:bookmarkEnd w:id="415"/>
    </w:p>
    <w:tbl>
      <w:tblPr>
        <w:tblStyle w:val="CCATable"/>
        <w:tblW w:w="0" w:type="auto"/>
        <w:tblLook w:val="04A0" w:firstRow="1" w:lastRow="0" w:firstColumn="1" w:lastColumn="0" w:noHBand="0" w:noVBand="1"/>
      </w:tblPr>
      <w:tblGrid>
        <w:gridCol w:w="2093"/>
        <w:gridCol w:w="2410"/>
        <w:gridCol w:w="2551"/>
        <w:gridCol w:w="2693"/>
      </w:tblGrid>
      <w:tr w:rsidR="005F575B" w:rsidTr="00CE47F4">
        <w:trPr>
          <w:cnfStyle w:val="100000000000" w:firstRow="1" w:lastRow="0" w:firstColumn="0" w:lastColumn="0" w:oddVBand="0" w:evenVBand="0" w:oddHBand="0" w:evenHBand="0" w:firstRowFirstColumn="0" w:firstRowLastColumn="0" w:lastRowFirstColumn="0" w:lastRowLastColumn="0"/>
          <w:cantSplit/>
          <w:tblHeader w:val="0"/>
        </w:trPr>
        <w:tc>
          <w:tcPr>
            <w:tcW w:w="2093" w:type="dxa"/>
          </w:tcPr>
          <w:p w:rsidR="005F575B" w:rsidRPr="000C120B" w:rsidRDefault="005F575B" w:rsidP="007232F2">
            <w:pPr>
              <w:pStyle w:val="TableHeading"/>
            </w:pPr>
            <w:r w:rsidRPr="000C120B">
              <w:t>Policy</w:t>
            </w:r>
            <w:r>
              <w:t xml:space="preserve"> scenario</w:t>
            </w:r>
          </w:p>
        </w:tc>
        <w:tc>
          <w:tcPr>
            <w:tcW w:w="2410" w:type="dxa"/>
          </w:tcPr>
          <w:p w:rsidR="005F575B" w:rsidRPr="000C120B" w:rsidRDefault="005F575B" w:rsidP="007232F2">
            <w:pPr>
              <w:pStyle w:val="TableHeading"/>
            </w:pPr>
            <w:r>
              <w:t>Treatment of electricity sector</w:t>
            </w:r>
          </w:p>
        </w:tc>
        <w:tc>
          <w:tcPr>
            <w:tcW w:w="2551" w:type="dxa"/>
          </w:tcPr>
          <w:p w:rsidR="005F575B" w:rsidRPr="000C120B" w:rsidRDefault="005F575B" w:rsidP="007232F2">
            <w:pPr>
              <w:pStyle w:val="TableHeading"/>
            </w:pPr>
            <w:r>
              <w:t>Treatment of other emitting sectors</w:t>
            </w:r>
          </w:p>
        </w:tc>
        <w:tc>
          <w:tcPr>
            <w:tcW w:w="2693" w:type="dxa"/>
          </w:tcPr>
          <w:p w:rsidR="005F575B" w:rsidRPr="000C120B" w:rsidRDefault="005F575B" w:rsidP="007232F2">
            <w:pPr>
              <w:pStyle w:val="TableHeading"/>
            </w:pPr>
            <w:r>
              <w:t>Treatment of carbon price revenue</w:t>
            </w:r>
          </w:p>
        </w:tc>
      </w:tr>
      <w:tr w:rsidR="005F575B" w:rsidTr="00CE47F4">
        <w:trPr>
          <w:cnfStyle w:val="000000100000" w:firstRow="0" w:lastRow="0" w:firstColumn="0" w:lastColumn="0" w:oddVBand="0" w:evenVBand="0" w:oddHBand="1" w:evenHBand="0" w:firstRowFirstColumn="0" w:firstRowLastColumn="0" w:lastRowFirstColumn="0" w:lastRowLastColumn="0"/>
        </w:trPr>
        <w:tc>
          <w:tcPr>
            <w:tcW w:w="2093" w:type="dxa"/>
          </w:tcPr>
          <w:p w:rsidR="005F575B" w:rsidRDefault="005F575B" w:rsidP="007232F2">
            <w:pPr>
              <w:pStyle w:val="TableText"/>
            </w:pPr>
            <w:r>
              <w:t>Cap and trade with lump sum revenue recycling</w:t>
            </w:r>
          </w:p>
          <w:p w:rsidR="005F575B" w:rsidRDefault="005F575B" w:rsidP="007232F2">
            <w:pPr>
              <w:pStyle w:val="TableText"/>
            </w:pPr>
            <w:r>
              <w:t>(</w:t>
            </w:r>
            <w:r w:rsidR="00D60900">
              <w:t>‘</w:t>
            </w:r>
            <w:r>
              <w:t xml:space="preserve">cap and trade </w:t>
            </w:r>
            <w:r w:rsidR="00D60900">
              <w:t>(</w:t>
            </w:r>
            <w:r>
              <w:t>lump sum</w:t>
            </w:r>
            <w:r w:rsidR="00D60900">
              <w:t>)’</w:t>
            </w:r>
            <w:r>
              <w:t>)</w:t>
            </w:r>
          </w:p>
        </w:tc>
        <w:tc>
          <w:tcPr>
            <w:tcW w:w="2410" w:type="dxa"/>
          </w:tcPr>
          <w:p w:rsidR="005F575B" w:rsidRDefault="005F575B" w:rsidP="00835BC3">
            <w:pPr>
              <w:pStyle w:val="TableText"/>
            </w:pPr>
            <w:r>
              <w:t>A carbon price consistent with limiting global warming to 2 degrees</w:t>
            </w:r>
            <w:r w:rsidR="007F44EA">
              <w:t xml:space="preserve">. All permits are auctioned. </w:t>
            </w:r>
          </w:p>
        </w:tc>
        <w:tc>
          <w:tcPr>
            <w:tcW w:w="2551" w:type="dxa"/>
          </w:tcPr>
          <w:p w:rsidR="005F575B" w:rsidRDefault="005F575B" w:rsidP="00835BC3">
            <w:pPr>
              <w:pStyle w:val="TableText"/>
            </w:pPr>
            <w:r>
              <w:t>A carbon price consistent with limiting global warming to 2 degrees</w:t>
            </w:r>
            <w:r w:rsidR="007F44EA">
              <w:t>. All permits are auctioned.</w:t>
            </w:r>
          </w:p>
        </w:tc>
        <w:tc>
          <w:tcPr>
            <w:tcW w:w="2693" w:type="dxa"/>
          </w:tcPr>
          <w:p w:rsidR="005F575B" w:rsidRDefault="005F575B" w:rsidP="007232F2">
            <w:pPr>
              <w:pStyle w:val="TableText"/>
            </w:pPr>
            <w:r>
              <w:t>All revenue recycled through lump sum payments to households</w:t>
            </w:r>
            <w:r w:rsidR="00707736">
              <w:t>.</w:t>
            </w:r>
          </w:p>
        </w:tc>
      </w:tr>
      <w:tr w:rsidR="005F575B" w:rsidTr="00CE47F4">
        <w:tc>
          <w:tcPr>
            <w:tcW w:w="2093" w:type="dxa"/>
          </w:tcPr>
          <w:p w:rsidR="005F575B" w:rsidRDefault="005F575B" w:rsidP="007232F2">
            <w:pPr>
              <w:pStyle w:val="TableText"/>
            </w:pPr>
            <w:r>
              <w:t xml:space="preserve">Cap and trade with revenue recycling through tax cuts </w:t>
            </w:r>
          </w:p>
          <w:p w:rsidR="005F575B" w:rsidRDefault="005F575B" w:rsidP="007232F2">
            <w:pPr>
              <w:pStyle w:val="TableText"/>
            </w:pPr>
            <w:r>
              <w:t>(</w:t>
            </w:r>
            <w:r w:rsidR="00D60900">
              <w:t>‘</w:t>
            </w:r>
            <w:r>
              <w:t xml:space="preserve">cap and trade </w:t>
            </w:r>
            <w:r w:rsidR="00D60900">
              <w:t>(</w:t>
            </w:r>
            <w:r>
              <w:t>tax cuts</w:t>
            </w:r>
            <w:r w:rsidR="00D60900">
              <w:t>)’</w:t>
            </w:r>
            <w:r>
              <w:t>)</w:t>
            </w:r>
          </w:p>
        </w:tc>
        <w:tc>
          <w:tcPr>
            <w:tcW w:w="2410" w:type="dxa"/>
          </w:tcPr>
          <w:p w:rsidR="005F575B" w:rsidRDefault="005F575B" w:rsidP="00835BC3">
            <w:pPr>
              <w:pStyle w:val="TableText"/>
            </w:pPr>
            <w:r>
              <w:t>A carbon price consistent with limiting global warming to 2 degrees</w:t>
            </w:r>
            <w:r w:rsidR="007F44EA">
              <w:t>. All permits are auctioned.</w:t>
            </w:r>
          </w:p>
        </w:tc>
        <w:tc>
          <w:tcPr>
            <w:tcW w:w="2551" w:type="dxa"/>
          </w:tcPr>
          <w:p w:rsidR="005F575B" w:rsidRDefault="005F575B" w:rsidP="00835BC3">
            <w:pPr>
              <w:pStyle w:val="TableText"/>
            </w:pPr>
            <w:r>
              <w:t>A carbon price consistent with limiting global warming to 2 degrees</w:t>
            </w:r>
            <w:r w:rsidR="007F44EA">
              <w:t>. All permits are auctioned.</w:t>
            </w:r>
          </w:p>
        </w:tc>
        <w:tc>
          <w:tcPr>
            <w:tcW w:w="2693" w:type="dxa"/>
          </w:tcPr>
          <w:p w:rsidR="005F575B" w:rsidRDefault="005F575B" w:rsidP="007232F2">
            <w:pPr>
              <w:pStyle w:val="TableText"/>
            </w:pPr>
            <w:r>
              <w:t>Electricity sector revenue recycled through income and company tax cuts. All other revenue recycled through lump sum payments to households</w:t>
            </w:r>
            <w:r w:rsidR="00022B76">
              <w:t>.</w:t>
            </w:r>
            <w:r>
              <w:t xml:space="preserve"> </w:t>
            </w:r>
          </w:p>
        </w:tc>
      </w:tr>
      <w:tr w:rsidR="005F575B" w:rsidTr="00CE47F4">
        <w:trPr>
          <w:cnfStyle w:val="000000100000" w:firstRow="0" w:lastRow="0" w:firstColumn="0" w:lastColumn="0" w:oddVBand="0" w:evenVBand="0" w:oddHBand="1" w:evenHBand="0" w:firstRowFirstColumn="0" w:firstRowLastColumn="0" w:lastRowFirstColumn="0" w:lastRowLastColumn="0"/>
        </w:trPr>
        <w:tc>
          <w:tcPr>
            <w:tcW w:w="2093" w:type="dxa"/>
          </w:tcPr>
          <w:p w:rsidR="005F575B" w:rsidRDefault="005F575B" w:rsidP="007232F2">
            <w:pPr>
              <w:pStyle w:val="TableText"/>
            </w:pPr>
            <w:r>
              <w:t>Emissions i</w:t>
            </w:r>
            <w:r w:rsidRPr="00340A54">
              <w:t xml:space="preserve">ntensity </w:t>
            </w:r>
            <w:r>
              <w:t>scheme</w:t>
            </w:r>
          </w:p>
        </w:tc>
        <w:tc>
          <w:tcPr>
            <w:tcW w:w="2410" w:type="dxa"/>
          </w:tcPr>
          <w:p w:rsidR="005F575B" w:rsidRDefault="005F575B" w:rsidP="00835BC3">
            <w:pPr>
              <w:pStyle w:val="TableText"/>
            </w:pPr>
            <w:r>
              <w:t>A carbon price consistent with limiting global warming to 2 degrees</w:t>
            </w:r>
            <w:r w:rsidR="00290232">
              <w:t>.</w:t>
            </w:r>
            <w:r w:rsidDel="0048372E">
              <w:t xml:space="preserve"> </w:t>
            </w:r>
            <w:r w:rsidRPr="006C7F13">
              <w:t xml:space="preserve">Generators </w:t>
            </w:r>
            <w:r>
              <w:t xml:space="preserve">are allocated free permits in proportion to their electricity output and a government-set intensity </w:t>
            </w:r>
            <w:r w:rsidRPr="006C7F13">
              <w:t>baseline</w:t>
            </w:r>
            <w:r w:rsidR="00022B76">
              <w:t>.</w:t>
            </w:r>
          </w:p>
        </w:tc>
        <w:tc>
          <w:tcPr>
            <w:tcW w:w="2551" w:type="dxa"/>
          </w:tcPr>
          <w:p w:rsidR="005F575B" w:rsidRDefault="005F575B" w:rsidP="00835BC3">
            <w:pPr>
              <w:pStyle w:val="TableText"/>
            </w:pPr>
            <w:r>
              <w:t>A carbon price consistent with limiting global warming to 2 degrees</w:t>
            </w:r>
            <w:r w:rsidR="007F44EA">
              <w:t>. All permits are auctioned.</w:t>
            </w:r>
          </w:p>
        </w:tc>
        <w:tc>
          <w:tcPr>
            <w:tcW w:w="2693" w:type="dxa"/>
          </w:tcPr>
          <w:p w:rsidR="005F575B" w:rsidRDefault="005F575B" w:rsidP="007232F2">
            <w:pPr>
              <w:pStyle w:val="TableText"/>
            </w:pPr>
            <w:r>
              <w:t>All revenue recycled through lump sum payments to households. Revenue from electricity sector is negligible due to free allocations of permits to generators</w:t>
            </w:r>
            <w:r w:rsidR="00022B76">
              <w:t>.</w:t>
            </w:r>
            <w:r>
              <w:t xml:space="preserve">  </w:t>
            </w:r>
          </w:p>
        </w:tc>
      </w:tr>
    </w:tbl>
    <w:p w:rsidR="005F575B" w:rsidRPr="006A4565" w:rsidRDefault="005F575B" w:rsidP="007232F2">
      <w:pPr>
        <w:pStyle w:val="TableNote"/>
        <w:keepNext/>
        <w:keepLines/>
        <w:rPr>
          <w:b/>
          <w:lang w:val="en-GB"/>
        </w:rPr>
      </w:pPr>
      <w:r w:rsidRPr="00E10097">
        <w:rPr>
          <w:b/>
          <w:lang w:val="en-GB"/>
        </w:rPr>
        <w:t>Note:</w:t>
      </w:r>
      <w:r>
        <w:rPr>
          <w:lang w:val="en-GB"/>
        </w:rPr>
        <w:t xml:space="preserve"> </w:t>
      </w:r>
      <w:r w:rsidR="00431EC3">
        <w:rPr>
          <w:lang w:val="en-GB"/>
        </w:rPr>
        <w:t>Lump sum payments are government payments such as pensions. While they return government revenue to households, resulting in an increase in consumption, they have a minimal effect on economic efficiency.</w:t>
      </w:r>
      <w:r>
        <w:rPr>
          <w:lang w:val="en-GB"/>
        </w:rPr>
        <w:t xml:space="preserve"> </w:t>
      </w:r>
      <w:r>
        <w:rPr>
          <w:lang w:val="en-GB"/>
        </w:rPr>
        <w:br/>
      </w:r>
      <w:r>
        <w:rPr>
          <w:b/>
          <w:lang w:val="en-GB"/>
        </w:rPr>
        <w:t xml:space="preserve">Source: </w:t>
      </w:r>
      <w:r w:rsidRPr="006A4565">
        <w:rPr>
          <w:lang w:val="en-GB"/>
        </w:rPr>
        <w:t>Climate Change Authority</w:t>
      </w:r>
      <w:r>
        <w:rPr>
          <w:lang w:val="en-GB"/>
        </w:rPr>
        <w:t>.</w:t>
      </w:r>
    </w:p>
    <w:p w:rsidR="005F575B" w:rsidRDefault="005F575B" w:rsidP="005F575B">
      <w:pPr>
        <w:pStyle w:val="BodyText"/>
        <w:rPr>
          <w:lang w:val="en-GB" w:eastAsia="en-AU"/>
        </w:rPr>
      </w:pPr>
      <w:r>
        <w:rPr>
          <w:lang w:val="en-GB" w:eastAsia="en-AU"/>
        </w:rPr>
        <w:t xml:space="preserve">The modelling results should be treated as indicative and used primarily to assess relative policy costs at a high level, rather than to make precise estimates of policy impacts. There are two main reasons for this. </w:t>
      </w:r>
    </w:p>
    <w:p w:rsidR="005F575B" w:rsidRDefault="005F575B" w:rsidP="005F575B">
      <w:pPr>
        <w:pStyle w:val="ListBullet"/>
        <w:rPr>
          <w:lang w:val="en-GB"/>
        </w:rPr>
      </w:pPr>
      <w:r>
        <w:rPr>
          <w:lang w:val="en-GB"/>
        </w:rPr>
        <w:t xml:space="preserve">First, while </w:t>
      </w:r>
      <w:r w:rsidR="00431EC3">
        <w:rPr>
          <w:lang w:val="en-GB"/>
        </w:rPr>
        <w:t>the modelling</w:t>
      </w:r>
      <w:r>
        <w:rPr>
          <w:lang w:val="en-GB"/>
        </w:rPr>
        <w:t xml:space="preserve"> provides some insights to the tax interaction effect and revenue recycling, some important economic relationships are only captured at a relatively high level—in particular, how the tax system and workers respond to changes in real wages. </w:t>
      </w:r>
    </w:p>
    <w:p w:rsidR="005F575B" w:rsidRDefault="005F575B" w:rsidP="005F575B">
      <w:pPr>
        <w:pStyle w:val="ListBullet"/>
        <w:rPr>
          <w:lang w:val="en-GB"/>
        </w:rPr>
      </w:pPr>
      <w:r>
        <w:rPr>
          <w:lang w:val="en-GB"/>
        </w:rPr>
        <w:t xml:space="preserve">Second, as the modelling does not capture all relevant equity </w:t>
      </w:r>
      <w:r w:rsidR="001F3A35">
        <w:rPr>
          <w:lang w:val="en-GB"/>
        </w:rPr>
        <w:t xml:space="preserve">impacts, its insights into cost </w:t>
      </w:r>
      <w:r>
        <w:rPr>
          <w:lang w:val="en-GB"/>
        </w:rPr>
        <w:t xml:space="preserve">effectiveness should be balanced against other considerations. For example, the impact of changes in electricity prices on low-income households cannot be explored in this modelling, but is considered qualitatively as part of the Authority’s assessment of the equity impacts of different policy options. </w:t>
      </w:r>
    </w:p>
    <w:p w:rsidR="00DC4937" w:rsidRPr="00D452E9" w:rsidRDefault="005F575B" w:rsidP="005F575B">
      <w:pPr>
        <w:pStyle w:val="BodyText"/>
        <w:rPr>
          <w:lang w:val="en-GB" w:eastAsia="en-AU"/>
        </w:rPr>
      </w:pPr>
      <w:r>
        <w:rPr>
          <w:lang w:val="en-GB" w:eastAsia="en-AU"/>
        </w:rPr>
        <w:t xml:space="preserve">For more detail on the scenario design, modelling methodology and assumptions see </w:t>
      </w:r>
      <w:r w:rsidR="00CA762C">
        <w:rPr>
          <w:lang w:val="en-GB" w:eastAsia="en-AU"/>
        </w:rPr>
        <w:t>Appendix C.3</w:t>
      </w:r>
      <w:r w:rsidR="00C96C45">
        <w:rPr>
          <w:lang w:val="en-GB" w:eastAsia="en-AU"/>
        </w:rPr>
        <w:t>.</w:t>
      </w:r>
    </w:p>
    <w:p w:rsidR="00DC4937" w:rsidRDefault="00DC4937" w:rsidP="009818D9">
      <w:pPr>
        <w:pStyle w:val="ChapterHeading4"/>
        <w:numPr>
          <w:ilvl w:val="3"/>
          <w:numId w:val="15"/>
        </w:numPr>
      </w:pPr>
      <w:r>
        <w:t>Related modelling exercises</w:t>
      </w:r>
    </w:p>
    <w:p w:rsidR="002C1C36" w:rsidRDefault="002C1C36" w:rsidP="00610361">
      <w:pPr>
        <w:pStyle w:val="BodyText"/>
      </w:pPr>
      <w:r>
        <w:t xml:space="preserve">There have been many recent studies using electricity sector models to explore climate policies in the Australian electricity sector. Each study focuses on different questions, and so is designed differently. </w:t>
      </w:r>
    </w:p>
    <w:p w:rsidR="002C1C36" w:rsidRDefault="002C1C36" w:rsidP="00610361">
      <w:pPr>
        <w:pStyle w:val="BodyText"/>
      </w:pPr>
      <w:r>
        <w:t>Given its aim of comparing policies to inform policy choice, the Authority’s commissioned modelling has investigated the largest range of climate policies and sensitivities on Australia’s electricity sector in recent history.</w:t>
      </w:r>
    </w:p>
    <w:p w:rsidR="002C1C36" w:rsidRDefault="00CA762C" w:rsidP="003F34EA">
      <w:pPr>
        <w:pStyle w:val="BodyText"/>
      </w:pPr>
      <w:r>
        <w:t xml:space="preserve">Table </w:t>
      </w:r>
      <w:r>
        <w:rPr>
          <w:noProof/>
        </w:rPr>
        <w:t>5</w:t>
      </w:r>
      <w:r w:rsidR="00D7182C">
        <w:t xml:space="preserve"> </w:t>
      </w:r>
      <w:r w:rsidR="002C1C36" w:rsidRPr="00B428D7">
        <w:t xml:space="preserve">provides an overview of some prominent modelling exercises </w:t>
      </w:r>
      <w:r w:rsidR="00D7182C">
        <w:t xml:space="preserve">and how they </w:t>
      </w:r>
      <w:r w:rsidR="002C1C36" w:rsidRPr="00B428D7">
        <w:t>relate to th</w:t>
      </w:r>
      <w:r w:rsidR="00D7182C">
        <w:t>e Authority’s commissioned modelling</w:t>
      </w:r>
      <w:r w:rsidR="002C1C36" w:rsidRPr="00B428D7">
        <w:t xml:space="preserve">. While each exercise has different input assumptions and a different modelling approach, which contribute to different results, the Authority’s modelling has features in common with other exercises investigating 2 degree consistent emissions reductions in the sector. For example, projected changes in the emissions intensity of generation over time are similar in Jacobs’ </w:t>
      </w:r>
      <w:r w:rsidR="002C1C36" w:rsidRPr="00B428D7">
        <w:lastRenderedPageBreak/>
        <w:t xml:space="preserve">modelling and </w:t>
      </w:r>
      <w:proofErr w:type="spellStart"/>
      <w:r w:rsidR="002C1C36" w:rsidRPr="00B428D7">
        <w:t>ClimateWorks</w:t>
      </w:r>
      <w:proofErr w:type="spellEnd"/>
      <w:r w:rsidR="002C1C36" w:rsidRPr="00B428D7">
        <w:t xml:space="preserve">’ Pathways to deep decarbonisation in 2050 study </w:t>
      </w:r>
      <w:bookmarkStart w:id="416" w:name="_CTVP0011d07df05e1ef4c3692b85153e19295f3"/>
      <w:r w:rsidR="0045376D">
        <w:t>(</w:t>
      </w:r>
      <w:proofErr w:type="spellStart"/>
      <w:r w:rsidR="0045376D">
        <w:t>ClimateWorks</w:t>
      </w:r>
      <w:proofErr w:type="spellEnd"/>
      <w:r w:rsidR="0045376D">
        <w:t xml:space="preserve"> Australia et al. 2014)</w:t>
      </w:r>
      <w:bookmarkEnd w:id="416"/>
      <w:r w:rsidR="002C1C36" w:rsidRPr="00B428D7">
        <w:t xml:space="preserve">. </w:t>
      </w:r>
    </w:p>
    <w:p w:rsidR="00D7182C" w:rsidRDefault="00D7182C" w:rsidP="00610361">
      <w:pPr>
        <w:pStyle w:val="Caption"/>
        <w:keepLines/>
      </w:pPr>
      <w:bookmarkStart w:id="417" w:name="_Ref454897487"/>
      <w:bookmarkStart w:id="418" w:name="_Toc460318073"/>
      <w:r>
        <w:t xml:space="preserve">Table </w:t>
      </w:r>
      <w:r w:rsidR="00CA762C">
        <w:rPr>
          <w:noProof/>
        </w:rPr>
        <w:t>5</w:t>
      </w:r>
      <w:bookmarkEnd w:id="417"/>
      <w:r w:rsidR="00A6425D">
        <w:tab/>
      </w:r>
      <w:r>
        <w:t>Related modelling studies overview</w:t>
      </w:r>
      <w:bookmarkEnd w:id="418"/>
    </w:p>
    <w:tbl>
      <w:tblPr>
        <w:tblStyle w:val="CCATable"/>
        <w:tblW w:w="0" w:type="auto"/>
        <w:tblLook w:val="04A0" w:firstRow="1" w:lastRow="0" w:firstColumn="1" w:lastColumn="0" w:noHBand="0" w:noVBand="1"/>
      </w:tblPr>
      <w:tblGrid>
        <w:gridCol w:w="2376"/>
        <w:gridCol w:w="7479"/>
      </w:tblGrid>
      <w:tr w:rsidR="00D7182C" w:rsidTr="00610361">
        <w:trPr>
          <w:cnfStyle w:val="100000000000" w:firstRow="1" w:lastRow="0" w:firstColumn="0" w:lastColumn="0" w:oddVBand="0" w:evenVBand="0" w:oddHBand="0" w:evenHBand="0" w:firstRowFirstColumn="0" w:firstRowLastColumn="0" w:lastRowFirstColumn="0" w:lastRowLastColumn="0"/>
        </w:trPr>
        <w:tc>
          <w:tcPr>
            <w:tcW w:w="2376" w:type="dxa"/>
            <w:tcBorders>
              <w:bottom w:val="single" w:sz="4" w:space="0" w:color="0C9FCD"/>
            </w:tcBorders>
          </w:tcPr>
          <w:p w:rsidR="00D7182C" w:rsidRPr="00610361" w:rsidRDefault="00D7182C" w:rsidP="00835BC3">
            <w:pPr>
              <w:pStyle w:val="BodyText"/>
              <w:keepNext w:val="0"/>
              <w:rPr>
                <w:b/>
                <w:sz w:val="19"/>
                <w:szCs w:val="19"/>
              </w:rPr>
            </w:pPr>
            <w:r w:rsidRPr="00610361">
              <w:rPr>
                <w:b/>
                <w:color w:val="FFFFFF" w:themeColor="background1"/>
                <w:sz w:val="19"/>
                <w:szCs w:val="19"/>
                <w:lang w:val="en-GB"/>
              </w:rPr>
              <w:t>Organisation, year, study (modeller/s)</w:t>
            </w:r>
          </w:p>
        </w:tc>
        <w:tc>
          <w:tcPr>
            <w:tcW w:w="7479" w:type="dxa"/>
            <w:tcBorders>
              <w:bottom w:val="single" w:sz="4" w:space="0" w:color="0C9FCD"/>
            </w:tcBorders>
          </w:tcPr>
          <w:p w:rsidR="00D7182C" w:rsidRPr="00610361" w:rsidRDefault="00D7182C" w:rsidP="00835BC3">
            <w:pPr>
              <w:pStyle w:val="BodyText"/>
              <w:keepNext w:val="0"/>
              <w:rPr>
                <w:b/>
                <w:sz w:val="19"/>
                <w:szCs w:val="19"/>
              </w:rPr>
            </w:pPr>
            <w:r w:rsidRPr="00610361">
              <w:rPr>
                <w:b/>
                <w:color w:val="FFFFFF" w:themeColor="background1"/>
                <w:sz w:val="19"/>
                <w:szCs w:val="19"/>
                <w:lang w:val="en-GB"/>
              </w:rPr>
              <w:t>Main purpose; policy; target/s</w:t>
            </w:r>
          </w:p>
        </w:tc>
      </w:tr>
      <w:tr w:rsidR="00D7182C" w:rsidTr="00610361">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91DEFB" w:themeFill="accent3" w:themeFillTint="66"/>
          </w:tcPr>
          <w:p w:rsidR="00D7182C" w:rsidRPr="00610361" w:rsidRDefault="00D7182C" w:rsidP="00610361">
            <w:pPr>
              <w:pStyle w:val="BodyText"/>
              <w:keepNext w:val="0"/>
              <w:spacing w:after="80" w:line="240" w:lineRule="auto"/>
              <w:rPr>
                <w:rFonts w:cs="Arial"/>
                <w:b/>
                <w:sz w:val="18"/>
                <w:szCs w:val="18"/>
              </w:rPr>
            </w:pPr>
            <w:r w:rsidRPr="00610361">
              <w:rPr>
                <w:rFonts w:cs="Arial"/>
                <w:b/>
                <w:sz w:val="18"/>
                <w:szCs w:val="18"/>
                <w:lang w:val="en-GB"/>
              </w:rPr>
              <w:t xml:space="preserve">Climate Change Authority, 2016, </w:t>
            </w:r>
            <w:r w:rsidRPr="00610361">
              <w:rPr>
                <w:rFonts w:cs="Arial"/>
                <w:b/>
                <w:i/>
                <w:sz w:val="18"/>
                <w:szCs w:val="18"/>
                <w:lang w:val="en-GB"/>
              </w:rPr>
              <w:t xml:space="preserve">Policy options for Australia’s electricity supply sector </w:t>
            </w:r>
            <w:r w:rsidRPr="00610361">
              <w:rPr>
                <w:rFonts w:cs="Arial"/>
                <w:b/>
                <w:sz w:val="18"/>
                <w:szCs w:val="18"/>
                <w:lang w:val="en-GB"/>
              </w:rPr>
              <w:t>(Jacobs, Victoria University)</w:t>
            </w:r>
          </w:p>
        </w:tc>
        <w:tc>
          <w:tcPr>
            <w:tcW w:w="7479" w:type="dxa"/>
            <w:shd w:val="clear" w:color="auto" w:fill="91DEFB" w:themeFill="accent3" w:themeFillTint="66"/>
          </w:tcPr>
          <w:p w:rsidR="00D7182C" w:rsidRPr="001D56E0" w:rsidRDefault="00D7182C" w:rsidP="0097676F">
            <w:pPr>
              <w:pStyle w:val="TableText"/>
              <w:rPr>
                <w:lang w:val="en-GB"/>
              </w:rPr>
            </w:pPr>
            <w:r w:rsidRPr="00D7182C">
              <w:rPr>
                <w:b/>
                <w:lang w:val="en-GB"/>
              </w:rPr>
              <w:t>Purpose:</w:t>
            </w:r>
            <w:r w:rsidRPr="00CF158A">
              <w:rPr>
                <w:lang w:val="en-GB"/>
              </w:rPr>
              <w:t xml:space="preserve"> compare the relative merits of a wide range of climate change policies for the electricity </w:t>
            </w:r>
            <w:r w:rsidRPr="003611DF">
              <w:rPr>
                <w:lang w:val="en-GB"/>
              </w:rPr>
              <w:t>sector, including robustness tests.</w:t>
            </w:r>
          </w:p>
          <w:p w:rsidR="00D7182C" w:rsidRPr="006F061A" w:rsidRDefault="00D7182C" w:rsidP="0097676F">
            <w:pPr>
              <w:pStyle w:val="TableText"/>
              <w:rPr>
                <w:lang w:val="en-GB"/>
              </w:rPr>
            </w:pPr>
            <w:r w:rsidRPr="001D56E0">
              <w:rPr>
                <w:b/>
                <w:lang w:val="en-GB"/>
              </w:rPr>
              <w:t>Policies explored:</w:t>
            </w:r>
            <w:r w:rsidRPr="00AB4F64">
              <w:rPr>
                <w:lang w:val="en-GB"/>
              </w:rPr>
              <w:t xml:space="preserve"> cap and trade scheme, emissions intensity scheme, renewable energy target, low emissions target, contracts for difference, regulated closure</w:t>
            </w:r>
            <w:r w:rsidR="00A82A29">
              <w:rPr>
                <w:lang w:val="en-GB"/>
              </w:rPr>
              <w:t>s</w:t>
            </w:r>
            <w:r w:rsidRPr="00AB4F64">
              <w:rPr>
                <w:lang w:val="en-GB"/>
              </w:rPr>
              <w:t xml:space="preserve">, facility specific absolute baselines, </w:t>
            </w:r>
            <w:proofErr w:type="gramStart"/>
            <w:r w:rsidRPr="00AB4F64">
              <w:rPr>
                <w:lang w:val="en-GB"/>
              </w:rPr>
              <w:t>combinati</w:t>
            </w:r>
            <w:r w:rsidR="00835BC3">
              <w:rPr>
                <w:lang w:val="en-GB"/>
              </w:rPr>
              <w:t>ons</w:t>
            </w:r>
            <w:proofErr w:type="gramEnd"/>
            <w:r w:rsidR="00835BC3">
              <w:rPr>
                <w:lang w:val="en-GB"/>
              </w:rPr>
              <w:t xml:space="preserve"> of policies.</w:t>
            </w:r>
            <w:r w:rsidRPr="006F061A">
              <w:rPr>
                <w:lang w:val="en-GB"/>
              </w:rPr>
              <w:t xml:space="preserve"> CGE modelling of some policies.</w:t>
            </w:r>
          </w:p>
          <w:p w:rsidR="00D7182C" w:rsidRPr="00FF5DB5" w:rsidRDefault="00D7182C" w:rsidP="0097676F">
            <w:pPr>
              <w:pStyle w:val="TableText"/>
              <w:rPr>
                <w:lang w:val="en-GB"/>
              </w:rPr>
            </w:pPr>
            <w:r w:rsidRPr="006F061A">
              <w:rPr>
                <w:b/>
                <w:lang w:val="en-GB"/>
              </w:rPr>
              <w:t>Core emissions target:</w:t>
            </w:r>
            <w:r w:rsidRPr="006F061A">
              <w:rPr>
                <w:lang w:val="en-GB"/>
              </w:rPr>
              <w:t xml:space="preserve"> electricity sector emissions budget 2020–2050 consistent with a likely chance of limiting warming to 2 degrees.</w:t>
            </w:r>
          </w:p>
          <w:p w:rsidR="00D7182C" w:rsidRPr="00610361" w:rsidRDefault="00D7182C" w:rsidP="0097676F">
            <w:pPr>
              <w:pStyle w:val="TableText"/>
            </w:pPr>
            <w:r w:rsidRPr="00610361">
              <w:rPr>
                <w:b/>
                <w:lang w:val="en-GB"/>
              </w:rPr>
              <w:t>Alternate emissions targets:</w:t>
            </w:r>
            <w:r w:rsidRPr="00610361">
              <w:rPr>
                <w:lang w:val="en-GB"/>
              </w:rPr>
              <w:t xml:space="preserve"> electricity sector emissions budget 2020–2050 consistent with a likely chance of limiting warming to 3 degrees. This scenario is included merely for the purpose of testing model sensitivity and does not reflect the Aut</w:t>
            </w:r>
            <w:r w:rsidR="00835BC3">
              <w:rPr>
                <w:lang w:val="en-GB"/>
              </w:rPr>
              <w:t xml:space="preserve">hority’s endorsement of a three </w:t>
            </w:r>
            <w:r w:rsidRPr="00610361">
              <w:rPr>
                <w:lang w:val="en-GB"/>
              </w:rPr>
              <w:t>degree temperature increase as a policy objective.</w:t>
            </w:r>
          </w:p>
        </w:tc>
      </w:tr>
      <w:tr w:rsidR="00D7182C" w:rsidTr="00610361">
        <w:tc>
          <w:tcPr>
            <w:tcW w:w="2376" w:type="dxa"/>
          </w:tcPr>
          <w:p w:rsidR="00D7182C" w:rsidRPr="00610361" w:rsidRDefault="00D7182C" w:rsidP="00610361">
            <w:pPr>
              <w:pStyle w:val="BodyText"/>
              <w:keepNext w:val="0"/>
              <w:spacing w:after="80" w:line="240" w:lineRule="auto"/>
              <w:rPr>
                <w:rFonts w:cs="Arial"/>
                <w:b/>
                <w:sz w:val="18"/>
                <w:szCs w:val="18"/>
              </w:rPr>
            </w:pPr>
            <w:r w:rsidRPr="00610361">
              <w:rPr>
                <w:rFonts w:cs="Arial"/>
                <w:b/>
                <w:sz w:val="18"/>
                <w:szCs w:val="18"/>
                <w:lang w:val="en-GB"/>
              </w:rPr>
              <w:t xml:space="preserve">The Climate Institute, 2016, </w:t>
            </w:r>
            <w:r w:rsidRPr="00610361">
              <w:rPr>
                <w:rFonts w:cs="Arial"/>
                <w:b/>
                <w:i/>
                <w:sz w:val="18"/>
                <w:szCs w:val="18"/>
                <w:lang w:val="en-GB"/>
              </w:rPr>
              <w:t>Electricity sector impacts of policies to cut emissions of greenhouse gases</w:t>
            </w:r>
            <w:r w:rsidRPr="00610361">
              <w:rPr>
                <w:rFonts w:cs="Arial"/>
                <w:b/>
                <w:sz w:val="18"/>
                <w:szCs w:val="18"/>
                <w:lang w:val="en-GB"/>
              </w:rPr>
              <w:t xml:space="preserve"> (Jacobs)</w:t>
            </w:r>
          </w:p>
        </w:tc>
        <w:tc>
          <w:tcPr>
            <w:tcW w:w="7479" w:type="dxa"/>
          </w:tcPr>
          <w:p w:rsidR="00D7182C" w:rsidRPr="00D7182C" w:rsidRDefault="00D7182C" w:rsidP="0097676F">
            <w:pPr>
              <w:pStyle w:val="TableText"/>
              <w:rPr>
                <w:rFonts w:cs="Arial"/>
                <w:szCs w:val="18"/>
                <w:lang w:val="en-GB"/>
              </w:rPr>
            </w:pPr>
            <w:r w:rsidRPr="00D7182C">
              <w:rPr>
                <w:rFonts w:cs="Arial"/>
                <w:b/>
                <w:szCs w:val="18"/>
                <w:lang w:val="en-GB"/>
              </w:rPr>
              <w:t>Purpose:</w:t>
            </w:r>
            <w:r w:rsidRPr="00CF158A">
              <w:rPr>
                <w:rFonts w:cs="Arial"/>
                <w:szCs w:val="18"/>
                <w:lang w:val="en-GB"/>
              </w:rPr>
              <w:t xml:space="preserve"> </w:t>
            </w:r>
            <w:r w:rsidRPr="0097676F">
              <w:t>test a range of policies and policy combinations against emission reductions for the electricity sector to play its part in achieving the below 2 degrees goal.</w:t>
            </w:r>
          </w:p>
          <w:p w:rsidR="00D7182C" w:rsidRPr="00CF158A" w:rsidRDefault="00D7182C" w:rsidP="0097676F">
            <w:pPr>
              <w:pStyle w:val="TableText"/>
              <w:rPr>
                <w:rFonts w:cs="Arial"/>
                <w:szCs w:val="18"/>
                <w:lang w:val="en-GB"/>
              </w:rPr>
            </w:pPr>
            <w:r w:rsidRPr="00CF158A">
              <w:rPr>
                <w:rFonts w:cs="Arial"/>
                <w:b/>
                <w:szCs w:val="18"/>
                <w:lang w:val="en-GB"/>
              </w:rPr>
              <w:t>Policies explored:</w:t>
            </w:r>
            <w:r w:rsidRPr="00CF158A">
              <w:rPr>
                <w:rFonts w:cs="Arial"/>
                <w:szCs w:val="18"/>
                <w:lang w:val="en-GB"/>
              </w:rPr>
              <w:t xml:space="preserve"> carb</w:t>
            </w:r>
            <w:r w:rsidR="00835BC3">
              <w:rPr>
                <w:rFonts w:cs="Arial"/>
                <w:szCs w:val="18"/>
                <w:lang w:val="en-GB"/>
              </w:rPr>
              <w:t>on pricing, regulated closure, clean energy target (renewable energy t</w:t>
            </w:r>
            <w:r w:rsidRPr="00CF158A">
              <w:rPr>
                <w:rFonts w:cs="Arial"/>
                <w:szCs w:val="18"/>
                <w:lang w:val="en-GB"/>
              </w:rPr>
              <w:t>arget with CCS also eligible), combinations of policies.</w:t>
            </w:r>
          </w:p>
          <w:p w:rsidR="00D7182C" w:rsidRPr="00610361" w:rsidRDefault="00D7182C" w:rsidP="0097676F">
            <w:pPr>
              <w:pStyle w:val="TableText"/>
              <w:rPr>
                <w:rFonts w:cs="Arial"/>
                <w:szCs w:val="18"/>
              </w:rPr>
            </w:pPr>
            <w:r w:rsidRPr="00610361">
              <w:rPr>
                <w:rFonts w:cs="Arial"/>
                <w:b/>
                <w:szCs w:val="18"/>
                <w:lang w:val="en-GB"/>
              </w:rPr>
              <w:t>Core emissions target:</w:t>
            </w:r>
            <w:r w:rsidRPr="00610361">
              <w:rPr>
                <w:rFonts w:cs="Arial"/>
                <w:szCs w:val="18"/>
                <w:lang w:val="en-GB"/>
              </w:rPr>
              <w:t xml:space="preserve"> electricity sector emissions budget 2020–2050 consistent with a likely chance of limiting warming to 2 degrees.</w:t>
            </w:r>
          </w:p>
        </w:tc>
      </w:tr>
      <w:tr w:rsidR="00D7182C" w:rsidTr="00610361">
        <w:trPr>
          <w:cnfStyle w:val="000000100000" w:firstRow="0" w:lastRow="0" w:firstColumn="0" w:lastColumn="0" w:oddVBand="0" w:evenVBand="0" w:oddHBand="1" w:evenHBand="0" w:firstRowFirstColumn="0" w:firstRowLastColumn="0" w:lastRowFirstColumn="0" w:lastRowLastColumn="0"/>
        </w:trPr>
        <w:tc>
          <w:tcPr>
            <w:tcW w:w="2376" w:type="dxa"/>
          </w:tcPr>
          <w:p w:rsidR="00D7182C" w:rsidRPr="00610361" w:rsidRDefault="00835BC3" w:rsidP="00610361">
            <w:pPr>
              <w:pStyle w:val="BodyText"/>
              <w:keepNext w:val="0"/>
              <w:spacing w:after="80" w:line="240" w:lineRule="auto"/>
              <w:rPr>
                <w:rFonts w:cs="Arial"/>
                <w:b/>
                <w:sz w:val="18"/>
                <w:szCs w:val="18"/>
              </w:rPr>
            </w:pPr>
            <w:r>
              <w:rPr>
                <w:rFonts w:cs="Arial"/>
                <w:b/>
                <w:sz w:val="18"/>
                <w:szCs w:val="18"/>
                <w:lang w:val="en-GB"/>
              </w:rPr>
              <w:t>South Australian</w:t>
            </w:r>
            <w:r w:rsidR="00D7182C" w:rsidRPr="00610361">
              <w:rPr>
                <w:rFonts w:cs="Arial"/>
                <w:b/>
                <w:sz w:val="18"/>
                <w:szCs w:val="18"/>
                <w:lang w:val="en-GB"/>
              </w:rPr>
              <w:t xml:space="preserve"> Nuclear Fuel Cycle Royal Commission, 2016, </w:t>
            </w:r>
            <w:r w:rsidR="00D7182C" w:rsidRPr="00610361">
              <w:rPr>
                <w:rFonts w:cs="Arial"/>
                <w:b/>
                <w:i/>
                <w:sz w:val="18"/>
                <w:szCs w:val="18"/>
                <w:lang w:val="en-GB"/>
              </w:rPr>
              <w:t>Computational general equilibrium modelling assessment</w:t>
            </w:r>
            <w:r w:rsidR="00D7182C" w:rsidRPr="00610361">
              <w:rPr>
                <w:rFonts w:cs="Arial"/>
                <w:b/>
                <w:sz w:val="18"/>
                <w:szCs w:val="18"/>
                <w:lang w:val="en-GB"/>
              </w:rPr>
              <w:t xml:space="preserve"> (Ernst and Young; Victoria University)</w:t>
            </w:r>
          </w:p>
        </w:tc>
        <w:tc>
          <w:tcPr>
            <w:tcW w:w="7479" w:type="dxa"/>
          </w:tcPr>
          <w:p w:rsidR="00D7182C" w:rsidRPr="003611DF" w:rsidRDefault="00D7182C" w:rsidP="0097676F">
            <w:pPr>
              <w:pStyle w:val="TableText"/>
              <w:rPr>
                <w:lang w:val="en-GB"/>
              </w:rPr>
            </w:pPr>
            <w:r w:rsidRPr="00D7182C">
              <w:rPr>
                <w:b/>
                <w:lang w:val="en-GB"/>
              </w:rPr>
              <w:t>Purpose:</w:t>
            </w:r>
            <w:r w:rsidRPr="00CF158A">
              <w:rPr>
                <w:lang w:val="en-GB"/>
              </w:rPr>
              <w:t xml:space="preserve"> assess the potential economic impacts on the South Australian and Australian economies resulting from additional investment in nuclear fuel cycles.</w:t>
            </w:r>
          </w:p>
          <w:p w:rsidR="00D7182C" w:rsidRPr="001D56E0" w:rsidRDefault="00D7182C" w:rsidP="0097676F">
            <w:pPr>
              <w:pStyle w:val="TableText"/>
              <w:rPr>
                <w:lang w:val="en-GB"/>
              </w:rPr>
            </w:pPr>
            <w:r w:rsidRPr="003611DF">
              <w:rPr>
                <w:b/>
                <w:lang w:val="en-GB"/>
              </w:rPr>
              <w:t>Policies explored:</w:t>
            </w:r>
            <w:r w:rsidRPr="001D56E0">
              <w:rPr>
                <w:lang w:val="en-GB"/>
              </w:rPr>
              <w:t xml:space="preserve"> two scenarios: expanded ERF from 2020 to 2030 plus a carbon price from 2030 to 2050; carbon price from 2017 to 2050.</w:t>
            </w:r>
          </w:p>
          <w:p w:rsidR="00D7182C" w:rsidRPr="00AB4F64" w:rsidRDefault="00D7182C" w:rsidP="0097676F">
            <w:pPr>
              <w:pStyle w:val="TableText"/>
              <w:rPr>
                <w:lang w:val="en-GB"/>
              </w:rPr>
            </w:pPr>
            <w:r w:rsidRPr="00AB4F64">
              <w:rPr>
                <w:b/>
                <w:lang w:val="en-GB"/>
              </w:rPr>
              <w:t>Core emissions targets:</w:t>
            </w:r>
            <w:r w:rsidRPr="00AB4F64">
              <w:rPr>
                <w:lang w:val="en-GB"/>
              </w:rPr>
              <w:t xml:space="preserve"> Australia’s emissions budget is consistent with a likely chance of limiting warming to 2 degrees. </w:t>
            </w:r>
          </w:p>
          <w:p w:rsidR="00D7182C" w:rsidRPr="00610361" w:rsidRDefault="00D7182C" w:rsidP="0097676F">
            <w:pPr>
              <w:pStyle w:val="TableText"/>
            </w:pPr>
            <w:r w:rsidRPr="00610361">
              <w:rPr>
                <w:b/>
                <w:lang w:val="en-GB"/>
              </w:rPr>
              <w:t>Alternate emissions targets:</w:t>
            </w:r>
            <w:r w:rsidRPr="00610361">
              <w:rPr>
                <w:lang w:val="en-GB"/>
              </w:rPr>
              <w:t xml:space="preserve"> Australia’s emissions budget is consistent with a likely chance of limiting warming to 1.5 degrees.</w:t>
            </w:r>
          </w:p>
        </w:tc>
      </w:tr>
      <w:tr w:rsidR="00D7182C" w:rsidTr="00610361">
        <w:tc>
          <w:tcPr>
            <w:tcW w:w="2376" w:type="dxa"/>
          </w:tcPr>
          <w:p w:rsidR="00D7182C" w:rsidRPr="00610361" w:rsidRDefault="00D7182C" w:rsidP="00610361">
            <w:pPr>
              <w:pStyle w:val="BodyText"/>
              <w:keepNext w:val="0"/>
              <w:spacing w:after="80" w:line="240" w:lineRule="auto"/>
              <w:rPr>
                <w:rFonts w:cs="Arial"/>
                <w:b/>
                <w:sz w:val="18"/>
                <w:szCs w:val="18"/>
              </w:rPr>
            </w:pPr>
            <w:r w:rsidRPr="00610361">
              <w:rPr>
                <w:rFonts w:cs="Arial"/>
                <w:b/>
                <w:sz w:val="18"/>
                <w:szCs w:val="18"/>
                <w:lang w:val="en-GB"/>
              </w:rPr>
              <w:t xml:space="preserve">Energy Networks Association, 2016, </w:t>
            </w:r>
            <w:r w:rsidRPr="00610361">
              <w:rPr>
                <w:rFonts w:cs="Arial"/>
                <w:b/>
                <w:i/>
                <w:sz w:val="18"/>
                <w:szCs w:val="18"/>
                <w:lang w:val="en-GB"/>
              </w:rPr>
              <w:t>Australia’s climate policy options</w:t>
            </w:r>
            <w:r w:rsidRPr="00610361">
              <w:rPr>
                <w:rFonts w:cs="Arial"/>
                <w:b/>
                <w:sz w:val="18"/>
                <w:szCs w:val="18"/>
                <w:lang w:val="en-GB"/>
              </w:rPr>
              <w:t xml:space="preserve"> (Jacobs)</w:t>
            </w:r>
          </w:p>
        </w:tc>
        <w:tc>
          <w:tcPr>
            <w:tcW w:w="7479" w:type="dxa"/>
          </w:tcPr>
          <w:p w:rsidR="00D7182C" w:rsidRPr="003611DF" w:rsidRDefault="00D7182C" w:rsidP="0097676F">
            <w:pPr>
              <w:pStyle w:val="TableText"/>
              <w:rPr>
                <w:b/>
                <w:lang w:val="en-GB"/>
              </w:rPr>
            </w:pPr>
            <w:r w:rsidRPr="00D7182C">
              <w:rPr>
                <w:b/>
                <w:lang w:val="en-GB"/>
              </w:rPr>
              <w:t xml:space="preserve">Purpose: </w:t>
            </w:r>
            <w:r w:rsidRPr="00CF158A">
              <w:rPr>
                <w:lang w:val="en-GB"/>
              </w:rPr>
              <w:t>quantify the impacts of alternative policy approaches to achieve the national 2030 emissions reduction target. The analysis focuses on achieving this in stationary en</w:t>
            </w:r>
            <w:r w:rsidRPr="003611DF">
              <w:rPr>
                <w:lang w:val="en-GB"/>
              </w:rPr>
              <w:t>ergy activities covering both electricity and direct combustion.</w:t>
            </w:r>
          </w:p>
          <w:p w:rsidR="00D7182C" w:rsidRPr="006F061A" w:rsidRDefault="00D7182C" w:rsidP="0097676F">
            <w:pPr>
              <w:pStyle w:val="TableText"/>
              <w:rPr>
                <w:lang w:val="en-GB"/>
              </w:rPr>
            </w:pPr>
            <w:r w:rsidRPr="003611DF">
              <w:rPr>
                <w:b/>
                <w:lang w:val="en-GB"/>
              </w:rPr>
              <w:t>Policies explored</w:t>
            </w:r>
            <w:r w:rsidRPr="001D56E0">
              <w:rPr>
                <w:b/>
                <w:lang w:val="en-GB"/>
              </w:rPr>
              <w:t>:</w:t>
            </w:r>
            <w:r w:rsidRPr="001D56E0">
              <w:rPr>
                <w:lang w:val="en-GB"/>
              </w:rPr>
              <w:t xml:space="preserve"> renewable energy target, extended energy efficiency schemes,</w:t>
            </w:r>
            <w:r w:rsidRPr="001D56E0">
              <w:rPr>
                <w:b/>
                <w:lang w:val="en-GB"/>
              </w:rPr>
              <w:t xml:space="preserve"> </w:t>
            </w:r>
            <w:r w:rsidRPr="001D56E0">
              <w:rPr>
                <w:lang w:val="en-GB"/>
              </w:rPr>
              <w:t>extended sa</w:t>
            </w:r>
            <w:r w:rsidRPr="00AB4F64">
              <w:rPr>
                <w:lang w:val="en-GB"/>
              </w:rPr>
              <w:t>feguard mechanism with absolute baselines, low emissions target plus an emissions intensity baseline and cre</w:t>
            </w:r>
            <w:r w:rsidRPr="006F061A">
              <w:rPr>
                <w:lang w:val="en-GB"/>
              </w:rPr>
              <w:t>dit scheme, carbon price, combinations of policies (for high ambition scenarios).</w:t>
            </w:r>
          </w:p>
          <w:p w:rsidR="00D7182C" w:rsidRPr="00610361" w:rsidRDefault="00D7182C" w:rsidP="0097676F">
            <w:pPr>
              <w:pStyle w:val="TableText"/>
            </w:pPr>
            <w:r w:rsidRPr="00610361">
              <w:rPr>
                <w:b/>
                <w:lang w:val="en-GB"/>
              </w:rPr>
              <w:t xml:space="preserve">Emissions targets: </w:t>
            </w:r>
            <w:r w:rsidRPr="00610361">
              <w:rPr>
                <w:lang w:val="en-GB"/>
              </w:rPr>
              <w:t>the sector’s emissions are 26 to 28 per cent below 2005 levels by 2030 or 45 per cent below 2005 levels by 2030.</w:t>
            </w:r>
          </w:p>
        </w:tc>
      </w:tr>
      <w:tr w:rsidR="00D7182C" w:rsidTr="00610361">
        <w:trPr>
          <w:cnfStyle w:val="000000100000" w:firstRow="0" w:lastRow="0" w:firstColumn="0" w:lastColumn="0" w:oddVBand="0" w:evenVBand="0" w:oddHBand="1" w:evenHBand="0" w:firstRowFirstColumn="0" w:firstRowLastColumn="0" w:lastRowFirstColumn="0" w:lastRowLastColumn="0"/>
        </w:trPr>
        <w:tc>
          <w:tcPr>
            <w:tcW w:w="2376" w:type="dxa"/>
          </w:tcPr>
          <w:p w:rsidR="00D7182C" w:rsidRPr="00610361" w:rsidRDefault="00D7182C" w:rsidP="00610361">
            <w:pPr>
              <w:pStyle w:val="BodyText"/>
              <w:keepNext w:val="0"/>
              <w:spacing w:after="80" w:line="240" w:lineRule="auto"/>
              <w:rPr>
                <w:b/>
                <w:sz w:val="18"/>
                <w:szCs w:val="18"/>
              </w:rPr>
            </w:pPr>
            <w:proofErr w:type="spellStart"/>
            <w:r w:rsidRPr="00610361">
              <w:rPr>
                <w:b/>
                <w:sz w:val="18"/>
                <w:szCs w:val="18"/>
                <w:lang w:val="en-GB"/>
              </w:rPr>
              <w:t>GetUp</w:t>
            </w:r>
            <w:proofErr w:type="spellEnd"/>
            <w:r w:rsidRPr="00610361">
              <w:rPr>
                <w:b/>
                <w:sz w:val="18"/>
                <w:szCs w:val="18"/>
                <w:lang w:val="en-GB"/>
              </w:rPr>
              <w:t xml:space="preserve">! and Solar Citizens, 2016, The </w:t>
            </w:r>
            <w:proofErr w:type="spellStart"/>
            <w:r w:rsidRPr="00610361">
              <w:rPr>
                <w:b/>
                <w:sz w:val="18"/>
                <w:szCs w:val="18"/>
                <w:lang w:val="en-GB"/>
              </w:rPr>
              <w:t>homegrown</w:t>
            </w:r>
            <w:proofErr w:type="spellEnd"/>
            <w:r w:rsidRPr="00610361">
              <w:rPr>
                <w:b/>
                <w:sz w:val="18"/>
                <w:szCs w:val="18"/>
                <w:lang w:val="en-GB"/>
              </w:rPr>
              <w:t xml:space="preserve"> power plan (University of Technology Sydney</w:t>
            </w:r>
            <w:r w:rsidR="00835BC3">
              <w:rPr>
                <w:b/>
                <w:sz w:val="18"/>
                <w:szCs w:val="18"/>
                <w:lang w:val="en-GB"/>
              </w:rPr>
              <w:t xml:space="preserve"> Institute of Sustainable F</w:t>
            </w:r>
            <w:r w:rsidRPr="00610361">
              <w:rPr>
                <w:b/>
                <w:sz w:val="18"/>
                <w:szCs w:val="18"/>
                <w:lang w:val="en-GB"/>
              </w:rPr>
              <w:t>utures)</w:t>
            </w:r>
          </w:p>
        </w:tc>
        <w:tc>
          <w:tcPr>
            <w:tcW w:w="7479" w:type="dxa"/>
          </w:tcPr>
          <w:p w:rsidR="00D7182C" w:rsidRPr="003611DF" w:rsidRDefault="00D7182C" w:rsidP="0097676F">
            <w:pPr>
              <w:pStyle w:val="TableText"/>
              <w:rPr>
                <w:lang w:val="en-GB"/>
              </w:rPr>
            </w:pPr>
            <w:r w:rsidRPr="00D7182C">
              <w:rPr>
                <w:b/>
                <w:lang w:val="en-GB"/>
              </w:rPr>
              <w:t>Purpose:</w:t>
            </w:r>
            <w:r w:rsidRPr="00CF158A">
              <w:rPr>
                <w:lang w:val="en-GB"/>
              </w:rPr>
              <w:t xml:space="preserve"> explore how the energy system should change for Austral</w:t>
            </w:r>
            <w:r w:rsidR="00022B76">
              <w:rPr>
                <w:lang w:val="en-GB"/>
              </w:rPr>
              <w:t>ia to transition to a 100 </w:t>
            </w:r>
            <w:r w:rsidR="00835BC3">
              <w:rPr>
                <w:lang w:val="en-GB"/>
              </w:rPr>
              <w:t>per cent renewable future</w:t>
            </w:r>
            <w:r w:rsidR="00874DD3">
              <w:rPr>
                <w:lang w:val="en-GB"/>
              </w:rPr>
              <w:t>, including electricity, heating, transport and industry.</w:t>
            </w:r>
          </w:p>
          <w:p w:rsidR="00D7182C" w:rsidRPr="00AB4F64" w:rsidRDefault="00D7182C" w:rsidP="00874DD3">
            <w:pPr>
              <w:autoSpaceDE w:val="0"/>
              <w:autoSpaceDN w:val="0"/>
              <w:adjustRightInd w:val="0"/>
              <w:spacing w:after="0" w:line="240" w:lineRule="auto"/>
              <w:rPr>
                <w:b/>
                <w:lang w:val="en-GB"/>
              </w:rPr>
            </w:pPr>
            <w:r w:rsidRPr="00874DD3">
              <w:rPr>
                <w:b/>
                <w:sz w:val="18"/>
                <w:lang w:val="en-GB"/>
              </w:rPr>
              <w:t>Policies explored:</w:t>
            </w:r>
            <w:r w:rsidRPr="00874DD3">
              <w:rPr>
                <w:sz w:val="18"/>
                <w:lang w:val="en-GB"/>
              </w:rPr>
              <w:t xml:space="preserve"> </w:t>
            </w:r>
            <w:r w:rsidR="00874DD3" w:rsidRPr="00874DD3">
              <w:rPr>
                <w:rFonts w:eastAsia="Times New Roman" w:cs="Times New Roman"/>
                <w:bCs/>
                <w:sz w:val="18"/>
                <w:szCs w:val="24"/>
                <w:lang w:val="en-GB" w:eastAsia="en-GB"/>
              </w:rPr>
              <w:t>two alternative 2050 renewable energy targets modelled (primary energy, across</w:t>
            </w:r>
            <w:r w:rsidR="00874DD3">
              <w:rPr>
                <w:rFonts w:eastAsia="Times New Roman" w:cs="Times New Roman"/>
                <w:bCs/>
                <w:sz w:val="18"/>
                <w:szCs w:val="24"/>
                <w:lang w:val="en-GB" w:eastAsia="en-GB"/>
              </w:rPr>
              <w:t xml:space="preserve"> </w:t>
            </w:r>
            <w:r w:rsidR="00874DD3" w:rsidRPr="00874DD3">
              <w:rPr>
                <w:rFonts w:eastAsia="Times New Roman" w:cs="Times New Roman"/>
                <w:bCs/>
                <w:sz w:val="18"/>
                <w:szCs w:val="24"/>
                <w:lang w:val="en-GB" w:eastAsia="en-GB"/>
              </w:rPr>
              <w:t>all sectors): 70% renewable energy by 2050 and 100 per cent renewable energy by 2050. Both</w:t>
            </w:r>
            <w:r w:rsidR="00874DD3">
              <w:rPr>
                <w:rFonts w:eastAsia="Times New Roman" w:cs="Times New Roman"/>
                <w:bCs/>
                <w:sz w:val="18"/>
                <w:szCs w:val="24"/>
                <w:lang w:val="en-GB" w:eastAsia="en-GB"/>
              </w:rPr>
              <w:t xml:space="preserve"> </w:t>
            </w:r>
            <w:r w:rsidR="00874DD3" w:rsidRPr="00874DD3">
              <w:rPr>
                <w:rFonts w:eastAsia="Times New Roman" w:cs="Times New Roman"/>
                <w:bCs/>
                <w:sz w:val="18"/>
                <w:szCs w:val="24"/>
                <w:lang w:val="en-GB" w:eastAsia="en-GB"/>
              </w:rPr>
              <w:t>renewable scenarios cover all sectors (including power, heating, transport and industrial processes)</w:t>
            </w:r>
            <w:r w:rsidR="00874DD3">
              <w:rPr>
                <w:rFonts w:eastAsia="Times New Roman" w:cs="Times New Roman"/>
                <w:bCs/>
                <w:sz w:val="18"/>
                <w:szCs w:val="24"/>
                <w:lang w:val="en-GB" w:eastAsia="en-GB"/>
              </w:rPr>
              <w:t xml:space="preserve"> </w:t>
            </w:r>
            <w:r w:rsidR="00874DD3" w:rsidRPr="00874DD3">
              <w:rPr>
                <w:rFonts w:cs="Times New Roman"/>
                <w:sz w:val="18"/>
                <w:szCs w:val="24"/>
                <w:lang w:val="en-GB"/>
              </w:rPr>
              <w:t>and assume a target of doubling energy productivity by 2030.</w:t>
            </w:r>
          </w:p>
          <w:p w:rsidR="00D7182C" w:rsidRPr="00610361" w:rsidRDefault="00874DD3" w:rsidP="00B978D4">
            <w:pPr>
              <w:autoSpaceDE w:val="0"/>
              <w:autoSpaceDN w:val="0"/>
              <w:adjustRightInd w:val="0"/>
              <w:spacing w:after="0" w:line="240" w:lineRule="auto"/>
            </w:pPr>
            <w:r w:rsidRPr="0097676F">
              <w:rPr>
                <w:b/>
                <w:sz w:val="18"/>
                <w:lang w:val="en-GB"/>
              </w:rPr>
              <w:t>Emissions targets:</w:t>
            </w:r>
            <w:r w:rsidRPr="00874DD3">
              <w:rPr>
                <w:rFonts w:cs="Arial"/>
                <w:b/>
                <w:bCs/>
                <w:color w:val="auto"/>
                <w:sz w:val="18"/>
                <w:szCs w:val="18"/>
              </w:rPr>
              <w:t xml:space="preserve"> </w:t>
            </w:r>
            <w:r w:rsidR="008668F9" w:rsidRPr="0097676F">
              <w:rPr>
                <w:rFonts w:eastAsia="Times New Roman" w:cs="Times New Roman"/>
                <w:bCs/>
                <w:sz w:val="18"/>
                <w:szCs w:val="24"/>
                <w:lang w:val="en-GB" w:eastAsia="en-GB"/>
              </w:rPr>
              <w:t>Scenario 1</w:t>
            </w:r>
            <w:r w:rsidRPr="0097676F">
              <w:rPr>
                <w:rFonts w:eastAsia="Times New Roman" w:cs="Times New Roman"/>
                <w:bCs/>
                <w:sz w:val="18"/>
                <w:szCs w:val="24"/>
                <w:lang w:val="en-GB" w:eastAsia="en-GB"/>
              </w:rPr>
              <w:t>: 50 per cent reduction on 1990 energy-related CO</w:t>
            </w:r>
            <w:r w:rsidRPr="0097676F">
              <w:rPr>
                <w:rFonts w:eastAsia="Times New Roman" w:cs="Times New Roman"/>
                <w:bCs/>
                <w:sz w:val="18"/>
                <w:szCs w:val="24"/>
                <w:vertAlign w:val="subscript"/>
                <w:lang w:val="en-GB" w:eastAsia="en-GB"/>
              </w:rPr>
              <w:t>2</w:t>
            </w:r>
            <w:r w:rsidRPr="0097676F">
              <w:rPr>
                <w:rFonts w:eastAsia="Times New Roman" w:cs="Times New Roman"/>
                <w:bCs/>
                <w:sz w:val="18"/>
                <w:szCs w:val="24"/>
                <w:lang w:val="en-GB" w:eastAsia="en-GB"/>
              </w:rPr>
              <w:t xml:space="preserve"> emissions by 2035, 70 per cent reduction by 2050</w:t>
            </w:r>
            <w:r w:rsidR="008668F9" w:rsidRPr="0097676F">
              <w:rPr>
                <w:rFonts w:eastAsia="Times New Roman" w:cs="Times New Roman"/>
                <w:bCs/>
                <w:sz w:val="18"/>
                <w:szCs w:val="24"/>
                <w:lang w:val="en-GB" w:eastAsia="en-GB"/>
              </w:rPr>
              <w:t>. Scenario 2:</w:t>
            </w:r>
            <w:r w:rsidRPr="0097676F">
              <w:rPr>
                <w:rFonts w:eastAsia="Times New Roman" w:cs="Times New Roman"/>
                <w:bCs/>
                <w:sz w:val="18"/>
                <w:szCs w:val="24"/>
                <w:lang w:val="en-GB" w:eastAsia="en-GB"/>
              </w:rPr>
              <w:t xml:space="preserve"> 30 per cent emissions reduction on 1990 levels by 2030, 75 per cent on 1990 levels by 2040, full decarbonisation of power, industry and transport by 2050.</w:t>
            </w:r>
          </w:p>
        </w:tc>
      </w:tr>
      <w:tr w:rsidR="00D7182C" w:rsidTr="00D7182C">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t>Melbourne Energy Institute (MEI), 2016, Least cost, utility scale abatement from Australia’s NEM (MEI)</w:t>
            </w:r>
          </w:p>
        </w:tc>
        <w:tc>
          <w:tcPr>
            <w:tcW w:w="7479" w:type="dxa"/>
          </w:tcPr>
          <w:p w:rsidR="00D7182C" w:rsidRPr="001D56E0" w:rsidRDefault="00D7182C" w:rsidP="009D0F88">
            <w:pPr>
              <w:pStyle w:val="TableText"/>
              <w:rPr>
                <w:b/>
                <w:lang w:val="en-GB"/>
              </w:rPr>
            </w:pPr>
            <w:r w:rsidRPr="00D7182C">
              <w:rPr>
                <w:b/>
                <w:lang w:val="en-GB"/>
              </w:rPr>
              <w:t xml:space="preserve">Purpose: </w:t>
            </w:r>
            <w:r w:rsidRPr="00CF158A">
              <w:rPr>
                <w:lang w:val="en-GB"/>
              </w:rPr>
              <w:t>explore the least cost greenhouse gas abatement pathways for the electricity system</w:t>
            </w:r>
            <w:r w:rsidRPr="003611DF">
              <w:rPr>
                <w:lang w:val="en-GB"/>
              </w:rPr>
              <w:t xml:space="preserve"> at different abatement targets.</w:t>
            </w:r>
          </w:p>
          <w:p w:rsidR="00D7182C" w:rsidRPr="006F061A" w:rsidRDefault="00D7182C" w:rsidP="00C74075">
            <w:pPr>
              <w:pStyle w:val="TableText"/>
              <w:rPr>
                <w:b/>
                <w:lang w:val="en-GB"/>
              </w:rPr>
            </w:pPr>
            <w:r w:rsidRPr="001D56E0">
              <w:rPr>
                <w:b/>
                <w:lang w:val="en-GB"/>
              </w:rPr>
              <w:t xml:space="preserve">Policies explored: </w:t>
            </w:r>
            <w:r w:rsidRPr="00AB4F64">
              <w:rPr>
                <w:lang w:val="en-GB"/>
              </w:rPr>
              <w:t xml:space="preserve">no explicit policies modelled for most scenarios, one scenario explored a renewable </w:t>
            </w:r>
            <w:r w:rsidR="00C15F2C">
              <w:rPr>
                <w:lang w:val="en-GB"/>
              </w:rPr>
              <w:t>energy target</w:t>
            </w:r>
            <w:r w:rsidRPr="00AB4F64">
              <w:rPr>
                <w:lang w:val="en-GB"/>
              </w:rPr>
              <w:t>. Other scenarios include technology, fuel price and discount rate sensitivities.</w:t>
            </w:r>
          </w:p>
          <w:p w:rsidR="00D7182C" w:rsidRPr="00610361" w:rsidRDefault="00D7182C" w:rsidP="00C74075">
            <w:pPr>
              <w:pStyle w:val="TableText"/>
            </w:pPr>
            <w:r w:rsidRPr="00610361">
              <w:rPr>
                <w:b/>
                <w:lang w:val="en-GB"/>
              </w:rPr>
              <w:t>Emissions targets:</w:t>
            </w:r>
            <w:r w:rsidRPr="00610361">
              <w:rPr>
                <w:lang w:val="en-GB"/>
              </w:rPr>
              <w:t xml:space="preserve"> five sectoral abatement targets set at 20, 40, 60, 80 and 100 per cent below 2000 levels</w:t>
            </w:r>
            <w:r w:rsidR="00C15F2C">
              <w:rPr>
                <w:lang w:val="en-GB"/>
              </w:rPr>
              <w:t xml:space="preserve"> by 2050</w:t>
            </w:r>
            <w:r w:rsidRPr="00610361">
              <w:rPr>
                <w:lang w:val="en-GB"/>
              </w:rPr>
              <w:t>.</w:t>
            </w:r>
          </w:p>
        </w:tc>
      </w:tr>
      <w:tr w:rsidR="00D7182C" w:rsidTr="00D7182C">
        <w:trPr>
          <w:cnfStyle w:val="000000100000" w:firstRow="0" w:lastRow="0" w:firstColumn="0" w:lastColumn="0" w:oddVBand="0" w:evenVBand="0" w:oddHBand="1" w:evenHBand="0" w:firstRowFirstColumn="0" w:firstRowLastColumn="0" w:lastRowFirstColumn="0" w:lastRowLastColumn="0"/>
        </w:trPr>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lastRenderedPageBreak/>
              <w:t xml:space="preserve">CSIRO, 2015, </w:t>
            </w:r>
            <w:r w:rsidRPr="00610361">
              <w:rPr>
                <w:b/>
                <w:i/>
                <w:sz w:val="18"/>
                <w:szCs w:val="18"/>
                <w:lang w:val="en-GB"/>
              </w:rPr>
              <w:t xml:space="preserve">Australia’s National Outlook 2015 </w:t>
            </w:r>
            <w:r w:rsidRPr="00610361">
              <w:rPr>
                <w:b/>
                <w:sz w:val="18"/>
                <w:szCs w:val="18"/>
                <w:lang w:val="en-GB"/>
              </w:rPr>
              <w:t>(CSIRO)</w:t>
            </w:r>
          </w:p>
        </w:tc>
        <w:tc>
          <w:tcPr>
            <w:tcW w:w="7479" w:type="dxa"/>
          </w:tcPr>
          <w:p w:rsidR="00D7182C" w:rsidRPr="00CF158A" w:rsidRDefault="00D7182C" w:rsidP="00C74075">
            <w:pPr>
              <w:pStyle w:val="TableText"/>
              <w:rPr>
                <w:b/>
                <w:lang w:val="en-GB"/>
              </w:rPr>
            </w:pPr>
            <w:r w:rsidRPr="00D7182C">
              <w:rPr>
                <w:b/>
                <w:lang w:val="en-GB"/>
              </w:rPr>
              <w:t>Purpose:</w:t>
            </w:r>
            <w:r w:rsidRPr="00CF158A">
              <w:rPr>
                <w:b/>
                <w:lang w:val="en-GB"/>
              </w:rPr>
              <w:t xml:space="preserve"> </w:t>
            </w:r>
            <w:r w:rsidRPr="00CF158A">
              <w:rPr>
                <w:lang w:val="en-GB"/>
              </w:rPr>
              <w:t>provide evidence to enable Australia to navigate the challenges involved in achieving sustainable prosperity by investigating a wide range of potential futures.</w:t>
            </w:r>
          </w:p>
          <w:p w:rsidR="00D7182C" w:rsidRPr="001D56E0" w:rsidRDefault="00D7182C" w:rsidP="00C74075">
            <w:pPr>
              <w:pStyle w:val="TableText"/>
              <w:rPr>
                <w:b/>
                <w:lang w:val="en-GB"/>
              </w:rPr>
            </w:pPr>
            <w:r w:rsidRPr="00CF158A">
              <w:rPr>
                <w:b/>
                <w:lang w:val="en-GB"/>
              </w:rPr>
              <w:t xml:space="preserve">Policies explored: </w:t>
            </w:r>
            <w:r w:rsidRPr="00CF158A">
              <w:rPr>
                <w:lang w:val="en-GB"/>
              </w:rPr>
              <w:t>four national and international abatement scenarios (very strong, strong,</w:t>
            </w:r>
            <w:r w:rsidRPr="003611DF">
              <w:rPr>
                <w:lang w:val="en-GB"/>
              </w:rPr>
              <w:t xml:space="preserve"> moderate and none) with corresponding carbon prices.</w:t>
            </w:r>
          </w:p>
          <w:p w:rsidR="00D7182C" w:rsidRPr="00610361" w:rsidRDefault="00D7182C" w:rsidP="00C74075">
            <w:pPr>
              <w:pStyle w:val="TableText"/>
            </w:pPr>
            <w:r w:rsidRPr="00610361">
              <w:rPr>
                <w:b/>
                <w:lang w:val="en-GB"/>
              </w:rPr>
              <w:t>Emissions targets:</w:t>
            </w:r>
            <w:r w:rsidRPr="00610361">
              <w:rPr>
                <w:lang w:val="en-GB"/>
              </w:rPr>
              <w:t xml:space="preserve"> </w:t>
            </w:r>
            <w:r w:rsidR="00CF158A" w:rsidRPr="00610361">
              <w:rPr>
                <w:lang w:val="en-GB"/>
              </w:rPr>
              <w:t>Australia’s emissions budget is consistent with a likely chance of limiting warming to 2 degrees (very strong abatement), 3 degrees (strong and moderate abatement) and 6 degrees (no abatement).</w:t>
            </w:r>
          </w:p>
        </w:tc>
      </w:tr>
      <w:tr w:rsidR="00D7182C" w:rsidTr="00D7182C">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t xml:space="preserve">Energy Networks Association and CSIRO, 2015, </w:t>
            </w:r>
            <w:r w:rsidRPr="00610361">
              <w:rPr>
                <w:b/>
                <w:i/>
                <w:sz w:val="18"/>
                <w:szCs w:val="18"/>
                <w:lang w:val="en-GB"/>
              </w:rPr>
              <w:t xml:space="preserve">Electricity network transformation roadmap: Future Grid Forum </w:t>
            </w:r>
            <w:r w:rsidRPr="00610361">
              <w:rPr>
                <w:b/>
                <w:i/>
                <w:sz w:val="18"/>
                <w:szCs w:val="18"/>
                <w:lang w:val="en-GB"/>
              </w:rPr>
              <w:noBreakHyphen/>
              <w:t xml:space="preserve"> 2015 refresh </w:t>
            </w:r>
            <w:r w:rsidRPr="00610361">
              <w:rPr>
                <w:b/>
                <w:sz w:val="18"/>
                <w:szCs w:val="18"/>
                <w:lang w:val="en-GB"/>
              </w:rPr>
              <w:t>(CSIRO)</w:t>
            </w:r>
          </w:p>
        </w:tc>
        <w:tc>
          <w:tcPr>
            <w:tcW w:w="7479" w:type="dxa"/>
          </w:tcPr>
          <w:p w:rsidR="00D7182C" w:rsidRPr="00CF158A" w:rsidRDefault="00D7182C" w:rsidP="00C74075">
            <w:pPr>
              <w:pStyle w:val="TableText"/>
              <w:rPr>
                <w:lang w:val="en-GB"/>
              </w:rPr>
            </w:pPr>
            <w:r w:rsidRPr="00D7182C">
              <w:rPr>
                <w:b/>
                <w:lang w:val="en-GB"/>
              </w:rPr>
              <w:t>Purpose:</w:t>
            </w:r>
            <w:r w:rsidRPr="00CF158A">
              <w:rPr>
                <w:b/>
                <w:lang w:val="en-GB"/>
              </w:rPr>
              <w:t xml:space="preserve"> </w:t>
            </w:r>
            <w:r w:rsidRPr="00CF158A">
              <w:rPr>
                <w:lang w:val="en-GB"/>
              </w:rPr>
              <w:t>set out pathways for transition of Australia’s electricity networks to 2050.</w:t>
            </w:r>
          </w:p>
          <w:p w:rsidR="00D7182C" w:rsidRPr="001D56E0" w:rsidRDefault="00D7182C" w:rsidP="00C74075">
            <w:pPr>
              <w:pStyle w:val="TableText"/>
              <w:rPr>
                <w:lang w:val="en-GB"/>
              </w:rPr>
            </w:pPr>
            <w:r w:rsidRPr="003611DF">
              <w:rPr>
                <w:b/>
                <w:lang w:val="en-GB"/>
              </w:rPr>
              <w:t xml:space="preserve">Policies explored: </w:t>
            </w:r>
            <w:r w:rsidRPr="003611DF">
              <w:rPr>
                <w:lang w:val="en-GB"/>
              </w:rPr>
              <w:t>carbon price with existing RET, carbon price with 100</w:t>
            </w:r>
            <w:r w:rsidRPr="001D56E0">
              <w:rPr>
                <w:lang w:val="en-GB"/>
              </w:rPr>
              <w:t> per cent RET by 2050 (four carbon price scenarios explored).</w:t>
            </w:r>
          </w:p>
          <w:p w:rsidR="00D7182C" w:rsidRPr="00610361" w:rsidRDefault="00D7182C" w:rsidP="00C74075">
            <w:pPr>
              <w:pStyle w:val="TableText"/>
            </w:pPr>
            <w:r w:rsidRPr="00610361">
              <w:rPr>
                <w:b/>
                <w:lang w:val="en-GB"/>
              </w:rPr>
              <w:t>Core emissions target:</w:t>
            </w:r>
            <w:r w:rsidRPr="00610361">
              <w:rPr>
                <w:lang w:val="en-GB"/>
              </w:rPr>
              <w:t xml:space="preserve"> Australia’s emissions budget is consistent with a likely chance of limiting warming to 3 degrees.</w:t>
            </w:r>
          </w:p>
        </w:tc>
      </w:tr>
      <w:tr w:rsidR="00D7182C" w:rsidTr="00D7182C">
        <w:trPr>
          <w:cnfStyle w:val="000000100000" w:firstRow="0" w:lastRow="0" w:firstColumn="0" w:lastColumn="0" w:oddVBand="0" w:evenVBand="0" w:oddHBand="1" w:evenHBand="0" w:firstRowFirstColumn="0" w:firstRowLastColumn="0" w:lastRowFirstColumn="0" w:lastRowLastColumn="0"/>
        </w:trPr>
        <w:tc>
          <w:tcPr>
            <w:tcW w:w="2376" w:type="dxa"/>
          </w:tcPr>
          <w:p w:rsidR="00D7182C" w:rsidRPr="00610361" w:rsidRDefault="00D7182C" w:rsidP="00610361">
            <w:pPr>
              <w:pStyle w:val="BodyText"/>
              <w:keepNext w:val="0"/>
              <w:spacing w:after="80" w:line="240" w:lineRule="auto"/>
              <w:rPr>
                <w:b/>
                <w:sz w:val="18"/>
                <w:szCs w:val="18"/>
              </w:rPr>
            </w:pPr>
            <w:proofErr w:type="spellStart"/>
            <w:r w:rsidRPr="00610361">
              <w:rPr>
                <w:b/>
                <w:sz w:val="18"/>
                <w:szCs w:val="18"/>
                <w:lang w:val="en-GB"/>
              </w:rPr>
              <w:t>ClimateWorks</w:t>
            </w:r>
            <w:proofErr w:type="spellEnd"/>
            <w:r w:rsidRPr="00610361">
              <w:rPr>
                <w:b/>
                <w:sz w:val="18"/>
                <w:szCs w:val="18"/>
                <w:lang w:val="en-GB"/>
              </w:rPr>
              <w:t xml:space="preserve">, 2014, </w:t>
            </w:r>
            <w:r w:rsidRPr="00610361">
              <w:rPr>
                <w:b/>
                <w:i/>
                <w:sz w:val="18"/>
                <w:szCs w:val="18"/>
                <w:lang w:val="en-GB"/>
              </w:rPr>
              <w:t xml:space="preserve">Pathways to deep decarbonisation in 2050: How Australia can prosper in a low carbon world </w:t>
            </w:r>
            <w:r w:rsidRPr="00610361">
              <w:rPr>
                <w:b/>
                <w:sz w:val="18"/>
                <w:szCs w:val="18"/>
                <w:lang w:val="en-GB"/>
              </w:rPr>
              <w:t>(CSIRO; ANU; Victoria University)</w:t>
            </w:r>
          </w:p>
        </w:tc>
        <w:tc>
          <w:tcPr>
            <w:tcW w:w="7479" w:type="dxa"/>
          </w:tcPr>
          <w:p w:rsidR="00D7182C" w:rsidRPr="00CF158A" w:rsidRDefault="00D7182C" w:rsidP="00C74075">
            <w:pPr>
              <w:pStyle w:val="TableText"/>
              <w:rPr>
                <w:lang w:val="en-GB"/>
              </w:rPr>
            </w:pPr>
            <w:r w:rsidRPr="00D7182C">
              <w:rPr>
                <w:b/>
                <w:lang w:val="en-GB"/>
              </w:rPr>
              <w:t>Purpose:</w:t>
            </w:r>
            <w:r w:rsidRPr="00CF158A">
              <w:rPr>
                <w:b/>
                <w:lang w:val="en-GB"/>
              </w:rPr>
              <w:t xml:space="preserve"> </w:t>
            </w:r>
            <w:r w:rsidRPr="00CF158A">
              <w:rPr>
                <w:lang w:val="en-GB"/>
              </w:rPr>
              <w:t>investigate</w:t>
            </w:r>
            <w:r w:rsidR="00835BC3">
              <w:rPr>
                <w:lang w:val="en-GB"/>
              </w:rPr>
              <w:t xml:space="preserve"> how Australia can transition </w:t>
            </w:r>
            <w:r w:rsidRPr="00CF158A">
              <w:rPr>
                <w:lang w:val="en-GB"/>
              </w:rPr>
              <w:t>to a low carbon economy.</w:t>
            </w:r>
          </w:p>
          <w:p w:rsidR="00D7182C" w:rsidRPr="001D56E0" w:rsidRDefault="00D7182C" w:rsidP="00C74075">
            <w:pPr>
              <w:pStyle w:val="TableText"/>
              <w:rPr>
                <w:lang w:val="en-GB"/>
              </w:rPr>
            </w:pPr>
            <w:r w:rsidRPr="003611DF">
              <w:rPr>
                <w:b/>
                <w:lang w:val="en-GB"/>
              </w:rPr>
              <w:t xml:space="preserve">Policies explored: </w:t>
            </w:r>
            <w:r w:rsidRPr="003611DF">
              <w:rPr>
                <w:lang w:val="en-GB"/>
              </w:rPr>
              <w:t>t</w:t>
            </w:r>
            <w:r w:rsidRPr="001D56E0">
              <w:rPr>
                <w:lang w:val="en-GB"/>
              </w:rPr>
              <w:t>he modelling uses an implied carbon price as a stylistic representation of a suite of emissions reduction polices. Three technology constraints were modelled (100 per cent renewables, renewables and nuclear with no CCS, and renewables and CCS with no nuclear).</w:t>
            </w:r>
          </w:p>
          <w:p w:rsidR="00D7182C" w:rsidRPr="00610361" w:rsidRDefault="00D7182C" w:rsidP="00C74075">
            <w:pPr>
              <w:pStyle w:val="TableText"/>
            </w:pPr>
            <w:r w:rsidRPr="00610361">
              <w:rPr>
                <w:b/>
                <w:lang w:val="en-GB"/>
              </w:rPr>
              <w:t xml:space="preserve">Core emissions target: </w:t>
            </w:r>
            <w:r w:rsidRPr="00610361">
              <w:rPr>
                <w:lang w:val="en-GB"/>
              </w:rPr>
              <w:t>Australia’s emissions budget is consistent with a likely chance of limiting warming to 2 degrees.</w:t>
            </w:r>
          </w:p>
        </w:tc>
      </w:tr>
      <w:tr w:rsidR="00D7182C" w:rsidTr="00D7182C">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t xml:space="preserve">Expert Panel (Warburton Review), 2014, </w:t>
            </w:r>
            <w:r w:rsidRPr="00610361">
              <w:rPr>
                <w:b/>
                <w:i/>
                <w:sz w:val="18"/>
                <w:szCs w:val="18"/>
                <w:lang w:val="en-GB"/>
              </w:rPr>
              <w:t>Review of the Renewable Energy Target Scheme</w:t>
            </w:r>
            <w:r w:rsidRPr="00610361">
              <w:rPr>
                <w:b/>
                <w:sz w:val="18"/>
                <w:szCs w:val="18"/>
                <w:lang w:val="en-GB"/>
              </w:rPr>
              <w:t xml:space="preserve"> (ACIL Allen)</w:t>
            </w:r>
          </w:p>
        </w:tc>
        <w:tc>
          <w:tcPr>
            <w:tcW w:w="7479" w:type="dxa"/>
          </w:tcPr>
          <w:p w:rsidR="00D7182C" w:rsidRPr="00D7182C" w:rsidRDefault="00D7182C" w:rsidP="00C74075">
            <w:pPr>
              <w:pStyle w:val="TableText"/>
              <w:rPr>
                <w:color w:val="1F497D"/>
              </w:rPr>
            </w:pPr>
            <w:r w:rsidRPr="00D7182C">
              <w:rPr>
                <w:b/>
                <w:lang w:val="en-GB"/>
              </w:rPr>
              <w:t xml:space="preserve">Purpose: </w:t>
            </w:r>
            <w:r w:rsidRPr="00CF158A">
              <w:rPr>
                <w:lang w:val="en-GB"/>
              </w:rPr>
              <w:t>examine the design of the RET scheme (as legislated in 2014) and options for revising the scheme to test the imp</w:t>
            </w:r>
            <w:r w:rsidRPr="003611DF">
              <w:rPr>
                <w:lang w:val="en-GB"/>
              </w:rPr>
              <w:t xml:space="preserve">acts of various RET design scenarios on metrics including the electricity generation mix, electricity and certificate prices, </w:t>
            </w:r>
            <w:r w:rsidRPr="00D7182C">
              <w:rPr>
                <w:lang w:val="en-GB"/>
              </w:rPr>
              <w:t>emissions and resource costs.</w:t>
            </w:r>
            <w:r w:rsidRPr="00D7182C">
              <w:rPr>
                <w:b/>
                <w:lang w:val="en-GB"/>
              </w:rPr>
              <w:t xml:space="preserve">  </w:t>
            </w:r>
          </w:p>
          <w:p w:rsidR="00D7182C" w:rsidRPr="00D7182C" w:rsidRDefault="00D7182C" w:rsidP="00C74075">
            <w:pPr>
              <w:pStyle w:val="TableText"/>
              <w:rPr>
                <w:b/>
                <w:lang w:val="en-GB"/>
              </w:rPr>
            </w:pPr>
            <w:r w:rsidRPr="00D7182C">
              <w:rPr>
                <w:b/>
                <w:lang w:val="en-GB"/>
              </w:rPr>
              <w:t>Policies explored</w:t>
            </w:r>
            <w:r w:rsidRPr="00D7182C">
              <w:rPr>
                <w:lang w:val="en-GB"/>
              </w:rPr>
              <w:t>: various RET targets, and a no RET scenario.</w:t>
            </w:r>
          </w:p>
          <w:p w:rsidR="00D7182C" w:rsidRPr="00610361" w:rsidRDefault="00D7182C" w:rsidP="00C74075">
            <w:pPr>
              <w:pStyle w:val="TableText"/>
            </w:pPr>
            <w:r w:rsidRPr="00610361">
              <w:rPr>
                <w:b/>
                <w:lang w:val="en-GB"/>
              </w:rPr>
              <w:t xml:space="preserve">Core emissions targets: </w:t>
            </w:r>
            <w:r w:rsidRPr="00610361">
              <w:rPr>
                <w:lang w:val="en-GB"/>
              </w:rPr>
              <w:t>none.</w:t>
            </w:r>
          </w:p>
        </w:tc>
      </w:tr>
      <w:tr w:rsidR="00D7182C" w:rsidTr="00D7182C">
        <w:trPr>
          <w:cnfStyle w:val="000000100000" w:firstRow="0" w:lastRow="0" w:firstColumn="0" w:lastColumn="0" w:oddVBand="0" w:evenVBand="0" w:oddHBand="1" w:evenHBand="0" w:firstRowFirstColumn="0" w:firstRowLastColumn="0" w:lastRowFirstColumn="0" w:lastRowLastColumn="0"/>
        </w:trPr>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t xml:space="preserve">Climate Change Authority, 2014, </w:t>
            </w:r>
            <w:r w:rsidRPr="00610361">
              <w:rPr>
                <w:b/>
                <w:i/>
                <w:sz w:val="18"/>
                <w:szCs w:val="18"/>
                <w:lang w:val="en-GB"/>
              </w:rPr>
              <w:t xml:space="preserve">Targets and Progress report </w:t>
            </w:r>
            <w:r w:rsidRPr="00610361">
              <w:rPr>
                <w:b/>
                <w:sz w:val="18"/>
                <w:szCs w:val="18"/>
                <w:lang w:val="en-GB"/>
              </w:rPr>
              <w:t>(ACIL Allen; the Treasury; DIICCSRTE)</w:t>
            </w:r>
          </w:p>
        </w:tc>
        <w:tc>
          <w:tcPr>
            <w:tcW w:w="7479" w:type="dxa"/>
          </w:tcPr>
          <w:p w:rsidR="00D7182C" w:rsidRPr="003611DF" w:rsidRDefault="00D7182C" w:rsidP="00C74075">
            <w:pPr>
              <w:pStyle w:val="TableText"/>
              <w:rPr>
                <w:lang w:val="en-GB"/>
              </w:rPr>
            </w:pPr>
            <w:r w:rsidRPr="00D7182C">
              <w:rPr>
                <w:b/>
                <w:lang w:val="en-GB"/>
              </w:rPr>
              <w:t>Purpose:</w:t>
            </w:r>
            <w:r w:rsidRPr="00CF158A">
              <w:rPr>
                <w:b/>
                <w:lang w:val="en-GB"/>
              </w:rPr>
              <w:t xml:space="preserve"> </w:t>
            </w:r>
            <w:r w:rsidRPr="00CF158A">
              <w:rPr>
                <w:lang w:val="en-GB"/>
              </w:rPr>
              <w:t>recommend emissions reductions goals for Australia and identify Australia’s progress towards targets.</w:t>
            </w:r>
          </w:p>
          <w:p w:rsidR="00D7182C" w:rsidRPr="001D56E0" w:rsidRDefault="00D7182C" w:rsidP="00C74075">
            <w:pPr>
              <w:pStyle w:val="TableText"/>
              <w:rPr>
                <w:lang w:val="en-GB"/>
              </w:rPr>
            </w:pPr>
            <w:r w:rsidRPr="003611DF">
              <w:rPr>
                <w:b/>
                <w:lang w:val="en-GB"/>
              </w:rPr>
              <w:t xml:space="preserve">Policies explored: </w:t>
            </w:r>
            <w:r w:rsidRPr="001D56E0">
              <w:rPr>
                <w:lang w:val="en-GB"/>
              </w:rPr>
              <w:t>three carbon price paths (high, medium and low).</w:t>
            </w:r>
          </w:p>
          <w:p w:rsidR="00D7182C" w:rsidRPr="00AB4F64" w:rsidRDefault="00D7182C" w:rsidP="00C74075">
            <w:pPr>
              <w:pStyle w:val="TableText"/>
              <w:rPr>
                <w:lang w:val="en-GB"/>
              </w:rPr>
            </w:pPr>
            <w:r w:rsidRPr="001D56E0">
              <w:rPr>
                <w:b/>
                <w:lang w:val="en-GB"/>
              </w:rPr>
              <w:t xml:space="preserve">Core emissions target: </w:t>
            </w:r>
            <w:r w:rsidRPr="00AB4F64">
              <w:rPr>
                <w:lang w:val="en-GB"/>
              </w:rPr>
              <w:t>five per cent below 2000 levels by 2020 and 80 per cent below 2000 levels by 2050.</w:t>
            </w:r>
          </w:p>
          <w:p w:rsidR="00D7182C" w:rsidRPr="00610361" w:rsidRDefault="00D7182C" w:rsidP="00C74075">
            <w:pPr>
              <w:pStyle w:val="TableText"/>
            </w:pPr>
            <w:r w:rsidRPr="00610361">
              <w:rPr>
                <w:b/>
                <w:lang w:val="en-GB"/>
              </w:rPr>
              <w:t>Alternate emissions target:</w:t>
            </w:r>
            <w:r w:rsidRPr="00610361">
              <w:rPr>
                <w:lang w:val="en-GB"/>
              </w:rPr>
              <w:t xml:space="preserve"> 25 per cent below 2000 levels by 2020 and 80 per cent below 2000 levels by 2050.</w:t>
            </w:r>
          </w:p>
        </w:tc>
      </w:tr>
      <w:tr w:rsidR="00D7182C" w:rsidTr="00D7182C">
        <w:tc>
          <w:tcPr>
            <w:tcW w:w="2376" w:type="dxa"/>
          </w:tcPr>
          <w:p w:rsidR="00D7182C" w:rsidRPr="00610361" w:rsidRDefault="00D7182C" w:rsidP="00610361">
            <w:pPr>
              <w:pStyle w:val="BodyText"/>
              <w:keepNext w:val="0"/>
              <w:spacing w:after="80" w:line="240" w:lineRule="auto"/>
              <w:rPr>
                <w:b/>
                <w:sz w:val="18"/>
                <w:szCs w:val="18"/>
              </w:rPr>
            </w:pPr>
            <w:r w:rsidRPr="00610361">
              <w:rPr>
                <w:b/>
                <w:sz w:val="18"/>
                <w:szCs w:val="18"/>
                <w:lang w:val="en-GB"/>
              </w:rPr>
              <w:t xml:space="preserve">Frontier Economics, 2009, </w:t>
            </w:r>
            <w:r w:rsidRPr="00610361">
              <w:rPr>
                <w:b/>
                <w:i/>
                <w:sz w:val="18"/>
                <w:szCs w:val="18"/>
                <w:lang w:val="en-GB"/>
              </w:rPr>
              <w:t>The economic impacts of the CPRS and modification to the CPRS</w:t>
            </w:r>
            <w:r w:rsidRPr="00610361">
              <w:rPr>
                <w:b/>
                <w:sz w:val="18"/>
                <w:szCs w:val="18"/>
                <w:lang w:val="en-GB"/>
              </w:rPr>
              <w:t xml:space="preserve"> (Frontier Economics)</w:t>
            </w:r>
          </w:p>
        </w:tc>
        <w:tc>
          <w:tcPr>
            <w:tcW w:w="7479" w:type="dxa"/>
          </w:tcPr>
          <w:p w:rsidR="00D7182C" w:rsidRPr="003611DF" w:rsidRDefault="00D7182C" w:rsidP="00C74075">
            <w:pPr>
              <w:pStyle w:val="TableText"/>
              <w:rPr>
                <w:lang w:val="en-GB"/>
              </w:rPr>
            </w:pPr>
            <w:r w:rsidRPr="00D7182C">
              <w:rPr>
                <w:b/>
                <w:lang w:val="en-GB"/>
              </w:rPr>
              <w:t>Purpose:</w:t>
            </w:r>
            <w:r w:rsidRPr="00CF158A">
              <w:rPr>
                <w:b/>
                <w:lang w:val="en-GB"/>
              </w:rPr>
              <w:t xml:space="preserve"> </w:t>
            </w:r>
            <w:r w:rsidRPr="00CF158A">
              <w:rPr>
                <w:lang w:val="en-GB"/>
              </w:rPr>
              <w:t>examine opportunities to improve the proposed Carbon Pollution Reduction Scheme</w:t>
            </w:r>
            <w:r w:rsidRPr="003611DF">
              <w:rPr>
                <w:lang w:val="en-GB"/>
              </w:rPr>
              <w:t xml:space="preserve"> (CPRS).</w:t>
            </w:r>
          </w:p>
          <w:p w:rsidR="00D7182C" w:rsidRPr="001D56E0" w:rsidRDefault="00D7182C" w:rsidP="00C74075">
            <w:pPr>
              <w:pStyle w:val="TableText"/>
              <w:rPr>
                <w:lang w:val="en-GB"/>
              </w:rPr>
            </w:pPr>
            <w:r w:rsidRPr="001D56E0">
              <w:rPr>
                <w:b/>
                <w:lang w:val="en-GB"/>
              </w:rPr>
              <w:t xml:space="preserve">Policies explored: </w:t>
            </w:r>
            <w:r w:rsidRPr="001D56E0">
              <w:rPr>
                <w:lang w:val="en-GB"/>
              </w:rPr>
              <w:t>CPRS (cap and trade scheme), CPRS with higher protection for emissions</w:t>
            </w:r>
            <w:r w:rsidRPr="001D56E0">
              <w:rPr>
                <w:lang w:val="en-GB"/>
              </w:rPr>
              <w:noBreakHyphen/>
              <w:t>intensive trade</w:t>
            </w:r>
            <w:r w:rsidRPr="001D56E0">
              <w:rPr>
                <w:lang w:val="en-GB"/>
              </w:rPr>
              <w:noBreakHyphen/>
              <w:t xml:space="preserve">exposed industries (EITEI), </w:t>
            </w:r>
            <w:proofErr w:type="gramStart"/>
            <w:r w:rsidRPr="001D56E0">
              <w:rPr>
                <w:lang w:val="en-GB"/>
              </w:rPr>
              <w:t>emissions</w:t>
            </w:r>
            <w:proofErr w:type="gramEnd"/>
            <w:r w:rsidRPr="001D56E0">
              <w:rPr>
                <w:lang w:val="en-GB"/>
              </w:rPr>
              <w:t xml:space="preserve"> intensity scheme.</w:t>
            </w:r>
          </w:p>
          <w:p w:rsidR="00D7182C" w:rsidRPr="006F061A" w:rsidRDefault="00D7182C" w:rsidP="00C74075">
            <w:pPr>
              <w:pStyle w:val="TableText"/>
              <w:rPr>
                <w:lang w:val="en-GB"/>
              </w:rPr>
            </w:pPr>
            <w:r w:rsidRPr="00AB4F64">
              <w:rPr>
                <w:b/>
                <w:lang w:val="en-GB"/>
              </w:rPr>
              <w:t xml:space="preserve">Core emissions target: </w:t>
            </w:r>
            <w:r w:rsidRPr="00AB4F64">
              <w:rPr>
                <w:lang w:val="en-GB"/>
              </w:rPr>
              <w:t>five per cent below 2000 levels by 2020 and 6</w:t>
            </w:r>
            <w:r w:rsidRPr="006F061A">
              <w:rPr>
                <w:lang w:val="en-GB"/>
              </w:rPr>
              <w:t xml:space="preserve">0 per cent below 2000 by 2050 (CPRS and CPRS with higher EITEI support). </w:t>
            </w:r>
          </w:p>
          <w:p w:rsidR="00D7182C" w:rsidRPr="00610361" w:rsidRDefault="00D7182C" w:rsidP="00C74075">
            <w:pPr>
              <w:pStyle w:val="TableText"/>
            </w:pPr>
            <w:r w:rsidRPr="00610361">
              <w:rPr>
                <w:b/>
                <w:lang w:val="en-GB"/>
              </w:rPr>
              <w:t>Alternate emissions target:</w:t>
            </w:r>
            <w:r w:rsidRPr="00610361">
              <w:rPr>
                <w:lang w:val="en-GB"/>
              </w:rPr>
              <w:t xml:space="preserve"> 10 per cent below 2000 levels by 2020 and 60 per cent below 2000 levels by 2050 (emissions intensity scheme).</w:t>
            </w:r>
          </w:p>
        </w:tc>
      </w:tr>
    </w:tbl>
    <w:p w:rsidR="00D7182C" w:rsidRDefault="00D7182C" w:rsidP="00610361">
      <w:pPr>
        <w:pStyle w:val="TableNote"/>
      </w:pPr>
      <w:r w:rsidRPr="00F143AC">
        <w:rPr>
          <w:b/>
          <w:lang w:val="en-GB"/>
        </w:rPr>
        <w:t>Source</w:t>
      </w:r>
      <w:r>
        <w:rPr>
          <w:lang w:val="en-GB"/>
        </w:rPr>
        <w:t xml:space="preserve">: Climate Change Authority based on </w:t>
      </w:r>
      <w:bookmarkStart w:id="419" w:name="_CTVP001a8dd5d0ebb5448938f2785376561b27b"/>
      <w:r w:rsidR="0045376D">
        <w:rPr>
          <w:lang w:val="en-GB"/>
        </w:rPr>
        <w:t xml:space="preserve">Frontier Economics 2009; Treasury and DIICCSRTE 2013; ACIL Allen Consulting 2013; </w:t>
      </w:r>
      <w:proofErr w:type="spellStart"/>
      <w:r w:rsidR="0045376D">
        <w:rPr>
          <w:lang w:val="en-GB"/>
        </w:rPr>
        <w:t>ClimateWorks</w:t>
      </w:r>
      <w:proofErr w:type="spellEnd"/>
      <w:r w:rsidR="0045376D">
        <w:rPr>
          <w:lang w:val="en-GB"/>
        </w:rPr>
        <w:t xml:space="preserve"> Australia et al. 2014; Expert Panel 2014; Graham et al. 2015; CSIRO 2015, Jacobs 2016a, 2016c; </w:t>
      </w:r>
      <w:proofErr w:type="spellStart"/>
      <w:r w:rsidR="0045376D">
        <w:rPr>
          <w:lang w:val="en-GB"/>
        </w:rPr>
        <w:t>Teske</w:t>
      </w:r>
      <w:proofErr w:type="spellEnd"/>
      <w:r w:rsidR="0045376D">
        <w:rPr>
          <w:lang w:val="en-GB"/>
        </w:rPr>
        <w:t xml:space="preserve"> et al. 2016; Adams 2016; Ernst &amp; Young 2016</w:t>
      </w:r>
      <w:bookmarkEnd w:id="419"/>
      <w:r>
        <w:rPr>
          <w:lang w:val="en-GB"/>
        </w:rPr>
        <w:t>.</w:t>
      </w:r>
    </w:p>
    <w:p w:rsidR="00FF6B73" w:rsidRPr="007037E2" w:rsidRDefault="00FF6B73" w:rsidP="00FF6B73">
      <w:pPr>
        <w:pStyle w:val="ChapterHeading1"/>
        <w:ind w:left="2835" w:hanging="2835"/>
      </w:pPr>
      <w:bookmarkStart w:id="420" w:name="_Toc457302107"/>
      <w:bookmarkStart w:id="421" w:name="_Toc460317993"/>
      <w:bookmarkStart w:id="422" w:name="_Toc444610047"/>
      <w:bookmarkStart w:id="423" w:name="_Ref447044016"/>
      <w:bookmarkStart w:id="424" w:name="_Toc447182442"/>
      <w:bookmarkStart w:id="425" w:name="_Toc447183287"/>
      <w:bookmarkStart w:id="426" w:name="_Toc447183361"/>
      <w:bookmarkStart w:id="427" w:name="_Toc447183399"/>
      <w:bookmarkStart w:id="428" w:name="_Toc447183487"/>
      <w:bookmarkStart w:id="429" w:name="_Toc447183546"/>
      <w:bookmarkStart w:id="430" w:name="_Ref447638879"/>
      <w:bookmarkStart w:id="431" w:name="_Toc448132695"/>
      <w:bookmarkStart w:id="432" w:name="_Toc448151755"/>
      <w:bookmarkStart w:id="433" w:name="_Toc448151823"/>
      <w:bookmarkStart w:id="434" w:name="_Ref448935566"/>
      <w:bookmarkStart w:id="435" w:name="_Ref448935710"/>
      <w:bookmarkStart w:id="436" w:name="_Ref448935746"/>
      <w:bookmarkStart w:id="437" w:name="_Ref448935939"/>
      <w:bookmarkStart w:id="438" w:name="_Ref448935953"/>
      <w:bookmarkStart w:id="439" w:name="_Ref449005658"/>
      <w:bookmarkStart w:id="440" w:name="_Ref449005801"/>
      <w:bookmarkStart w:id="441" w:name="_Ref443657443"/>
      <w:bookmarkStart w:id="442" w:name="_Toc443920175"/>
      <w:r w:rsidRPr="007037E2">
        <w:lastRenderedPageBreak/>
        <w:t>Assessing policy options for Australia’s electricity supply sector</w:t>
      </w:r>
      <w:bookmarkEnd w:id="420"/>
      <w:bookmarkEnd w:id="421"/>
    </w:p>
    <w:tbl>
      <w:tblPr>
        <w:tblStyle w:val="CCATablebox"/>
        <w:tblW w:w="0" w:type="auto"/>
        <w:tblLook w:val="04A0" w:firstRow="1" w:lastRow="0" w:firstColumn="1" w:lastColumn="0" w:noHBand="0" w:noVBand="1"/>
      </w:tblPr>
      <w:tblGrid>
        <w:gridCol w:w="9855"/>
      </w:tblGrid>
      <w:tr w:rsidR="00FF6B73" w:rsidTr="00C74075">
        <w:trPr>
          <w:cnfStyle w:val="100000000000" w:firstRow="1" w:lastRow="0" w:firstColumn="0" w:lastColumn="0" w:oddVBand="0" w:evenVBand="0" w:oddHBand="0" w:evenHBand="0" w:firstRowFirstColumn="0" w:firstRowLastColumn="0" w:lastRowFirstColumn="0" w:lastRowLastColumn="0"/>
        </w:trPr>
        <w:tc>
          <w:tcPr>
            <w:tcW w:w="9855" w:type="dxa"/>
            <w:vAlign w:val="center"/>
          </w:tcPr>
          <w:p w:rsidR="00FF6B73" w:rsidRDefault="00FF6B73" w:rsidP="00C74075">
            <w:pPr>
              <w:spacing w:before="240"/>
            </w:pPr>
            <w:r>
              <w:t xml:space="preserve">This chapter uses the Authority’s evaluation framework to compare the policy options introduced in </w:t>
            </w:r>
            <w:r w:rsidR="00CA762C">
              <w:t>Chapter 3</w:t>
            </w:r>
            <w:r>
              <w:t>. It addresses two core questions:</w:t>
            </w:r>
          </w:p>
          <w:p w:rsidR="00FF6B73" w:rsidRDefault="00FF6B73" w:rsidP="00C74075">
            <w:pPr>
              <w:pStyle w:val="ListBullet"/>
            </w:pPr>
            <w:r>
              <w:t>Should there be a market mechanism in the electricity supply sector?</w:t>
            </w:r>
          </w:p>
          <w:p w:rsidR="00FF6B73" w:rsidRDefault="00FF6B73" w:rsidP="00C74075">
            <w:pPr>
              <w:pStyle w:val="ListBullet"/>
            </w:pPr>
            <w:r>
              <w:t>If yes, which type of market mechanism should be implemented given their relative strengths and weaknesses?</w:t>
            </w:r>
          </w:p>
          <w:p w:rsidR="00FF6B73" w:rsidRDefault="00FF6B73" w:rsidP="00C74075">
            <w:r>
              <w:t>The Authority’s analysis indicates that market mechanisms have a greater capacity to deliver large emissions reductions cost-effectively while remaining robust to different possible future conditions than other policy types.</w:t>
            </w:r>
          </w:p>
          <w:p w:rsidR="00FF6B73" w:rsidRDefault="00FF6B73" w:rsidP="00C74075">
            <w:r>
              <w:t xml:space="preserve">The distribution of costs under </w:t>
            </w:r>
            <w:r w:rsidR="00C74075">
              <w:t>market mechanisms</w:t>
            </w:r>
            <w:r>
              <w:t xml:space="preserve"> varies across the specific type of policy: an emissions intensity scheme has lower price effects, while a cap and trade scheme or carbon tax has higher prices, but also raises revenue which can be used to provide assistance where appropriate. </w:t>
            </w:r>
          </w:p>
          <w:p w:rsidR="00FF6B73" w:rsidRDefault="00FF6B73" w:rsidP="00FD0E80">
            <w:pPr>
              <w:spacing w:after="240"/>
            </w:pPr>
            <w:r>
              <w:t xml:space="preserve">The Authority’s </w:t>
            </w:r>
            <w:r w:rsidR="00C74075">
              <w:t>view</w:t>
            </w:r>
            <w:r>
              <w:t xml:space="preserve"> is that a </w:t>
            </w:r>
            <w:r w:rsidR="00C74075">
              <w:t>market</w:t>
            </w:r>
            <w:r>
              <w:t xml:space="preserve"> </w:t>
            </w:r>
            <w:r w:rsidR="00004B82">
              <w:t xml:space="preserve">mechanism </w:t>
            </w:r>
            <w:r>
              <w:t xml:space="preserve">of some form is desirable in the electricity sector. </w:t>
            </w:r>
          </w:p>
        </w:tc>
      </w:tr>
    </w:tbl>
    <w:p w:rsidR="00FF6B73" w:rsidRDefault="00FF6B73" w:rsidP="00FF6B73">
      <w:pPr>
        <w:pStyle w:val="ChapterHeading2"/>
        <w:numPr>
          <w:ilvl w:val="1"/>
          <w:numId w:val="15"/>
        </w:numPr>
      </w:pPr>
      <w:bookmarkStart w:id="443" w:name="_Toc457302108"/>
      <w:bookmarkStart w:id="444" w:name="_Ref457839914"/>
      <w:bookmarkStart w:id="445" w:name="_Toc460317994"/>
      <w:r>
        <w:t>Comparing the performance of policies to reduce electricity emissions</w:t>
      </w:r>
      <w:bookmarkEnd w:id="443"/>
      <w:bookmarkEnd w:id="444"/>
      <w:bookmarkEnd w:id="445"/>
    </w:p>
    <w:p w:rsidR="00FF6B73" w:rsidRPr="003B4E50" w:rsidRDefault="00FF6B73" w:rsidP="00FF6B73">
      <w:pPr>
        <w:pStyle w:val="BodyText"/>
      </w:pPr>
      <w:r>
        <w:t xml:space="preserve">This chapter considers which policy option is best suited to being the primary policy for </w:t>
      </w:r>
      <w:r w:rsidR="0073517F">
        <w:t xml:space="preserve">reducing emissions in </w:t>
      </w:r>
      <w:r>
        <w:t xml:space="preserve">the electricity supply sector. </w:t>
      </w:r>
      <w:r w:rsidR="00CA762C">
        <w:t>Chapter 5</w:t>
      </w:r>
      <w:r>
        <w:t xml:space="preserve"> examines the potential to use policies in combination.</w:t>
      </w:r>
    </w:p>
    <w:p w:rsidR="00FF6B73" w:rsidRDefault="00FF6B73" w:rsidP="00FF6B73">
      <w:pPr>
        <w:pStyle w:val="BodyText"/>
      </w:pPr>
      <w:r>
        <w:t>The electricity sector’s characteristics—measurable emissions, relatively small number of large emissions sources, and sophisticated investors operating in generally competitive generation markets—suggest that market mechanisms are feasible and more cost</w:t>
      </w:r>
      <w:r>
        <w:noBreakHyphen/>
        <w:t xml:space="preserve">effective than alternatives. </w:t>
      </w:r>
    </w:p>
    <w:p w:rsidR="00FF6B73" w:rsidRDefault="00FF6B73" w:rsidP="00FF6B73">
      <w:pPr>
        <w:pStyle w:val="BodyText"/>
      </w:pPr>
      <w:r>
        <w:t xml:space="preserve">The following sections compare the performance of the policy options described in </w:t>
      </w:r>
      <w:r w:rsidR="00CA762C">
        <w:t xml:space="preserve">Table </w:t>
      </w:r>
      <w:r w:rsidR="00CA762C">
        <w:rPr>
          <w:noProof/>
        </w:rPr>
        <w:t>3</w:t>
      </w:r>
      <w:r>
        <w:t xml:space="preserve"> of Chapter 3 against the core criteria of environmental effectiveness, cost effectiveness and equity. Overall, the Authority finds that:</w:t>
      </w:r>
    </w:p>
    <w:p w:rsidR="00FF6B73" w:rsidRDefault="00FF6B73" w:rsidP="00FF6B73">
      <w:pPr>
        <w:pStyle w:val="ListBullet"/>
      </w:pPr>
      <w:r>
        <w:t>While all policy options are capable of achieving deep emissions reduction</w:t>
      </w:r>
      <w:r w:rsidR="00835BC3">
        <w:t>s</w:t>
      </w:r>
      <w:r>
        <w:t xml:space="preserve"> in the electricity sector, technology pull and regulatory policies have greater costs and risks than market mechanisms.</w:t>
      </w:r>
    </w:p>
    <w:p w:rsidR="00FF6B73" w:rsidRDefault="00FF6B73" w:rsidP="00FF6B73">
      <w:pPr>
        <w:pStyle w:val="ListBullet"/>
      </w:pPr>
      <w:r>
        <w:t>A</w:t>
      </w:r>
      <w:r w:rsidRPr="00DF664B">
        <w:t xml:space="preserve"> </w:t>
      </w:r>
      <w:r>
        <w:t>market mechanism</w:t>
      </w:r>
      <w:r w:rsidRPr="00DF664B">
        <w:t xml:space="preserve"> </w:t>
      </w:r>
      <w:r>
        <w:t>for the sector c</w:t>
      </w:r>
      <w:r w:rsidRPr="00DF664B">
        <w:t>ould allow Australia to meet its targets at a lower cost to the community than would be possible without such a policy in the toolkit.</w:t>
      </w:r>
    </w:p>
    <w:p w:rsidR="00FF6B73" w:rsidRDefault="00FF6B73" w:rsidP="00FF6B73">
      <w:pPr>
        <w:pStyle w:val="ListBullet"/>
      </w:pPr>
      <w:r>
        <w:t>A</w:t>
      </w:r>
      <w:r w:rsidRPr="00E002C9">
        <w:t xml:space="preserve">ll </w:t>
      </w:r>
      <w:r>
        <w:t xml:space="preserve">supply-side </w:t>
      </w:r>
      <w:r w:rsidRPr="00E002C9">
        <w:t xml:space="preserve">mitigation policies have costs as well as </w:t>
      </w:r>
      <w:proofErr w:type="gramStart"/>
      <w:r w:rsidRPr="00E002C9">
        <w:t>benefits</w:t>
      </w:r>
      <w:r>
        <w:t>,</w:t>
      </w:r>
      <w:proofErr w:type="gramEnd"/>
      <w:r>
        <w:t xml:space="preserve"> however these can be addressed in a number of ways. A</w:t>
      </w:r>
      <w:r w:rsidRPr="00E002C9">
        <w:t xml:space="preserve">chieving </w:t>
      </w:r>
      <w:r>
        <w:t>substantial emissions reductions over the longer term is</w:t>
      </w:r>
      <w:r w:rsidRPr="00E002C9">
        <w:t xml:space="preserve"> likely to increase electricity prices for consumers and </w:t>
      </w:r>
      <w:r>
        <w:t>change the relative value of generators’ plant</w:t>
      </w:r>
      <w:r w:rsidRPr="00E002C9">
        <w:t xml:space="preserve">. </w:t>
      </w:r>
    </w:p>
    <w:p w:rsidR="00FF6B73" w:rsidRPr="00E002C9" w:rsidRDefault="00FF6B73" w:rsidP="00FF6B73">
      <w:pPr>
        <w:pStyle w:val="ListBullet"/>
      </w:pPr>
      <w:r>
        <w:lastRenderedPageBreak/>
        <w:t>E</w:t>
      </w:r>
      <w:r w:rsidRPr="00D93DFB">
        <w:t xml:space="preserve">quity concerns </w:t>
      </w:r>
      <w:r>
        <w:t xml:space="preserve">can be dealt with through policy choice—as the scale and distribution of costs varies across the options available—and through other measures, such as </w:t>
      </w:r>
      <w:r w:rsidRPr="00D93DFB">
        <w:t>targeted assistance</w:t>
      </w:r>
      <w:r>
        <w:t xml:space="preserve"> or energy efficiency policies which can improve electricity affordability</w:t>
      </w:r>
      <w:r w:rsidRPr="00D93DFB">
        <w:t>.</w:t>
      </w:r>
    </w:p>
    <w:p w:rsidR="00FF6B73" w:rsidRDefault="00FF6B73" w:rsidP="00FF6B73">
      <w:pPr>
        <w:pStyle w:val="ChapterHeading3"/>
        <w:numPr>
          <w:ilvl w:val="2"/>
          <w:numId w:val="15"/>
        </w:numPr>
      </w:pPr>
      <w:bookmarkStart w:id="446" w:name="_Toc457302109"/>
      <w:bookmarkStart w:id="447" w:name="_Ref457840082"/>
      <w:bookmarkStart w:id="448" w:name="_Ref457840086"/>
      <w:bookmarkStart w:id="449" w:name="_Ref457840583"/>
      <w:bookmarkStart w:id="450" w:name="_Toc460317995"/>
      <w:r>
        <w:t>Environmental effectiveness</w:t>
      </w:r>
      <w:bookmarkEnd w:id="446"/>
      <w:bookmarkEnd w:id="447"/>
      <w:bookmarkEnd w:id="448"/>
      <w:bookmarkEnd w:id="449"/>
      <w:bookmarkEnd w:id="450"/>
    </w:p>
    <w:p w:rsidR="00FF6B73" w:rsidRDefault="00FF6B73" w:rsidP="00FF6B73">
      <w:pPr>
        <w:pStyle w:val="BodyText"/>
        <w:rPr>
          <w:lang w:val="en-GB" w:eastAsia="en-AU"/>
        </w:rPr>
      </w:pPr>
      <w:r>
        <w:rPr>
          <w:lang w:val="en-GB" w:eastAsia="en-AU"/>
        </w:rPr>
        <w:t xml:space="preserve">The key measures of a mitigation policy’s environmental effectiveness are the volume of emissions reductions it can achieve and the likelihood of the policy achieving the reductions across a range of circumstances. Jacobs’ modelling finds that </w:t>
      </w:r>
      <w:r w:rsidR="00D85A9A">
        <w:rPr>
          <w:lang w:val="en-GB" w:eastAsia="en-AU"/>
        </w:rPr>
        <w:t xml:space="preserve">almost all of the </w:t>
      </w:r>
      <w:r>
        <w:rPr>
          <w:lang w:val="en-GB" w:eastAsia="en-AU"/>
        </w:rPr>
        <w:t>policies analysed are capable of achieving deep emission</w:t>
      </w:r>
      <w:r w:rsidR="00835BC3">
        <w:rPr>
          <w:lang w:val="en-GB" w:eastAsia="en-AU"/>
        </w:rPr>
        <w:t>s</w:t>
      </w:r>
      <w:r>
        <w:rPr>
          <w:lang w:val="en-GB" w:eastAsia="en-AU"/>
        </w:rPr>
        <w:t xml:space="preserve"> reductions consistent with a likely chance of limiting warming to 2 degrees (</w:t>
      </w:r>
      <w:r w:rsidR="00CA762C">
        <w:t xml:space="preserve">Figure </w:t>
      </w:r>
      <w:r w:rsidR="00CA762C">
        <w:rPr>
          <w:noProof/>
        </w:rPr>
        <w:t>11</w:t>
      </w:r>
      <w:r>
        <w:rPr>
          <w:lang w:val="en-GB" w:eastAsia="en-AU"/>
        </w:rPr>
        <w:t>). This suggests that the main differences between policies are their costs, the distribution of costs and their risks.</w:t>
      </w:r>
    </w:p>
    <w:p w:rsidR="00FF6B73" w:rsidRDefault="00FF6B73" w:rsidP="00FF6B73">
      <w:pPr>
        <w:pStyle w:val="Caption"/>
      </w:pPr>
      <w:bookmarkStart w:id="451" w:name="_Ref457840110"/>
      <w:bookmarkStart w:id="452" w:name="_Toc449696822"/>
      <w:bookmarkStart w:id="453" w:name="_Toc460318042"/>
      <w:r>
        <w:t xml:space="preserve">Figure </w:t>
      </w:r>
      <w:r w:rsidR="00CA762C">
        <w:rPr>
          <w:noProof/>
        </w:rPr>
        <w:t>11</w:t>
      </w:r>
      <w:bookmarkEnd w:id="451"/>
      <w:r w:rsidR="00A6425D">
        <w:tab/>
      </w:r>
      <w:r>
        <w:t>Emissions by policy, 2 degrees, 2020–2050</w:t>
      </w:r>
      <w:bookmarkEnd w:id="452"/>
      <w:bookmarkEnd w:id="453"/>
    </w:p>
    <w:p w:rsidR="00FF6B73" w:rsidRDefault="00FF6B73" w:rsidP="00FF6B73">
      <w:pPr>
        <w:pStyle w:val="BodyText"/>
        <w:keepNext/>
        <w:jc w:val="center"/>
        <w:rPr>
          <w:lang w:val="en-GB" w:eastAsia="en-AU"/>
        </w:rPr>
      </w:pPr>
      <w:r w:rsidRPr="00947C00">
        <w:rPr>
          <w:noProof/>
          <w:lang w:eastAsia="en-AU"/>
        </w:rPr>
        <w:drawing>
          <wp:inline distT="0" distB="0" distL="0" distR="0" wp14:anchorId="287F7741" wp14:editId="3D0EC21E">
            <wp:extent cx="6076800" cy="315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6800" cy="3150000"/>
                    </a:xfrm>
                    <a:prstGeom prst="rect">
                      <a:avLst/>
                    </a:prstGeom>
                    <a:noFill/>
                    <a:ln>
                      <a:noFill/>
                    </a:ln>
                  </pic:spPr>
                </pic:pic>
              </a:graphicData>
            </a:graphic>
          </wp:inline>
        </w:drawing>
      </w:r>
    </w:p>
    <w:p w:rsidR="00FF6B73" w:rsidRDefault="00FF6B73" w:rsidP="00FF6B73">
      <w:pPr>
        <w:pStyle w:val="TableNote"/>
      </w:pPr>
      <w:r w:rsidRPr="00226B01">
        <w:rPr>
          <w:b/>
        </w:rPr>
        <w:t>Note:</w:t>
      </w:r>
      <w:r>
        <w:t xml:space="preserve"> </w:t>
      </w:r>
      <w:r w:rsidRPr="008E61FF">
        <w:t>Emissions from</w:t>
      </w:r>
      <w:r>
        <w:t xml:space="preserve"> the</w:t>
      </w:r>
      <w:r w:rsidRPr="008E61FF">
        <w:t xml:space="preserve"> NEM and WEM.</w:t>
      </w:r>
      <w:r w:rsidDel="00AF157E">
        <w:t xml:space="preserve"> </w:t>
      </w:r>
      <w:r>
        <w:t>Emissions comprised of direct emissions (from combustion of fuels in electricity generation) and indirect emissions (emitted during processing and supply of fuel to power stations</w:t>
      </w:r>
      <w:r w:rsidRPr="00C82CDB">
        <w:t>)</w:t>
      </w:r>
      <w:r>
        <w:t>. 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e or 15 per cent.</w:t>
      </w:r>
      <w:r>
        <w:br/>
      </w:r>
      <w:r w:rsidRPr="008E61FF">
        <w:rPr>
          <w:b/>
        </w:rPr>
        <w:t>Source:</w:t>
      </w:r>
      <w:r>
        <w:rPr>
          <w:b/>
        </w:rPr>
        <w:t xml:space="preserve"> </w:t>
      </w:r>
      <w:bookmarkStart w:id="454" w:name="_CTVP001cd565a11c7db4e8791b637a092eb8fd6"/>
      <w:proofErr w:type="gramStart"/>
      <w:r w:rsidR="0059109A">
        <w:t>Jacobs 2016</w:t>
      </w:r>
      <w:proofErr w:type="gramEnd"/>
      <w:r w:rsidR="0059109A">
        <w:t>c</w:t>
      </w:r>
      <w:bookmarkEnd w:id="454"/>
      <w:r>
        <w:t>.</w:t>
      </w:r>
    </w:p>
    <w:p w:rsidR="00FF6B73" w:rsidRDefault="00096740" w:rsidP="00FF6B73">
      <w:pPr>
        <w:pStyle w:val="BodyText"/>
      </w:pPr>
      <w:proofErr w:type="gramStart"/>
      <w:r>
        <w:t>In Jacobs’ modelling</w:t>
      </w:r>
      <w:r w:rsidR="00FF6B73">
        <w:t xml:space="preserve"> all policies, except regulated closures, limited 2020–2050 cumulative emissions to about 1,600 Mt</w:t>
      </w:r>
      <w:r w:rsidR="00F52919">
        <w:t> </w:t>
      </w:r>
      <w:r w:rsidR="00FF6B73">
        <w:t>CO</w:t>
      </w:r>
      <w:r w:rsidR="00FF6B73">
        <w:rPr>
          <w:vertAlign w:val="subscript"/>
        </w:rPr>
        <w:t>2</w:t>
      </w:r>
      <w:r w:rsidR="00FF6B73">
        <w:noBreakHyphen/>
        <w:t>e or about a quarter of the emissions in the reference case.</w:t>
      </w:r>
      <w:proofErr w:type="gramEnd"/>
      <w:r w:rsidR="00FF6B73">
        <w:t xml:space="preserve"> The regulated closure</w:t>
      </w:r>
      <w:r w:rsidR="00A82A29">
        <w:t>s</w:t>
      </w:r>
      <w:r w:rsidR="00FF6B73">
        <w:t xml:space="preserve"> scenario was about 15 per cent over this limit—even with rapid closure of all existing coal</w:t>
      </w:r>
      <w:r w:rsidR="00FF6B73">
        <w:noBreakHyphen/>
        <w:t>fired generators by 2027, restrictions on gas</w:t>
      </w:r>
      <w:r w:rsidR="00FF6B73">
        <w:noBreakHyphen/>
        <w:t>fired generation and a prohibition on new coal without CCS, the scenario was unable to achieve the emissions budget. This is because</w:t>
      </w:r>
      <w:r>
        <w:t>,</w:t>
      </w:r>
      <w:r w:rsidR="00FF6B73">
        <w:t xml:space="preserve"> in the absence of other policy mechanisms, coal is replaced with a large amount of gas</w:t>
      </w:r>
      <w:r w:rsidR="00FF6B73">
        <w:noBreakHyphen/>
        <w:t>fired generation rath</w:t>
      </w:r>
      <w:r>
        <w:t>er than renewables. In practice</w:t>
      </w:r>
      <w:r w:rsidR="00FF6B73">
        <w:t xml:space="preserve"> another policy might be introduced alongside </w:t>
      </w:r>
      <w:proofErr w:type="gramStart"/>
      <w:r w:rsidR="00FF6B73">
        <w:t>closures,</w:t>
      </w:r>
      <w:proofErr w:type="gramEnd"/>
      <w:r w:rsidR="00FF6B73">
        <w:t xml:space="preserve"> however the Authority’s modelled policy combinations suggest regulated closures may still struggle to achieve deep emissions reductions (Section </w:t>
      </w:r>
      <w:r w:rsidR="00CA762C">
        <w:t>5.2</w:t>
      </w:r>
      <w:r w:rsidR="00FF6B73">
        <w:t xml:space="preserve">). </w:t>
      </w:r>
    </w:p>
    <w:p w:rsidR="00FF6B73" w:rsidRDefault="00FF6B73" w:rsidP="00FF6B73">
      <w:pPr>
        <w:pStyle w:val="BodyText"/>
      </w:pPr>
      <w:r>
        <w:rPr>
          <w:lang w:val="en-GB" w:eastAsia="en-AU"/>
        </w:rPr>
        <w:t xml:space="preserve">Technology pull and regulatory policies can be less flexible to changing circumstances than market mechanisms, which can affect their environmental effectiveness. </w:t>
      </w:r>
      <w:r>
        <w:t>For example, the technology pull policies have more difficulty constraining emissions if electricity demand is much higher than currently projected. The Authority’s modelling explored this though a sen</w:t>
      </w:r>
      <w:r w:rsidR="00096740">
        <w:t>sitivity analysis—cap and trade</w:t>
      </w:r>
      <w:r>
        <w:t xml:space="preserve"> and low </w:t>
      </w:r>
      <w:r>
        <w:lastRenderedPageBreak/>
        <w:t>emissions target policies were modelled with high demand (which could arise, for example, through faster uptake of electric vehicles than currently expected). The cap and trade policy constrains emissions throughout the period, whereas in the low emissions target scenario emissions increase rapidly once the low emissions targets are met (</w:t>
      </w:r>
      <w:r w:rsidR="00CA762C">
        <w:t xml:space="preserve">Figure </w:t>
      </w:r>
      <w:r w:rsidR="00CA762C">
        <w:rPr>
          <w:noProof/>
        </w:rPr>
        <w:t>12</w:t>
      </w:r>
      <w:r w:rsidR="00096740">
        <w:t>). In practice</w:t>
      </w:r>
      <w:r>
        <w:t xml:space="preserve"> it is </w:t>
      </w:r>
      <w:r w:rsidR="00D85A9A">
        <w:t xml:space="preserve">possible </w:t>
      </w:r>
      <w:r>
        <w:t>that</w:t>
      </w:r>
      <w:r w:rsidR="00096740">
        <w:t>,</w:t>
      </w:r>
      <w:r>
        <w:t xml:space="preserve"> if demand proved significantly higher than first projected, the low emissions target would be adjusted or some other policy would be introduced to help meet the national emissions reductions target. Nevertheless, the result highlights some of the risks associated with policies that do not directly constrain emissions, particularly when implemented in isolation.</w:t>
      </w:r>
    </w:p>
    <w:p w:rsidR="00FF6B73" w:rsidRDefault="00FF6B73" w:rsidP="00FF6B73">
      <w:pPr>
        <w:pStyle w:val="Caption"/>
      </w:pPr>
      <w:bookmarkStart w:id="455" w:name="_Ref457840123"/>
      <w:bookmarkStart w:id="456" w:name="_Toc449696823"/>
      <w:bookmarkStart w:id="457" w:name="_Toc460318043"/>
      <w:r>
        <w:t xml:space="preserve">Figure </w:t>
      </w:r>
      <w:r w:rsidR="00CA762C">
        <w:rPr>
          <w:noProof/>
        </w:rPr>
        <w:t>12</w:t>
      </w:r>
      <w:bookmarkEnd w:id="455"/>
      <w:r w:rsidR="00A6425D">
        <w:tab/>
      </w:r>
      <w:r>
        <w:t>Emissions by policy, high demand sensitivity, 2020–2050</w:t>
      </w:r>
      <w:bookmarkEnd w:id="456"/>
      <w:bookmarkEnd w:id="457"/>
    </w:p>
    <w:p w:rsidR="00FF6B73" w:rsidRDefault="00FF6B73" w:rsidP="00FF6B73">
      <w:pPr>
        <w:pStyle w:val="BodyText"/>
        <w:keepNext/>
        <w:jc w:val="center"/>
      </w:pPr>
      <w:r w:rsidRPr="00E97301">
        <w:t xml:space="preserve"> </w:t>
      </w:r>
      <w:r w:rsidRPr="0016013C">
        <w:rPr>
          <w:noProof/>
          <w:lang w:eastAsia="en-AU"/>
        </w:rPr>
        <w:drawing>
          <wp:inline distT="0" distB="0" distL="0" distR="0" wp14:anchorId="7A39DA01" wp14:editId="186D41CA">
            <wp:extent cx="6120765" cy="3258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258082"/>
                    </a:xfrm>
                    <a:prstGeom prst="rect">
                      <a:avLst/>
                    </a:prstGeom>
                    <a:noFill/>
                    <a:ln>
                      <a:noFill/>
                    </a:ln>
                  </pic:spPr>
                </pic:pic>
              </a:graphicData>
            </a:graphic>
          </wp:inline>
        </w:drawing>
      </w:r>
    </w:p>
    <w:p w:rsidR="00FF6B73" w:rsidRDefault="00FF6B73" w:rsidP="00774293">
      <w:pPr>
        <w:pStyle w:val="TableNote"/>
      </w:pPr>
      <w:r w:rsidRPr="009B1769">
        <w:rPr>
          <w:b/>
        </w:rPr>
        <w:t>Note:</w:t>
      </w:r>
      <w:r>
        <w:t xml:space="preserve"> Emissions </w:t>
      </w:r>
      <w:r w:rsidRPr="006865E0">
        <w:t xml:space="preserve">from </w:t>
      </w:r>
      <w:r>
        <w:t xml:space="preserve">the </w:t>
      </w:r>
      <w:r w:rsidRPr="006865E0">
        <w:t xml:space="preserve">NEM and WEM. </w:t>
      </w:r>
      <w:r>
        <w:t>Emissions comprise direct emissions (from combustion of fuels in electricity generation) and indirect emissions (emitted during processing and supply of fuel to power stations</w:t>
      </w:r>
      <w:r w:rsidRPr="00C82CDB">
        <w:t>)</w:t>
      </w:r>
      <w:r w:rsidR="00096740">
        <w:t xml:space="preserve">. The chart on the left </w:t>
      </w:r>
      <w:r>
        <w:t xml:space="preserve">hand side shows emissions over time </w:t>
      </w:r>
      <w:r w:rsidR="00096740">
        <w:t xml:space="preserve">and the chart on the right hand </w:t>
      </w:r>
      <w:r>
        <w:t>side shows cumulative emissions from 2020–2050. As outlined in Section </w:t>
      </w:r>
      <w:r w:rsidR="00CA762C">
        <w:t>3.3</w:t>
      </w:r>
      <w:r>
        <w:t xml:space="preserve">, the cap and trade policy was modelled as a carbon tax and the results are informative for each type of policy. Under a cap and trade scheme the additional emissions reductions could be obtained through domestic offsets or international permits or credits. Cumulative emissions are about 75 per cent higher in the low emissions target policy than in the cap and trade policy. The reference case (high demand) assumes, like the core reference case, strong global action to reduce emissions, and no additional climate policies in the Australian electricity sector. It has higher electricity demand than the core reference case. See </w:t>
      </w:r>
      <w:r w:rsidR="00CA762C">
        <w:t>Appendix C.1</w:t>
      </w:r>
      <w:r>
        <w:t>.</w:t>
      </w:r>
      <w:r>
        <w:br/>
      </w:r>
      <w:r w:rsidRPr="009B1769">
        <w:rPr>
          <w:b/>
        </w:rPr>
        <w:t>Source:</w:t>
      </w:r>
      <w:r>
        <w:rPr>
          <w:b/>
        </w:rPr>
        <w:t xml:space="preserve"> </w:t>
      </w:r>
      <w:bookmarkStart w:id="458" w:name="_CTVP001a8fc844cc84941dea926a299cff2b187"/>
      <w:proofErr w:type="gramStart"/>
      <w:r w:rsidR="0059109A">
        <w:t>Jacobs 2016</w:t>
      </w:r>
      <w:proofErr w:type="gramEnd"/>
      <w:r w:rsidR="0059109A">
        <w:t>c</w:t>
      </w:r>
      <w:bookmarkEnd w:id="458"/>
      <w:r>
        <w:t>.</w:t>
      </w:r>
    </w:p>
    <w:p w:rsidR="003706D4" w:rsidRDefault="003706D4" w:rsidP="003706D4">
      <w:pPr>
        <w:pStyle w:val="BodyText"/>
      </w:pPr>
      <w:r>
        <w:t>A further</w:t>
      </w:r>
      <w:r w:rsidRPr="00420696">
        <w:t xml:space="preserve"> aspect of environmental effectiveness is </w:t>
      </w:r>
      <w:r>
        <w:t>the risk of</w:t>
      </w:r>
      <w:r w:rsidRPr="00420696">
        <w:t xml:space="preserve"> carbon leakage. Carbon leakage is </w:t>
      </w:r>
      <w:r w:rsidRPr="00D93DFB">
        <w:t>the shift of production of goods or services and their associated greenhouse g</w:t>
      </w:r>
      <w:r>
        <w:t>as emissions to another country</w:t>
      </w:r>
      <w:r w:rsidRPr="00D93DFB">
        <w:t>. This can erode the environmental</w:t>
      </w:r>
      <w:r>
        <w:t xml:space="preserve"> effectiveness of Australia</w:t>
      </w:r>
      <w:r w:rsidRPr="00D93DFB">
        <w:t>’s emissions reduction efforts.</w:t>
      </w:r>
      <w:r>
        <w:t xml:space="preserve"> While there is no risk of direct carbon leakage from the electricity sector—as there is no export or import of electricity from or to Australia—mitigation policies in the electricity sector can increase prices for electricity consumers. If the electricity price increases result in Australian businesses losing market share to international competitors, this could reduce output (and the associated emissions) in Australia, and increase output in other countries. If those countries do not have economy</w:t>
      </w:r>
      <w:r>
        <w:noBreakHyphen/>
        <w:t>wide binding emissions constraints, the increase in output could also increase emissions, eroding the environmental effectiveness of Australia’s policy. In the absence of additional measures, p</w:t>
      </w:r>
      <w:r w:rsidRPr="00DD7D95">
        <w:t xml:space="preserve">olicies </w:t>
      </w:r>
      <w:r>
        <w:t xml:space="preserve">that cause the largest increase in prices may have the largest potential competitiveness effects. A range </w:t>
      </w:r>
      <w:r w:rsidRPr="00DD7D95">
        <w:t xml:space="preserve">of design features </w:t>
      </w:r>
      <w:r>
        <w:lastRenderedPageBreak/>
        <w:t xml:space="preserve">could be employed </w:t>
      </w:r>
      <w:r w:rsidRPr="00DD7D95">
        <w:t>to address</w:t>
      </w:r>
      <w:r>
        <w:t xml:space="preserve"> competiveness</w:t>
      </w:r>
      <w:r w:rsidRPr="00DD7D95">
        <w:t xml:space="preserve"> concerns</w:t>
      </w:r>
      <w:r>
        <w:t>.</w:t>
      </w:r>
      <w:r w:rsidR="00096740">
        <w:t xml:space="preserve"> The Authority’s recommendations on measures to address competiveness are in Report Three of the Special Review.</w:t>
      </w:r>
    </w:p>
    <w:p w:rsidR="00FF6B73" w:rsidRDefault="00FF6B73" w:rsidP="00FF6B73">
      <w:pPr>
        <w:pStyle w:val="ChapterHeading3"/>
        <w:numPr>
          <w:ilvl w:val="2"/>
          <w:numId w:val="15"/>
        </w:numPr>
      </w:pPr>
      <w:bookmarkStart w:id="459" w:name="_Toc457302110"/>
      <w:bookmarkStart w:id="460" w:name="_Ref457839743"/>
      <w:bookmarkStart w:id="461" w:name="_Ref457840471"/>
      <w:bookmarkStart w:id="462" w:name="_Toc460317996"/>
      <w:r>
        <w:t>Cost effectiveness</w:t>
      </w:r>
      <w:bookmarkEnd w:id="459"/>
      <w:bookmarkEnd w:id="460"/>
      <w:bookmarkEnd w:id="461"/>
      <w:bookmarkEnd w:id="462"/>
    </w:p>
    <w:p w:rsidR="00FF6B73" w:rsidRDefault="00FF6B73" w:rsidP="00FF6B73">
      <w:pPr>
        <w:pStyle w:val="ChapterHeading4"/>
        <w:numPr>
          <w:ilvl w:val="3"/>
          <w:numId w:val="15"/>
        </w:numPr>
      </w:pPr>
      <w:r>
        <w:t>Direct costs</w:t>
      </w:r>
    </w:p>
    <w:p w:rsidR="00FF6B73" w:rsidRDefault="00FF6B73" w:rsidP="00FF6B73">
      <w:pPr>
        <w:pStyle w:val="BodyText"/>
      </w:pPr>
      <w:r>
        <w:t>Economic theory and analysis suggests that market mechanisms are generally lower cost than:</w:t>
      </w:r>
    </w:p>
    <w:p w:rsidR="00FF6B73" w:rsidRDefault="00FF6B73" w:rsidP="00FF6B73">
      <w:pPr>
        <w:pStyle w:val="ListBullet"/>
      </w:pPr>
      <w:r>
        <w:t>regulation</w:t>
      </w:r>
      <w:r w:rsidR="00D85A9A">
        <w:t xml:space="preserve"> (</w:t>
      </w:r>
      <w:r w:rsidR="00B978D4">
        <w:t>particularly more prescriptive forms</w:t>
      </w:r>
      <w:r w:rsidR="00D85A9A">
        <w:t>)</w:t>
      </w:r>
      <w:r>
        <w:t xml:space="preserve">, because </w:t>
      </w:r>
      <w:r w:rsidR="002C014A">
        <w:t xml:space="preserve">market mechanisms </w:t>
      </w:r>
      <w:r>
        <w:t xml:space="preserve">leave it up to firms (and sometimes individuals) to decide how emissions can most easily and cheaply be reduced, and those firms have better information regarding their emissions reduction opportunities than government </w:t>
      </w:r>
      <w:bookmarkStart w:id="463" w:name="_CTVP00150b4f6040a054773972fa808025da26c"/>
      <w:r w:rsidR="0059109A">
        <w:t>(</w:t>
      </w:r>
      <w:proofErr w:type="spellStart"/>
      <w:r w:rsidR="0059109A">
        <w:t>Stavins</w:t>
      </w:r>
      <w:proofErr w:type="spellEnd"/>
      <w:r w:rsidR="0059109A">
        <w:t> 2003)</w:t>
      </w:r>
      <w:bookmarkEnd w:id="463"/>
    </w:p>
    <w:p w:rsidR="00FF6B73" w:rsidRDefault="00FF6B73" w:rsidP="00FF6B73">
      <w:pPr>
        <w:pStyle w:val="ListBullet"/>
      </w:pPr>
      <w:proofErr w:type="gramStart"/>
      <w:r>
        <w:t>technology</w:t>
      </w:r>
      <w:proofErr w:type="gramEnd"/>
      <w:r>
        <w:t xml:space="preserve"> pull policies—such as a RET—because market mechanisms can be applied to a broader set of emissions reduction opportunities and target emissions reductions directly </w:t>
      </w:r>
      <w:bookmarkStart w:id="464" w:name="_CTVP0019b3551a0a8654d4599258d561950ebb2"/>
      <w:r w:rsidR="0059109A">
        <w:t>(</w:t>
      </w:r>
      <w:proofErr w:type="spellStart"/>
      <w:r w:rsidR="0059109A">
        <w:t>Garnaut</w:t>
      </w:r>
      <w:proofErr w:type="spellEnd"/>
      <w:r w:rsidR="0059109A">
        <w:t> 2008, p. 354)</w:t>
      </w:r>
      <w:bookmarkEnd w:id="464"/>
      <w:r>
        <w:t>.</w:t>
      </w:r>
    </w:p>
    <w:p w:rsidR="00FF6B73" w:rsidRDefault="00FF6B73" w:rsidP="00FF6B73">
      <w:pPr>
        <w:pStyle w:val="BodyText"/>
      </w:pPr>
      <w:r>
        <w:t>This is consistent with results from the Authority’s modelling: the market mechanisms are projected to have the lowest resource costs and costs per unit of emissions reductions (‘cost of abatement’) under the 2 degrees emissions budget (</w:t>
      </w:r>
      <w:r w:rsidR="00CA762C">
        <w:t xml:space="preserve">Figure </w:t>
      </w:r>
      <w:r w:rsidR="00CA762C">
        <w:rPr>
          <w:noProof/>
        </w:rPr>
        <w:t>13</w:t>
      </w:r>
      <w:r>
        <w:t>) and the weaker 3 degrees emissions budget.</w:t>
      </w:r>
      <w:r>
        <w:rPr>
          <w:rStyle w:val="FootnoteReference"/>
        </w:rPr>
        <w:footnoteReference w:id="10"/>
      </w:r>
      <w:r>
        <w:t xml:space="preserve"> The technology pull policies have relatively high resource costs because they only provide direct encouragement for one of the five emissions reduction opportunities discussed in Section </w:t>
      </w:r>
      <w:r w:rsidR="00CA762C">
        <w:t>2.4</w:t>
      </w:r>
      <w:r>
        <w:t>—building new zero</w:t>
      </w:r>
      <w:r>
        <w:noBreakHyphen/>
        <w:t xml:space="preserve"> or low</w:t>
      </w:r>
      <w:r>
        <w:noBreakHyphen/>
        <w:t xml:space="preserve">emissions plants. This means that other and potentially cheaper emissions reduction options—such as fuel switching and closure—are not directly targeted. Like the technology pull policies, </w:t>
      </w:r>
      <w:r w:rsidR="00A82A29">
        <w:t xml:space="preserve">a </w:t>
      </w:r>
      <w:r>
        <w:t>regulated closure</w:t>
      </w:r>
      <w:r w:rsidR="00A82A29">
        <w:t>s policy</w:t>
      </w:r>
      <w:r>
        <w:t xml:space="preserve"> provides direct encouragement for only one of the five emissions reduction opportunities—retiring higher emissions generators—so has higher overall costs of meeting emissions budgets.</w:t>
      </w:r>
    </w:p>
    <w:p w:rsidR="00FF6B73" w:rsidRDefault="00FF6B73" w:rsidP="00FF6B73">
      <w:pPr>
        <w:pStyle w:val="BodyText"/>
      </w:pPr>
      <w:r>
        <w:t>The Authority’s qualitative analysis and Jacobs’ modelling also suggest market mechanisms can be more flexible to changing demand and technology costs than other policies, strengthening their relative cost effectiveness. For instance, if a new low</w:t>
      </w:r>
      <w:r>
        <w:noBreakHyphen/>
        <w:t>emissions technology becomes available that is cheaper than current technologies, but a climate policy only supports current technologies, then the cost of the policy will increase compared to a technology neutral policy. Similarly, regulatory policies that mandate exit or constrain output from particular generators are unlikely to adjust rapidly to changing demand. For example, if generators are shut down and demand is higher than policy makers expect, this may create risks to reliability of supply and increase costs.</w:t>
      </w:r>
    </w:p>
    <w:p w:rsidR="00A20039" w:rsidRDefault="00A20039" w:rsidP="00FF6B73">
      <w:pPr>
        <w:pStyle w:val="BodyText"/>
      </w:pPr>
      <w:r w:rsidRPr="001B370D">
        <w:t xml:space="preserve">Another aspect of </w:t>
      </w:r>
      <w:r>
        <w:t xml:space="preserve">the </w:t>
      </w:r>
      <w:r w:rsidRPr="001B370D">
        <w:t>cost effectiveness of a policy is its interaction with electricity market operat</w:t>
      </w:r>
      <w:r>
        <w:t>ion</w:t>
      </w:r>
      <w:r w:rsidRPr="001B370D">
        <w:t>.</w:t>
      </w:r>
      <w:r>
        <w:t xml:space="preserve"> As noted in Section </w:t>
      </w:r>
      <w:r w:rsidR="00CA762C">
        <w:t>2.1</w:t>
      </w:r>
      <w:r>
        <w:t xml:space="preserve">, electricity sector climate policies affect the operation of existing electricity markets and should be designed with the operation of electricity markets in mind. There are four aspects to efficient market operation that can be affected by climate policies: generator exit, generator entry, </w:t>
      </w:r>
      <w:proofErr w:type="gramStart"/>
      <w:r>
        <w:t>electricity</w:t>
      </w:r>
      <w:proofErr w:type="gramEnd"/>
      <w:r>
        <w:t xml:space="preserve"> dispatch and system reliability. As noted above, policies which allow market participants to determine what and when new investment or exit is desirable are likely to be lower cost, because participants have better information to underpin their investment decisions than government. Additionally, policies that place quantitative limits or requirements on generation, or provide incentives for generation that are not linked to market conditions, may be higher cost. For instance, if a policy supports new generation irrespective of the market price it may incentivise generation when demand is </w:t>
      </w:r>
      <w:r>
        <w:lastRenderedPageBreak/>
        <w:t xml:space="preserve">low, moving the market away from the least-cost generation mix supply and increasing overall costs. System reliability is discussed in </w:t>
      </w:r>
      <w:r w:rsidR="00CA762C">
        <w:t>Box 1</w:t>
      </w:r>
      <w:r>
        <w:t xml:space="preserve"> and its treatment in Jacobs’ modelling is outlined in </w:t>
      </w:r>
      <w:r w:rsidR="00CA762C">
        <w:t>Appendix C.1</w:t>
      </w:r>
      <w:r>
        <w:t xml:space="preserve">. Finally, linking mitigation schemes—both domestically and </w:t>
      </w:r>
      <w:r w:rsidRPr="00B46DF5">
        <w:t xml:space="preserve">internationally—can </w:t>
      </w:r>
      <w:r>
        <w:t xml:space="preserve">reduce the costs of the scheme </w:t>
      </w:r>
      <w:bookmarkStart w:id="465" w:name="_CTVP001170680f1007d43f38af68072fb84a41f"/>
      <w:r>
        <w:t xml:space="preserve">(CCA 2014d, 2014c; </w:t>
      </w:r>
      <w:proofErr w:type="spellStart"/>
      <w:r>
        <w:t>McKibbin</w:t>
      </w:r>
      <w:proofErr w:type="spellEnd"/>
      <w:r>
        <w:t> 2015)</w:t>
      </w:r>
      <w:bookmarkEnd w:id="465"/>
      <w:r>
        <w:t>. For example, the use of domestic offsets from uncovered sectors may provide a low</w:t>
      </w:r>
      <w:r>
        <w:noBreakHyphen/>
        <w:t>cost way to reduce emissions in the electricity sector. That said</w:t>
      </w:r>
      <w:proofErr w:type="gramStart"/>
      <w:r>
        <w:t>,</w:t>
      </w:r>
      <w:proofErr w:type="gramEnd"/>
      <w:r>
        <w:t xml:space="preserve"> restricting the use of</w:t>
      </w:r>
      <w:r w:rsidRPr="00813CE9">
        <w:t xml:space="preserve"> international permits and credits </w:t>
      </w:r>
      <w:r>
        <w:t>may</w:t>
      </w:r>
      <w:r w:rsidRPr="00813CE9">
        <w:t xml:space="preserve"> improve certainty </w:t>
      </w:r>
      <w:r>
        <w:t>for investors in Australian low</w:t>
      </w:r>
      <w:r>
        <w:noBreakHyphen/>
      </w:r>
      <w:r w:rsidRPr="00813CE9">
        <w:t>emissions generation assets</w:t>
      </w:r>
      <w:r>
        <w:t xml:space="preserve">. In general, </w:t>
      </w:r>
      <w:r w:rsidRPr="00B46DF5">
        <w:t xml:space="preserve">linking is </w:t>
      </w:r>
      <w:r>
        <w:t>easier with policies that involve markets of tradable permits and directly observable prices. Linking</w:t>
      </w:r>
      <w:r w:rsidRPr="00B46DF5">
        <w:t xml:space="preserve"> is </w:t>
      </w:r>
      <w:r>
        <w:t>harder to do with some</w:t>
      </w:r>
      <w:r w:rsidRPr="00B46DF5">
        <w:t xml:space="preserve"> technology pull or regulatory policies. The Authority </w:t>
      </w:r>
      <w:r>
        <w:t>has</w:t>
      </w:r>
      <w:r w:rsidRPr="00B46DF5">
        <w:t xml:space="preserve"> address</w:t>
      </w:r>
      <w:r>
        <w:t>ed</w:t>
      </w:r>
      <w:r w:rsidRPr="00B46DF5">
        <w:t xml:space="preserve"> linking in more detail in </w:t>
      </w:r>
      <w:r>
        <w:t>Report Three</w:t>
      </w:r>
      <w:r w:rsidRPr="00B46DF5">
        <w:t xml:space="preserve"> of the Special Review.</w:t>
      </w:r>
    </w:p>
    <w:p w:rsidR="00FF6B73" w:rsidRPr="001204D5" w:rsidRDefault="00FF6B73" w:rsidP="00FF6B73">
      <w:pPr>
        <w:pStyle w:val="Caption"/>
      </w:pPr>
      <w:bookmarkStart w:id="466" w:name="_Ref457840134"/>
      <w:bookmarkStart w:id="467" w:name="_Toc449696824"/>
      <w:bookmarkStart w:id="468" w:name="_Toc460318044"/>
      <w:r>
        <w:t xml:space="preserve">Figure </w:t>
      </w:r>
      <w:r w:rsidR="00CA762C">
        <w:rPr>
          <w:noProof/>
        </w:rPr>
        <w:t>13</w:t>
      </w:r>
      <w:bookmarkEnd w:id="466"/>
      <w:r w:rsidR="00A6425D">
        <w:tab/>
      </w:r>
      <w:r>
        <w:t>Average cost of abatement by policy, 2 degrees, 2020–2050</w:t>
      </w:r>
      <w:bookmarkEnd w:id="467"/>
      <w:bookmarkEnd w:id="468"/>
    </w:p>
    <w:p w:rsidR="00FF6B73" w:rsidRPr="00713CE4" w:rsidRDefault="00FF6B73" w:rsidP="00FF6B73">
      <w:pPr>
        <w:pStyle w:val="BodyText"/>
        <w:keepNext/>
        <w:jc w:val="center"/>
        <w:rPr>
          <w:lang w:val="en-GB" w:eastAsia="en-AU"/>
        </w:rPr>
      </w:pPr>
      <w:r w:rsidRPr="00940E2A">
        <w:rPr>
          <w:noProof/>
          <w:lang w:eastAsia="en-AU"/>
        </w:rPr>
        <w:drawing>
          <wp:inline distT="0" distB="0" distL="0" distR="0" wp14:anchorId="3281ABBD" wp14:editId="33A644D5">
            <wp:extent cx="6120765" cy="315792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3157928"/>
                    </a:xfrm>
                    <a:prstGeom prst="rect">
                      <a:avLst/>
                    </a:prstGeom>
                    <a:noFill/>
                    <a:ln>
                      <a:noFill/>
                    </a:ln>
                  </pic:spPr>
                </pic:pic>
              </a:graphicData>
            </a:graphic>
          </wp:inline>
        </w:drawing>
      </w:r>
    </w:p>
    <w:p w:rsidR="00FF6B73" w:rsidRDefault="00FF6B73" w:rsidP="00FF6B73">
      <w:pPr>
        <w:pStyle w:val="TableNote"/>
      </w:pPr>
      <w:r w:rsidRPr="005524A3">
        <w:rPr>
          <w:b/>
        </w:rPr>
        <w:t>Note:</w:t>
      </w:r>
      <w:r w:rsidRPr="00E13380">
        <w:t xml:space="preserve"> Average cost of abatement </w:t>
      </w:r>
      <w:r>
        <w:t>over 2020–2050 using a seven per </w:t>
      </w:r>
      <w:r w:rsidRPr="00E13380">
        <w:t xml:space="preserve">cent discount rate for resource costs. Emissions not discounted. </w:t>
      </w:r>
      <w:r>
        <w:t>Figure</w:t>
      </w:r>
      <w:r w:rsidRPr="00E13380">
        <w:t xml:space="preserve"> account</w:t>
      </w:r>
      <w:r>
        <w:t>s</w:t>
      </w:r>
      <w:r w:rsidRPr="00E13380">
        <w:t xml:space="preserve"> for the reduction in welfare from a fall in electricity </w:t>
      </w:r>
      <w:r>
        <w:t>demand</w:t>
      </w:r>
      <w:r w:rsidRPr="00E13380">
        <w:t xml:space="preserve"> resulting from increased retail electricity prices.</w:t>
      </w:r>
      <w:r>
        <w:t xml:space="preserve"> The</w:t>
      </w:r>
      <w:r w:rsidRPr="00E13380">
        <w:t xml:space="preserve"> </w:t>
      </w:r>
      <w:r>
        <w:t>r</w:t>
      </w:r>
      <w:r w:rsidRPr="00E13380">
        <w:t>egulated closure</w:t>
      </w:r>
      <w:r w:rsidR="00A82A29">
        <w:t>s</w:t>
      </w:r>
      <w:r w:rsidRPr="00E13380">
        <w:t xml:space="preserve"> </w:t>
      </w:r>
      <w:r>
        <w:t>policy</w:t>
      </w:r>
      <w:r w:rsidRPr="00E13380">
        <w:t xml:space="preserve"> breaches the common cumulative emissions budget</w:t>
      </w:r>
      <w:r>
        <w:t xml:space="preserve"> by about 200 Mt</w:t>
      </w:r>
      <w:r w:rsidR="00F52919">
        <w:t> </w:t>
      </w:r>
      <w:r>
        <w:t>CO</w:t>
      </w:r>
      <w:r>
        <w:rPr>
          <w:vertAlign w:val="subscript"/>
        </w:rPr>
        <w:t>2</w:t>
      </w:r>
      <w:r>
        <w:t>-e or 15 per cent</w:t>
      </w:r>
      <w:r w:rsidRPr="00E13380">
        <w:t>, so the cost of abatement here</w:t>
      </w:r>
      <w:r>
        <w:t xml:space="preserve"> is</w:t>
      </w:r>
      <w:r w:rsidRPr="00E13380">
        <w:t xml:space="preserve"> not directly comparable with other policies.</w:t>
      </w:r>
      <w:r>
        <w:t xml:space="preserve"> For further details on the cost of abatement method, see </w:t>
      </w:r>
      <w:r w:rsidR="00CA762C">
        <w:t>Appendix C.1</w:t>
      </w:r>
      <w:r>
        <w:t>. All dollar figures reported in this report are in 2014 Australian dollars unless otherwise specified.</w:t>
      </w:r>
      <w:r>
        <w:br/>
      </w:r>
      <w:r w:rsidRPr="005524A3">
        <w:rPr>
          <w:b/>
        </w:rPr>
        <w:t>Source:</w:t>
      </w:r>
      <w:r>
        <w:t xml:space="preserve"> Climate Change Authority</w:t>
      </w:r>
      <w:r w:rsidRPr="002545EC">
        <w:t xml:space="preserve"> </w:t>
      </w:r>
      <w:r>
        <w:t xml:space="preserve">based on </w:t>
      </w:r>
      <w:bookmarkStart w:id="469" w:name="_CTVP001549a5740ba7544319cfe30e34d9a3429"/>
      <w:proofErr w:type="gramStart"/>
      <w:r w:rsidR="0059109A">
        <w:t>Jacobs 2016</w:t>
      </w:r>
      <w:proofErr w:type="gramEnd"/>
      <w:r w:rsidR="0059109A">
        <w:t>c</w:t>
      </w:r>
      <w:bookmarkEnd w:id="469"/>
      <w:r>
        <w:t>.</w:t>
      </w:r>
    </w:p>
    <w:p w:rsidR="00FF6B73" w:rsidRPr="00E7436E" w:rsidRDefault="00FF6B73" w:rsidP="00FF6B73">
      <w:pPr>
        <w:pStyle w:val="BodyText"/>
      </w:pPr>
      <w:r w:rsidRPr="00E7436E">
        <w:t xml:space="preserve">Several stakeholders that made submissions to Report Two of the Special Review noted the importance of adopting a low-cost policy such as a </w:t>
      </w:r>
      <w:r>
        <w:t>market mechanism</w:t>
      </w:r>
      <w:r w:rsidRPr="00E7436E">
        <w:t>. The Energy Users Association of Australia</w:t>
      </w:r>
      <w:r>
        <w:t xml:space="preserve"> (EUAA)</w:t>
      </w:r>
      <w:r w:rsidRPr="00E7436E">
        <w:t xml:space="preserve"> submitted that:</w:t>
      </w:r>
    </w:p>
    <w:p w:rsidR="00FF6B73" w:rsidRPr="001204D5" w:rsidRDefault="00FF6B73" w:rsidP="00FF6B73">
      <w:pPr>
        <w:pStyle w:val="Quote"/>
      </w:pPr>
      <w:r w:rsidRPr="001204D5">
        <w:rPr>
          <w:rStyle w:val="QuoteChar"/>
          <w:i/>
        </w:rPr>
        <w:t>The mechanism used to achieve Australia’s emissions targets should be market</w:t>
      </w:r>
      <w:r w:rsidRPr="001204D5">
        <w:rPr>
          <w:rStyle w:val="QuoteChar"/>
          <w:i/>
        </w:rPr>
        <w:noBreakHyphen/>
        <w:t>based. Market</w:t>
      </w:r>
      <w:r w:rsidRPr="001204D5">
        <w:rPr>
          <w:rStyle w:val="QuoteChar"/>
          <w:i/>
        </w:rPr>
        <w:noBreakHyphen/>
        <w:t>based instruments allow businesses greater flexibility in meeting their objectives at least</w:t>
      </w:r>
      <w:r w:rsidRPr="001204D5">
        <w:rPr>
          <w:rStyle w:val="QuoteChar"/>
          <w:i/>
        </w:rPr>
        <w:noBreakHyphen/>
        <w:t>cost. Policy should be technology neutral in order to avoid picking winners and potentially shifting away from the least</w:t>
      </w:r>
      <w:r w:rsidRPr="001204D5">
        <w:rPr>
          <w:rStyle w:val="QuoteChar"/>
          <w:i/>
        </w:rPr>
        <w:noBreakHyphen/>
        <w:t>cost solution, and care should be taken when designing policy to consider the costs of compliance and assurance.</w:t>
      </w:r>
      <w:r w:rsidRPr="00F13245">
        <w:t xml:space="preserve"> </w:t>
      </w:r>
      <w:r w:rsidRPr="009E256A">
        <w:rPr>
          <w:i w:val="0"/>
        </w:rPr>
        <w:t>(Report Two submission, p. 2)</w:t>
      </w:r>
    </w:p>
    <w:p w:rsidR="00FF6B73" w:rsidRPr="00E7436E" w:rsidRDefault="00FF6B73" w:rsidP="00A20039">
      <w:pPr>
        <w:pStyle w:val="BodyText"/>
        <w:keepNext/>
        <w:keepLines/>
      </w:pPr>
      <w:r w:rsidRPr="00E7436E">
        <w:lastRenderedPageBreak/>
        <w:t>Similarly, the Australian Energy Council</w:t>
      </w:r>
      <w:r>
        <w:t xml:space="preserve"> (AEC)</w:t>
      </w:r>
      <w:r w:rsidRPr="00E7436E">
        <w:t xml:space="preserve"> submitted that:</w:t>
      </w:r>
    </w:p>
    <w:p w:rsidR="00FF6B73" w:rsidRPr="00E7436E" w:rsidRDefault="00FF6B73" w:rsidP="00FF6B73">
      <w:pPr>
        <w:pStyle w:val="Quote"/>
      </w:pPr>
      <w:r w:rsidRPr="00E7436E">
        <w:t xml:space="preserve">Typically, market-based policies are best-placed to uncover the sources of lowest cost abatement, and we consider that the main policy instrument or instruments should leverage the power of markets to exploit distributed information. </w:t>
      </w:r>
      <w:r w:rsidRPr="009E256A">
        <w:rPr>
          <w:rStyle w:val="Textitalic"/>
        </w:rPr>
        <w:t>(Report Two submission, p. 1)</w:t>
      </w:r>
    </w:p>
    <w:p w:rsidR="00FF6B73" w:rsidRPr="00B46DF5" w:rsidRDefault="00FF6B73" w:rsidP="00FF6B73">
      <w:pPr>
        <w:pStyle w:val="BodyText"/>
      </w:pPr>
      <w:r w:rsidRPr="00E7436E">
        <w:t>Further, the World Wildlife Fund</w:t>
      </w:r>
      <w:r>
        <w:t xml:space="preserve"> (WWF)</w:t>
      </w:r>
      <w:r w:rsidRPr="00E7436E">
        <w:t xml:space="preserve"> suggested that</w:t>
      </w:r>
      <w:r>
        <w:t xml:space="preserve"> ‘a</w:t>
      </w:r>
      <w:r w:rsidRPr="00E7436E">
        <w:t xml:space="preserve"> price on carbon emissions is widely recognized</w:t>
      </w:r>
      <w:r>
        <w:t xml:space="preserve"> by economists as the most cost</w:t>
      </w:r>
      <w:r>
        <w:noBreakHyphen/>
      </w:r>
      <w:r w:rsidRPr="00E7436E">
        <w:t>effective way of driv</w:t>
      </w:r>
      <w:r>
        <w:t>ing down economy-wide emissions’</w:t>
      </w:r>
      <w:r w:rsidRPr="00E7436E">
        <w:t xml:space="preserve"> </w:t>
      </w:r>
      <w:r w:rsidRPr="00EA2C31">
        <w:rPr>
          <w:rStyle w:val="Textitalic"/>
          <w:i w:val="0"/>
        </w:rPr>
        <w:t>(Report Two submission, p. 3)</w:t>
      </w:r>
      <w:r>
        <w:rPr>
          <w:rStyle w:val="Textitalic"/>
          <w:i w:val="0"/>
        </w:rPr>
        <w:t>.</w:t>
      </w:r>
    </w:p>
    <w:p w:rsidR="00FF6B73" w:rsidRDefault="00FF6B73" w:rsidP="00FF6B73">
      <w:pPr>
        <w:pStyle w:val="ChapterHeading4"/>
        <w:numPr>
          <w:ilvl w:val="3"/>
          <w:numId w:val="15"/>
        </w:numPr>
      </w:pPr>
      <w:r>
        <w:t xml:space="preserve">Indirect costs </w:t>
      </w:r>
    </w:p>
    <w:p w:rsidR="00FF6B73" w:rsidRDefault="00FF6B73" w:rsidP="00FF6B73">
      <w:pPr>
        <w:pStyle w:val="BodyText"/>
      </w:pPr>
      <w:r>
        <w:t xml:space="preserve">As discussed in Section </w:t>
      </w:r>
      <w:r w:rsidR="00CA762C">
        <w:t>3.3</w:t>
      </w:r>
      <w:r>
        <w:t xml:space="preserve">, electricity sector policies will have effects on the broader economy that are not captured by analysis of the electricity sector in isolation. The effects could change the relative ranking of policy options, so are relevant for comparing the performance of electricity sector climate policies. For example, policies with similar direct costs that differ in their effect on electricity prices will cause different levels of indirect costs through the tax interaction effect. Conversely, policies that raise revenue can generate indirect economic benefits if some of that revenue is used to reduce distorting taxes. </w:t>
      </w:r>
    </w:p>
    <w:p w:rsidR="00FF6B73" w:rsidRDefault="00FF6B73" w:rsidP="00FF6B73">
      <w:pPr>
        <w:pStyle w:val="BodyText"/>
      </w:pPr>
      <w:r>
        <w:t>The Authority’s modelling and qualitative analysis suggests that:</w:t>
      </w:r>
    </w:p>
    <w:p w:rsidR="00FF6B73" w:rsidRDefault="007E75CC" w:rsidP="00FF6B73">
      <w:pPr>
        <w:pStyle w:val="ListBullet"/>
      </w:pPr>
      <w:r>
        <w:t>s</w:t>
      </w:r>
      <w:r w:rsidR="00FF6B73">
        <w:t>ome indirect costs are likely to occur regardless of the policy option applied, although the level of indirect cost will de</w:t>
      </w:r>
      <w:r w:rsidR="0068733B">
        <w:t>pend on the actual policy used</w:t>
      </w:r>
    </w:p>
    <w:p w:rsidR="00FF6B73" w:rsidRDefault="007E75CC" w:rsidP="00FF6B73">
      <w:pPr>
        <w:pStyle w:val="ListBullet"/>
      </w:pPr>
      <w:proofErr w:type="gramStart"/>
      <w:r>
        <w:t>f</w:t>
      </w:r>
      <w:r w:rsidR="00FF6B73">
        <w:t>or</w:t>
      </w:r>
      <w:proofErr w:type="gramEnd"/>
      <w:r w:rsidR="00FF6B73">
        <w:t xml:space="preserve"> all policies, achieving Australia’s long-term emissions reduction goals is likely to increase consumer electricity prices, however this does not automatically mean increased spending </w:t>
      </w:r>
      <w:r w:rsidR="004E2DDB">
        <w:t xml:space="preserve">by households </w:t>
      </w:r>
      <w:r w:rsidR="00FF6B73">
        <w:t xml:space="preserve">or lower real household incomes. For example, targeted assistance and energy efficiency policies can improve electricity affordability even with increased electricity prices. </w:t>
      </w:r>
    </w:p>
    <w:p w:rsidR="00FF6B73" w:rsidRPr="00E7436E" w:rsidRDefault="00FF6B73" w:rsidP="00FF6B73">
      <w:pPr>
        <w:pStyle w:val="BodyText"/>
      </w:pPr>
      <w:r w:rsidRPr="00E7436E">
        <w:t xml:space="preserve">Section </w:t>
      </w:r>
      <w:r w:rsidR="00CA762C">
        <w:t>4.3.2</w:t>
      </w:r>
      <w:r w:rsidR="00550C86">
        <w:t xml:space="preserve"> </w:t>
      </w:r>
      <w:r>
        <w:t>discusses the indirect costs of different market mechanisms in more detail, drawing on the Authority’s economy-wide modelling described in</w:t>
      </w:r>
      <w:r w:rsidRPr="009D01DF">
        <w:t xml:space="preserve"> </w:t>
      </w:r>
      <w:r>
        <w:t xml:space="preserve">Section </w:t>
      </w:r>
      <w:r w:rsidR="00CA762C">
        <w:t>3.3</w:t>
      </w:r>
      <w:r w:rsidRPr="00E7436E">
        <w:t>.</w:t>
      </w:r>
    </w:p>
    <w:p w:rsidR="00FF6B73" w:rsidRDefault="00FF6B73" w:rsidP="007E75CC">
      <w:pPr>
        <w:pStyle w:val="ChapterHeading3"/>
        <w:keepLines/>
        <w:numPr>
          <w:ilvl w:val="2"/>
          <w:numId w:val="15"/>
        </w:numPr>
      </w:pPr>
      <w:bookmarkStart w:id="470" w:name="_Toc457302111"/>
      <w:bookmarkStart w:id="471" w:name="_Ref457840379"/>
      <w:bookmarkStart w:id="472" w:name="_Ref457840389"/>
      <w:bookmarkStart w:id="473" w:name="_Toc460317997"/>
      <w:r>
        <w:t>Equity</w:t>
      </w:r>
      <w:bookmarkEnd w:id="470"/>
      <w:bookmarkEnd w:id="471"/>
      <w:bookmarkEnd w:id="472"/>
      <w:bookmarkEnd w:id="473"/>
    </w:p>
    <w:p w:rsidR="00FF6B73" w:rsidRDefault="00FF6B73" w:rsidP="007E75CC">
      <w:pPr>
        <w:pStyle w:val="BodyText"/>
        <w:keepNext/>
        <w:keepLines/>
      </w:pPr>
      <w:r>
        <w:t xml:space="preserve">Equity considerations—that is, the distribution of costs and benefits—are also important. There are three main groups affected by emissions reduction policies in the electricity sector: </w:t>
      </w:r>
    </w:p>
    <w:p w:rsidR="00FF6B73" w:rsidRPr="007A06F9" w:rsidRDefault="00FF6B73" w:rsidP="007E75CC">
      <w:pPr>
        <w:pStyle w:val="ListBullet"/>
        <w:keepNext/>
        <w:keepLines/>
        <w:rPr>
          <w:lang w:val="en-GB" w:eastAsia="en-AU"/>
        </w:rPr>
      </w:pPr>
      <w:r>
        <w:t>electricity users (including households, commercial and industrial customers, and large energy</w:t>
      </w:r>
      <w:r>
        <w:noBreakHyphen/>
        <w:t>intensive users)</w:t>
      </w:r>
    </w:p>
    <w:p w:rsidR="00FF6B73" w:rsidRDefault="00FF6B73" w:rsidP="00FF6B73">
      <w:pPr>
        <w:pStyle w:val="ListBullet"/>
      </w:pPr>
      <w:r>
        <w:t xml:space="preserve">generation asset owners and investors </w:t>
      </w:r>
    </w:p>
    <w:p w:rsidR="00FF6B73" w:rsidRDefault="00FF6B73" w:rsidP="00FF6B73">
      <w:pPr>
        <w:pStyle w:val="ListBullet"/>
      </w:pPr>
      <w:proofErr w:type="gramStart"/>
      <w:r>
        <w:t>workers</w:t>
      </w:r>
      <w:proofErr w:type="gramEnd"/>
      <w:r>
        <w:t xml:space="preserve"> and communities in regions strongly affected by the policy. </w:t>
      </w:r>
    </w:p>
    <w:p w:rsidR="00FF6B73" w:rsidRDefault="00FF6B73" w:rsidP="00FF6B73">
      <w:r>
        <w:t xml:space="preserve">As discussed above, achieving Australia’s long-term emissions reduction goals is likely to increase consumer electricity </w:t>
      </w:r>
      <w:proofErr w:type="gramStart"/>
      <w:r>
        <w:t>prices,</w:t>
      </w:r>
      <w:proofErr w:type="gramEnd"/>
      <w:r>
        <w:t xml:space="preserve"> however these impacts can be addressed in a range of ways. Some policies, such as a cap and trade scheme with auctioning or a carbon tax, are able to raise revenue which can be used to ameliorate the economic impacts. For instance, a cap and trade scheme could raise revenue which could compensate low</w:t>
      </w:r>
      <w:r>
        <w:noBreakHyphen/>
        <w:t xml:space="preserve">income households. Other policies, such as an emissions intensity scheme, may have smaller price effects and therefore create fewer equity concerns in the first place. Section </w:t>
      </w:r>
      <w:r w:rsidR="00CA762C">
        <w:t>4.3</w:t>
      </w:r>
      <w:r w:rsidR="00550C86">
        <w:t xml:space="preserve"> </w:t>
      </w:r>
      <w:r>
        <w:t>explores the economy-wide equity impacts of raising revenue versus muting retail price impacts</w:t>
      </w:r>
      <w:r w:rsidRPr="00EA2C31">
        <w:t xml:space="preserve"> </w:t>
      </w:r>
      <w:r>
        <w:t xml:space="preserve">in more detail. Looking more broadly at electricity affordability, the CSIRO recently found that, over the period to 2050, management of peak demand and associated network infrastructure costs </w:t>
      </w:r>
      <w:r>
        <w:lastRenderedPageBreak/>
        <w:t>are projected to have a much larger influence on electricity affordability than climate action</w:t>
      </w:r>
      <w:r w:rsidR="0068733B">
        <w:t xml:space="preserve"> </w:t>
      </w:r>
      <w:bookmarkStart w:id="474" w:name="_CTVP001033ca563d8df4cbab6c3df1b818739e6"/>
      <w:r w:rsidR="0059109A">
        <w:t>(CSIRO 2015, p. 16)</w:t>
      </w:r>
      <w:bookmarkEnd w:id="474"/>
      <w:r>
        <w:t xml:space="preserve">. </w:t>
      </w:r>
      <w:r w:rsidR="00CA762C">
        <w:t xml:space="preserve">Figure </w:t>
      </w:r>
      <w:r w:rsidR="00CA762C">
        <w:rPr>
          <w:noProof/>
        </w:rPr>
        <w:t>14</w:t>
      </w:r>
      <w:r w:rsidR="00656961">
        <w:t xml:space="preserve"> </w:t>
      </w:r>
      <w:r>
        <w:t xml:space="preserve">shows the projected impacts on consumer retail prices across a range of policy options from Jacobs’ </w:t>
      </w:r>
      <w:proofErr w:type="gramStart"/>
      <w:r>
        <w:t>modelling.</w:t>
      </w:r>
      <w:r>
        <w:rPr>
          <w:rStyle w:val="FootnoteReference"/>
        </w:rPr>
        <w:footnoteReference w:id="11"/>
      </w:r>
      <w:r w:rsidRPr="00EA2C31">
        <w:rPr>
          <w:vertAlign w:val="superscript"/>
        </w:rPr>
        <w:t>,</w:t>
      </w:r>
      <w:proofErr w:type="gramEnd"/>
      <w:r>
        <w:rPr>
          <w:rStyle w:val="FootnoteReference"/>
        </w:rPr>
        <w:footnoteReference w:id="12"/>
      </w:r>
      <w:r>
        <w:t xml:space="preserve"> Contracts for difference, one of the technology pull policies, generally has the lowest projected retail prices. Several factors influence this result, including the assumption that the capacity auctions are perfectly competitive, and that the long</w:t>
      </w:r>
      <w:r>
        <w:noBreakHyphen/>
        <w:t>term contracts generators sign with government can slightly reduce investors’ cost of capital (</w:t>
      </w:r>
      <w:r w:rsidR="00CA762C">
        <w:t>Box 7</w:t>
      </w:r>
      <w:r>
        <w:t xml:space="preserve"> and </w:t>
      </w:r>
      <w:bookmarkStart w:id="475" w:name="_CTVP001fbbfe9fab6da4b859b5a3cd8cb531b3b"/>
      <w:r w:rsidR="0059109A">
        <w:t>Jacobs 2016c</w:t>
      </w:r>
      <w:bookmarkEnd w:id="475"/>
      <w:r>
        <w:t xml:space="preserve">). </w:t>
      </w:r>
    </w:p>
    <w:p w:rsidR="00FF6B73" w:rsidRDefault="00FF6B73" w:rsidP="00FF6B73">
      <w:pPr>
        <w:pStyle w:val="Caption"/>
        <w:keepLines/>
      </w:pPr>
      <w:bookmarkStart w:id="476" w:name="_Ref457840158"/>
      <w:bookmarkStart w:id="477" w:name="_Toc449696825"/>
      <w:bookmarkStart w:id="478" w:name="_Toc460318045"/>
      <w:r>
        <w:t xml:space="preserve">Figure </w:t>
      </w:r>
      <w:r w:rsidR="00CA762C">
        <w:rPr>
          <w:noProof/>
        </w:rPr>
        <w:t>14</w:t>
      </w:r>
      <w:bookmarkEnd w:id="476"/>
      <w:r w:rsidR="00A6425D">
        <w:tab/>
      </w:r>
      <w:r>
        <w:t xml:space="preserve">Average residential retail price by policy, 2 degrees, </w:t>
      </w:r>
      <w:proofErr w:type="gramStart"/>
      <w:r>
        <w:t>2020</w:t>
      </w:r>
      <w:proofErr w:type="gramEnd"/>
      <w:r>
        <w:t>–2050</w:t>
      </w:r>
      <w:bookmarkEnd w:id="477"/>
      <w:bookmarkEnd w:id="478"/>
      <w:r>
        <w:t xml:space="preserve"> </w:t>
      </w:r>
    </w:p>
    <w:p w:rsidR="00FF6B73" w:rsidRDefault="000C3F17" w:rsidP="00FF6B73">
      <w:pPr>
        <w:keepNext/>
        <w:keepLines/>
      </w:pPr>
      <w:r>
        <w:rPr>
          <w:noProof/>
          <w:lang w:eastAsia="en-AU"/>
        </w:rPr>
        <w:drawing>
          <wp:inline distT="0" distB="0" distL="0" distR="0" wp14:anchorId="0CAB6AAF" wp14:editId="2728841B">
            <wp:extent cx="5454000" cy="2847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000" cy="2847600"/>
                    </a:xfrm>
                    <a:prstGeom prst="rect">
                      <a:avLst/>
                    </a:prstGeom>
                    <a:noFill/>
                  </pic:spPr>
                </pic:pic>
              </a:graphicData>
            </a:graphic>
          </wp:inline>
        </w:drawing>
      </w:r>
    </w:p>
    <w:p w:rsidR="00FF6B73" w:rsidRDefault="00FF6B73" w:rsidP="00FF6B73">
      <w:pPr>
        <w:pStyle w:val="TableNote"/>
        <w:keepNext/>
        <w:keepLines/>
      </w:pPr>
      <w:r w:rsidRPr="00E13380">
        <w:rPr>
          <w:b/>
        </w:rPr>
        <w:t>Note:</w:t>
      </w:r>
      <w:r>
        <w:t xml:space="preserve"> Prices are v</w:t>
      </w:r>
      <w:r w:rsidRPr="00AA09B6">
        <w:t xml:space="preserve">olume weighted </w:t>
      </w:r>
      <w:r>
        <w:t>using</w:t>
      </w:r>
      <w:r w:rsidRPr="00AA09B6">
        <w:t xml:space="preserve"> average hourly prices weighted by hourly generation </w:t>
      </w:r>
      <w:r>
        <w:t>shares</w:t>
      </w:r>
      <w:r w:rsidRPr="00AA09B6">
        <w:t xml:space="preserve">. Volume weighted prices are </w:t>
      </w:r>
      <w:r>
        <w:t>calculated</w:t>
      </w:r>
      <w:r w:rsidRPr="00AA09B6">
        <w:t xml:space="preserve"> for each region of the NEM and WEM and a system wide average is derived by weighting each region price b</w:t>
      </w:r>
      <w:r>
        <w:t>y the proportion of each region’s</w:t>
      </w:r>
      <w:r w:rsidRPr="00AA09B6">
        <w:t xml:space="preserve"> energy demand to total energy demand. </w:t>
      </w:r>
      <w:r>
        <w:t>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e or 15 per cent. The cap and trade scheme raises revenue which could be used to assist consumers with higher electricity prices; for other policies assistance could be drawn from general revenue.</w:t>
      </w:r>
      <w:r>
        <w:br/>
      </w:r>
      <w:r w:rsidRPr="00E13380">
        <w:rPr>
          <w:b/>
        </w:rPr>
        <w:t>Source:</w:t>
      </w:r>
      <w:r>
        <w:rPr>
          <w:b/>
        </w:rPr>
        <w:t xml:space="preserve"> </w:t>
      </w:r>
      <w:bookmarkStart w:id="479" w:name="_CTVP0016d886abdda7d4dd788c14e75af18b0b7"/>
      <w:proofErr w:type="gramStart"/>
      <w:r w:rsidR="0059109A">
        <w:t>Jacobs 2016</w:t>
      </w:r>
      <w:proofErr w:type="gramEnd"/>
      <w:r w:rsidR="0059109A">
        <w:t>c</w:t>
      </w:r>
      <w:bookmarkEnd w:id="479"/>
      <w:r>
        <w:t>.</w:t>
      </w:r>
    </w:p>
    <w:p w:rsidR="00A20039" w:rsidRDefault="00A20039" w:rsidP="00A20039">
      <w:pPr>
        <w:pStyle w:val="BodyText"/>
      </w:pPr>
      <w:r>
        <w:t>Emission reduction policy options have very different effects in the wholesale market. These, along with changes in market share, determine the changes in profits for incumbent generators. Technology pull policies tend to lower wholesale prices by directly subsidising eligible generators that generally bid low prices in the wholesale market (</w:t>
      </w:r>
      <w:r w:rsidR="00CA762C">
        <w:t>Box 2</w:t>
      </w:r>
      <w:r>
        <w:t>). Market mechanisms increase wholesale prices because generators have to pay for some or all of their emissions. Regulatory policies also tend to increase wholesale prices because they constrain output from low cost fossil</w:t>
      </w:r>
      <w:r>
        <w:noBreakHyphen/>
        <w:t xml:space="preserve">fuel generators. </w:t>
      </w:r>
      <w:r w:rsidR="00CA762C">
        <w:t xml:space="preserve">Figure </w:t>
      </w:r>
      <w:r w:rsidR="00CA762C">
        <w:rPr>
          <w:noProof/>
        </w:rPr>
        <w:t>15</w:t>
      </w:r>
      <w:r>
        <w:t xml:space="preserve"> shows these wholesale market effects with estimates from Jacobs’ modelling.</w:t>
      </w:r>
    </w:p>
    <w:p w:rsidR="00FF6B73" w:rsidRDefault="00FF6B73" w:rsidP="00FF6B73">
      <w:pPr>
        <w:pStyle w:val="Caption"/>
      </w:pPr>
      <w:bookmarkStart w:id="480" w:name="_Ref457840167"/>
      <w:bookmarkStart w:id="481" w:name="_Toc449696826"/>
      <w:bookmarkStart w:id="482" w:name="_Toc460318046"/>
      <w:r>
        <w:lastRenderedPageBreak/>
        <w:t xml:space="preserve">Figure </w:t>
      </w:r>
      <w:r w:rsidR="00CA762C">
        <w:rPr>
          <w:noProof/>
        </w:rPr>
        <w:t>15</w:t>
      </w:r>
      <w:bookmarkEnd w:id="480"/>
      <w:r w:rsidR="00A6425D">
        <w:tab/>
      </w:r>
      <w:r>
        <w:t xml:space="preserve">Average wholesale electricity price by policy, 2 degrees, </w:t>
      </w:r>
      <w:proofErr w:type="gramStart"/>
      <w:r>
        <w:t>2020</w:t>
      </w:r>
      <w:proofErr w:type="gramEnd"/>
      <w:r>
        <w:t>–2050</w:t>
      </w:r>
      <w:bookmarkEnd w:id="481"/>
      <w:bookmarkEnd w:id="482"/>
      <w:r>
        <w:t xml:space="preserve"> </w:t>
      </w:r>
    </w:p>
    <w:p w:rsidR="00FF6B73" w:rsidRDefault="000C3F17" w:rsidP="00FF6B73">
      <w:pPr>
        <w:pStyle w:val="BodyText"/>
        <w:keepNext/>
      </w:pPr>
      <w:r>
        <w:rPr>
          <w:noProof/>
          <w:lang w:eastAsia="en-AU"/>
        </w:rPr>
        <w:drawing>
          <wp:inline distT="0" distB="0" distL="0" distR="0" wp14:anchorId="5860D30E" wp14:editId="158D925C">
            <wp:extent cx="6067425" cy="31623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7425" cy="3162300"/>
                    </a:xfrm>
                    <a:prstGeom prst="rect">
                      <a:avLst/>
                    </a:prstGeom>
                    <a:noFill/>
                  </pic:spPr>
                </pic:pic>
              </a:graphicData>
            </a:graphic>
          </wp:inline>
        </w:drawing>
      </w:r>
    </w:p>
    <w:p w:rsidR="00FF6B73" w:rsidRDefault="00FF6B73" w:rsidP="00FF6B73">
      <w:pPr>
        <w:pStyle w:val="TableNote"/>
        <w:keepLines/>
      </w:pPr>
      <w:r w:rsidRPr="00E13380">
        <w:rPr>
          <w:b/>
        </w:rPr>
        <w:t>Note:</w:t>
      </w:r>
      <w:r>
        <w:t xml:space="preserve"> Prices are v</w:t>
      </w:r>
      <w:r w:rsidRPr="00AA09B6">
        <w:t xml:space="preserve">olume weighted </w:t>
      </w:r>
      <w:r>
        <w:t>using</w:t>
      </w:r>
      <w:r w:rsidRPr="00BB0937">
        <w:t xml:space="preserve"> average hourly prices weighted by hourly generation </w:t>
      </w:r>
      <w:r w:rsidR="00004B82">
        <w:t>shares</w:t>
      </w:r>
      <w:r w:rsidRPr="00BB0937">
        <w:t>. Volume</w:t>
      </w:r>
      <w:r>
        <w:t xml:space="preserve"> </w:t>
      </w:r>
      <w:r w:rsidRPr="00BB0937">
        <w:t xml:space="preserve">weighted prices are </w:t>
      </w:r>
      <w:r>
        <w:t>calculated</w:t>
      </w:r>
      <w:r w:rsidRPr="00BB0937">
        <w:t xml:space="preserve"> for each region of the NEM and the WEM and a system wide average is derived by weight</w:t>
      </w:r>
      <w:r>
        <w:t>ing</w:t>
      </w:r>
      <w:r w:rsidRPr="00BB0937">
        <w:t xml:space="preserve"> each region</w:t>
      </w:r>
      <w:r>
        <w:t>al</w:t>
      </w:r>
      <w:r w:rsidRPr="00BB0937">
        <w:t xml:space="preserve"> price by the</w:t>
      </w:r>
      <w:r>
        <w:t xml:space="preserve"> ratio</w:t>
      </w:r>
      <w:r w:rsidRPr="00BB0937">
        <w:t xml:space="preserve"> of each region</w:t>
      </w:r>
      <w:r>
        <w:t>’</w:t>
      </w:r>
      <w:r w:rsidRPr="00BB0937">
        <w:t>s energy demand to total demand</w:t>
      </w:r>
      <w:r>
        <w:t>. The r</w:t>
      </w:r>
      <w:r w:rsidRPr="00C85B49">
        <w:t>egulated closure</w:t>
      </w:r>
      <w:r w:rsidR="00A82A29">
        <w:t>s</w:t>
      </w:r>
      <w:r>
        <w:t xml:space="preserve"> policy</w:t>
      </w:r>
      <w:r w:rsidRPr="00C85B49">
        <w:t xml:space="preserve"> breache</w:t>
      </w:r>
      <w:r>
        <w:t>s the emissions budget by about 200 </w:t>
      </w:r>
      <w:r w:rsidRPr="00C85B49">
        <w:t>Mt</w:t>
      </w:r>
      <w:r w:rsidR="00F52919">
        <w:t xml:space="preserve"> </w:t>
      </w:r>
      <w:r>
        <w:t>CO</w:t>
      </w:r>
      <w:r>
        <w:rPr>
          <w:vertAlign w:val="subscript"/>
        </w:rPr>
        <w:t>2</w:t>
      </w:r>
      <w:r>
        <w:noBreakHyphen/>
        <w:t>e or 15 per cent.</w:t>
      </w:r>
      <w:r>
        <w:br/>
      </w:r>
      <w:r w:rsidRPr="00E13380">
        <w:rPr>
          <w:b/>
        </w:rPr>
        <w:t>Source:</w:t>
      </w:r>
      <w:r>
        <w:rPr>
          <w:b/>
        </w:rPr>
        <w:t xml:space="preserve"> </w:t>
      </w:r>
      <w:bookmarkStart w:id="483" w:name="_CTVP0015cf6f0a48c0e430dbf0a24ee0ce9b147"/>
      <w:proofErr w:type="gramStart"/>
      <w:r w:rsidR="0059109A">
        <w:t>Jacobs 2016</w:t>
      </w:r>
      <w:proofErr w:type="gramEnd"/>
      <w:r w:rsidR="0059109A">
        <w:t>c</w:t>
      </w:r>
      <w:bookmarkEnd w:id="483"/>
      <w:r>
        <w:t>.</w:t>
      </w:r>
    </w:p>
    <w:p w:rsidR="00FF6B73" w:rsidRDefault="00FF6B73" w:rsidP="00FF6B73">
      <w:pPr>
        <w:pStyle w:val="BodyText"/>
      </w:pPr>
      <w:r>
        <w:t>M</w:t>
      </w:r>
      <w:r w:rsidRPr="00F42CC2">
        <w:t xml:space="preserve">ost </w:t>
      </w:r>
      <w:r>
        <w:t>electricity sector climate policies are likely to reduce</w:t>
      </w:r>
      <w:r w:rsidRPr="00F42CC2">
        <w:t xml:space="preserve"> </w:t>
      </w:r>
      <w:r>
        <w:t xml:space="preserve">gross </w:t>
      </w:r>
      <w:r w:rsidRPr="00F42CC2">
        <w:t>profits</w:t>
      </w:r>
      <w:r>
        <w:rPr>
          <w:rStyle w:val="FootnoteReference"/>
        </w:rPr>
        <w:footnoteReference w:id="13"/>
      </w:r>
      <w:r w:rsidRPr="00F42CC2">
        <w:t xml:space="preserve"> for owners of incumbent </w:t>
      </w:r>
      <w:r>
        <w:t xml:space="preserve">coal </w:t>
      </w:r>
      <w:r w:rsidRPr="00F42CC2">
        <w:t xml:space="preserve">generators, </w:t>
      </w:r>
      <w:r>
        <w:t>while</w:t>
      </w:r>
      <w:r w:rsidRPr="00F42CC2">
        <w:t xml:space="preserve"> creat</w:t>
      </w:r>
      <w:r>
        <w:t>ing</w:t>
      </w:r>
      <w:r w:rsidRPr="00F42CC2">
        <w:t xml:space="preserve"> opportunities for investment in new </w:t>
      </w:r>
      <w:r>
        <w:t xml:space="preserve">zero- and low-emissions </w:t>
      </w:r>
      <w:r w:rsidRPr="00F42CC2">
        <w:t>assets</w:t>
      </w:r>
      <w:r>
        <w:t xml:space="preserve">. Jacobs’ modelling finds that the projected </w:t>
      </w:r>
      <w:r w:rsidRPr="00F42CC2">
        <w:t>change in profits</w:t>
      </w:r>
      <w:r>
        <w:t xml:space="preserve"> for incumbent coal generators</w:t>
      </w:r>
      <w:r w:rsidRPr="00F42CC2">
        <w:t xml:space="preserve"> is similar across policies</w:t>
      </w:r>
      <w:r>
        <w:t xml:space="preserve"> except absolute baselines (</w:t>
      </w:r>
      <w:r w:rsidR="00CA762C">
        <w:t xml:space="preserve">Figure </w:t>
      </w:r>
      <w:r w:rsidR="00CA762C">
        <w:rPr>
          <w:noProof/>
        </w:rPr>
        <w:t>16</w:t>
      </w:r>
      <w:r>
        <w:t>). The technology pull policies supress wholesale prices—and hence profits—while market mechanisms and regulatory closure policies substantially reduce output from some incumbent generators</w:t>
      </w:r>
      <w:r w:rsidRPr="00F42CC2">
        <w:t>.</w:t>
      </w:r>
      <w:r>
        <w:t xml:space="preserve"> In contrast, the absolute baselines policy raises wholesale prices in the 2020s, while incumbent generators continue to generate at relatively high levels, resulting in improved profits. Projected impacts on other incumbent generators are discussed in </w:t>
      </w:r>
      <w:r w:rsidR="00CA762C">
        <w:t>Appendix C.1</w:t>
      </w:r>
      <w:r>
        <w:t>.</w:t>
      </w:r>
    </w:p>
    <w:p w:rsidR="00A20039" w:rsidRDefault="00A20039" w:rsidP="00FF6B73">
      <w:pPr>
        <w:pStyle w:val="BodyText"/>
      </w:pPr>
      <w:r>
        <w:t>With the exception of absolute baselines, declining profits may result in the closure of incumbent brown and black coal-fired generators. For example, Jacobs’ modelling projects relatively rapid closure of incumbent coal</w:t>
      </w:r>
      <w:r>
        <w:noBreakHyphen/>
        <w:t xml:space="preserve">fired generators across almost all policies. Some closures are likely even without any climate policy, due to the age of assets and broader shifts in the Australian economy. Still, some climate policy will accelerate closure, affecting regional employment and local communities. </w:t>
      </w:r>
      <w:r w:rsidRPr="00F42CC2">
        <w:t xml:space="preserve">The Authority </w:t>
      </w:r>
      <w:r>
        <w:t>has</w:t>
      </w:r>
      <w:r w:rsidRPr="00F42CC2">
        <w:t xml:space="preserve"> </w:t>
      </w:r>
      <w:r>
        <w:t>considered</w:t>
      </w:r>
      <w:r w:rsidRPr="00F42CC2">
        <w:t xml:space="preserve"> regional impacts in </w:t>
      </w:r>
      <w:r w:rsidRPr="00D93DFB">
        <w:t>Report Three of the Special Review.</w:t>
      </w:r>
    </w:p>
    <w:p w:rsidR="00FF6B73" w:rsidRDefault="00FF6B73" w:rsidP="00FF6B73">
      <w:pPr>
        <w:pStyle w:val="Caption"/>
      </w:pPr>
      <w:bookmarkStart w:id="484" w:name="_Ref457840207"/>
      <w:bookmarkStart w:id="485" w:name="_Toc449696827"/>
      <w:bookmarkStart w:id="486" w:name="_Toc460318047"/>
      <w:r>
        <w:lastRenderedPageBreak/>
        <w:t xml:space="preserve">Figure </w:t>
      </w:r>
      <w:r w:rsidR="00CA762C">
        <w:rPr>
          <w:noProof/>
        </w:rPr>
        <w:t>16</w:t>
      </w:r>
      <w:bookmarkEnd w:id="484"/>
      <w:r w:rsidR="00A6425D">
        <w:tab/>
      </w:r>
      <w:r w:rsidRPr="0008792B">
        <w:t xml:space="preserve">Difference in NPV </w:t>
      </w:r>
      <w:r>
        <w:t xml:space="preserve">of </w:t>
      </w:r>
      <w:r w:rsidRPr="0008792B">
        <w:t>gross profits for incumbent coal generators from reference case</w:t>
      </w:r>
      <w:r>
        <w:t>, 2 degrees, 2020–2050</w:t>
      </w:r>
      <w:bookmarkEnd w:id="485"/>
      <w:bookmarkEnd w:id="486"/>
    </w:p>
    <w:p w:rsidR="00FF6B73" w:rsidRDefault="00FF6B73" w:rsidP="00FF6B73">
      <w:pPr>
        <w:pStyle w:val="BodyText"/>
        <w:jc w:val="center"/>
      </w:pPr>
      <w:r w:rsidRPr="0038490A">
        <w:t xml:space="preserve"> </w:t>
      </w:r>
      <w:r w:rsidRPr="007B160A">
        <w:rPr>
          <w:noProof/>
          <w:lang w:eastAsia="en-AU"/>
        </w:rPr>
        <w:drawing>
          <wp:inline distT="0" distB="0" distL="0" distR="0" wp14:anchorId="733497D4" wp14:editId="43B19A00">
            <wp:extent cx="6107430" cy="408051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7430" cy="4080510"/>
                    </a:xfrm>
                    <a:prstGeom prst="rect">
                      <a:avLst/>
                    </a:prstGeom>
                    <a:noFill/>
                    <a:ln>
                      <a:noFill/>
                    </a:ln>
                  </pic:spPr>
                </pic:pic>
              </a:graphicData>
            </a:graphic>
          </wp:inline>
        </w:drawing>
      </w:r>
    </w:p>
    <w:p w:rsidR="00FF6B73" w:rsidRDefault="00FF6B73" w:rsidP="00FF6B73">
      <w:pPr>
        <w:pStyle w:val="TableNote"/>
        <w:rPr>
          <w:rFonts w:eastAsiaTheme="minorHAnsi" w:cstheme="minorBidi"/>
          <w:bCs w:val="0"/>
          <w:color w:val="414141"/>
          <w:sz w:val="21"/>
          <w:szCs w:val="22"/>
          <w:lang w:eastAsia="en-US"/>
        </w:rPr>
      </w:pPr>
      <w:r w:rsidRPr="0008792B">
        <w:rPr>
          <w:rFonts w:eastAsiaTheme="minorHAnsi"/>
          <w:b/>
        </w:rPr>
        <w:t>Note</w:t>
      </w:r>
      <w:r>
        <w:rPr>
          <w:rFonts w:eastAsiaTheme="minorHAnsi"/>
        </w:rPr>
        <w:t xml:space="preserve">: </w:t>
      </w:r>
      <w:r w:rsidRPr="0008792B">
        <w:rPr>
          <w:rFonts w:eastAsiaTheme="minorHAnsi"/>
        </w:rPr>
        <w:t xml:space="preserve">NPV of </w:t>
      </w:r>
      <w:r>
        <w:rPr>
          <w:rFonts w:eastAsiaTheme="minorHAnsi"/>
        </w:rPr>
        <w:t xml:space="preserve">gross </w:t>
      </w:r>
      <w:r w:rsidRPr="0008792B">
        <w:rPr>
          <w:rFonts w:eastAsiaTheme="minorHAnsi"/>
        </w:rPr>
        <w:t xml:space="preserve">profits calculated with seven per cent discount rate and discounted to 2020 levels. </w:t>
      </w:r>
      <w:r>
        <w:t>Gross profit is a concept related to costs, and for a generator is the difference between total revenue, which consists of pool revenue, contract revenue and certificate revenue (where applicable), less all operating costs, including fuel costs, fixed and variable operating costs and emissions costs</w:t>
      </w:r>
      <w:r>
        <w:rPr>
          <w:rFonts w:eastAsiaTheme="minorHAnsi"/>
        </w:rPr>
        <w:t xml:space="preserve">. </w:t>
      </w:r>
      <w:r w:rsidRPr="0008792B">
        <w:rPr>
          <w:rFonts w:eastAsiaTheme="minorHAnsi"/>
        </w:rPr>
        <w:t xml:space="preserve">Gross profits for reference case </w:t>
      </w:r>
      <w:r>
        <w:rPr>
          <w:rFonts w:eastAsiaTheme="minorHAnsi"/>
        </w:rPr>
        <w:t xml:space="preserve">are </w:t>
      </w:r>
      <w:r w:rsidRPr="0008792B">
        <w:rPr>
          <w:rFonts w:eastAsiaTheme="minorHAnsi"/>
        </w:rPr>
        <w:t>adjusted for new entrants using a generation to capacity ratio.</w:t>
      </w:r>
      <w:r>
        <w:rPr>
          <w:rFonts w:eastAsiaTheme="minorHAnsi"/>
        </w:rPr>
        <w:t xml:space="preserve"> </w:t>
      </w:r>
      <w:r w:rsidR="00A82A29">
        <w:t>The r</w:t>
      </w:r>
      <w:r w:rsidRPr="00E13380">
        <w:t>egulated closure</w:t>
      </w:r>
      <w:r w:rsidR="00A82A29">
        <w:t>s policy</w:t>
      </w:r>
      <w:r>
        <w:t xml:space="preserve"> </w:t>
      </w:r>
      <w:r w:rsidRPr="00E13380">
        <w:t xml:space="preserve">breaches the common cumulative emissions budget, so the </w:t>
      </w:r>
      <w:r>
        <w:t>change in profits</w:t>
      </w:r>
      <w:r w:rsidRPr="00E13380">
        <w:t xml:space="preserve"> may not be directly comparable with other policies.</w:t>
      </w:r>
      <w:r>
        <w:t xml:space="preserve"> The reference case assumes strong global action to reduce emissions, and no additional climate policies in the Australian electricity sector. Revenue </w:t>
      </w:r>
      <w:proofErr w:type="gramStart"/>
      <w:r>
        <w:t>raised</w:t>
      </w:r>
      <w:proofErr w:type="gramEnd"/>
      <w:r>
        <w:t xml:space="preserve"> under the cap and trade scheme is not redistributed in the modelling. For further information on interpreting gross profits measures, see Section C.3.3 of Jacobs’ modelling report (</w:t>
      </w:r>
      <w:bookmarkStart w:id="487" w:name="_CTVP001ff2e418f93fd481ebda396a3967d22e8"/>
      <w:r w:rsidR="0059109A">
        <w:rPr>
          <w:rFonts w:eastAsiaTheme="minorHAnsi"/>
        </w:rPr>
        <w:t>Jacobs 2016c</w:t>
      </w:r>
      <w:bookmarkEnd w:id="487"/>
      <w:r>
        <w:t>).</w:t>
      </w:r>
      <w:r>
        <w:br/>
      </w:r>
      <w:r>
        <w:rPr>
          <w:b/>
        </w:rPr>
        <w:t xml:space="preserve">Source: </w:t>
      </w:r>
      <w:r w:rsidRPr="0008792B">
        <w:t xml:space="preserve">Climate Change Authority </w:t>
      </w:r>
      <w:r>
        <w:t>based on</w:t>
      </w:r>
      <w:r>
        <w:rPr>
          <w:rFonts w:eastAsiaTheme="minorHAnsi"/>
        </w:rPr>
        <w:t xml:space="preserve"> </w:t>
      </w:r>
      <w:bookmarkStart w:id="488" w:name="_CTVP001277fdde6e36e460992916e2deef2a7ca"/>
      <w:proofErr w:type="gramStart"/>
      <w:r w:rsidR="0059109A">
        <w:rPr>
          <w:rFonts w:eastAsiaTheme="minorHAnsi"/>
        </w:rPr>
        <w:t>Jacobs 2016</w:t>
      </w:r>
      <w:proofErr w:type="gramEnd"/>
      <w:r w:rsidR="0059109A">
        <w:rPr>
          <w:rFonts w:eastAsiaTheme="minorHAnsi"/>
        </w:rPr>
        <w:t>c</w:t>
      </w:r>
      <w:bookmarkEnd w:id="488"/>
      <w:r w:rsidRPr="0008792B">
        <w:rPr>
          <w:rFonts w:eastAsiaTheme="minorHAnsi"/>
        </w:rPr>
        <w:t xml:space="preserve">.  </w:t>
      </w:r>
      <w:r>
        <w:rPr>
          <w:rFonts w:eastAsiaTheme="minorHAnsi"/>
        </w:rPr>
        <w:t xml:space="preserve"> </w:t>
      </w:r>
      <w:r w:rsidRPr="0008792B">
        <w:rPr>
          <w:rFonts w:eastAsiaTheme="minorHAnsi" w:cstheme="minorBidi"/>
          <w:bCs w:val="0"/>
          <w:color w:val="414141"/>
          <w:sz w:val="21"/>
          <w:szCs w:val="22"/>
          <w:lang w:eastAsia="en-US"/>
        </w:rPr>
        <w:t xml:space="preserve"> </w:t>
      </w:r>
    </w:p>
    <w:p w:rsidR="00FF6B73" w:rsidRPr="00040841" w:rsidRDefault="00FF6B73" w:rsidP="00FF6B73">
      <w:pPr>
        <w:pStyle w:val="BodyText"/>
      </w:pPr>
      <w:r>
        <w:t xml:space="preserve">The closure of incumbent coal generators also creates opportunities for new investment in renewable and other low-emissions generators. In Australia, most electricity companies own a portfolio of generators and generator </w:t>
      </w:r>
      <w:proofErr w:type="gramStart"/>
      <w:r>
        <w:t>types,</w:t>
      </w:r>
      <w:proofErr w:type="gramEnd"/>
      <w:r>
        <w:t xml:space="preserve"> so would experience both gains and losses from the sector. </w:t>
      </w:r>
      <w:proofErr w:type="gramStart"/>
      <w:r w:rsidR="00CA762C">
        <w:t xml:space="preserve">Figure </w:t>
      </w:r>
      <w:r w:rsidR="00CA762C">
        <w:rPr>
          <w:noProof/>
        </w:rPr>
        <w:t>17</w:t>
      </w:r>
      <w:r w:rsidR="00656961">
        <w:t xml:space="preserve"> </w:t>
      </w:r>
      <w:r>
        <w:t>shows a large amount of additional zero- and low-emissions capacity is projected to be added in all policy scenarios in Jacobs’ modelling.</w:t>
      </w:r>
      <w:proofErr w:type="gramEnd"/>
    </w:p>
    <w:p w:rsidR="00FF6B73" w:rsidRDefault="00FF6B73" w:rsidP="00FF6B73">
      <w:pPr>
        <w:pStyle w:val="Caption"/>
        <w:tabs>
          <w:tab w:val="clear" w:pos="1418"/>
        </w:tabs>
        <w:ind w:left="1134" w:hanging="1134"/>
      </w:pPr>
      <w:bookmarkStart w:id="489" w:name="_Ref457840222"/>
      <w:bookmarkStart w:id="490" w:name="_Toc449696828"/>
      <w:bookmarkStart w:id="491" w:name="_Toc460318048"/>
      <w:r>
        <w:lastRenderedPageBreak/>
        <w:t xml:space="preserve">Figure </w:t>
      </w:r>
      <w:r w:rsidR="00CA762C">
        <w:rPr>
          <w:noProof/>
        </w:rPr>
        <w:t>17</w:t>
      </w:r>
      <w:bookmarkEnd w:id="489"/>
      <w:r w:rsidR="00A6425D">
        <w:tab/>
      </w:r>
      <w:r>
        <w:t>Change in capacity of large-scale renewable and low</w:t>
      </w:r>
      <w:r>
        <w:noBreakHyphen/>
        <w:t>emissions technologies, 2 degrees, 2020–2050</w:t>
      </w:r>
      <w:bookmarkEnd w:id="490"/>
      <w:bookmarkEnd w:id="491"/>
    </w:p>
    <w:p w:rsidR="00FF6B73" w:rsidRDefault="00FF6B73" w:rsidP="00FF6B73">
      <w:pPr>
        <w:pStyle w:val="BodyText"/>
      </w:pPr>
      <w:r w:rsidRPr="00503A53">
        <w:t xml:space="preserve"> </w:t>
      </w:r>
      <w:r w:rsidRPr="003F3FAA">
        <w:rPr>
          <w:noProof/>
          <w:lang w:eastAsia="en-AU"/>
        </w:rPr>
        <w:drawing>
          <wp:inline distT="0" distB="0" distL="0" distR="0" wp14:anchorId="0F6DC0C1" wp14:editId="00885BEC">
            <wp:extent cx="6120765" cy="317681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176810"/>
                    </a:xfrm>
                    <a:prstGeom prst="rect">
                      <a:avLst/>
                    </a:prstGeom>
                    <a:noFill/>
                    <a:ln>
                      <a:noFill/>
                    </a:ln>
                  </pic:spPr>
                </pic:pic>
              </a:graphicData>
            </a:graphic>
          </wp:inline>
        </w:drawing>
      </w:r>
    </w:p>
    <w:p w:rsidR="00FF6B73" w:rsidRDefault="00FF6B73" w:rsidP="00FF6B73">
      <w:pPr>
        <w:pStyle w:val="TableNote"/>
        <w:rPr>
          <w:rFonts w:eastAsiaTheme="minorHAnsi" w:cstheme="minorBidi"/>
          <w:color w:val="414141"/>
          <w:sz w:val="21"/>
          <w:szCs w:val="22"/>
          <w:lang w:eastAsia="en-US"/>
        </w:rPr>
      </w:pPr>
      <w:r>
        <w:rPr>
          <w:rFonts w:eastAsiaTheme="minorHAnsi"/>
          <w:b/>
        </w:rPr>
        <w:t>Note</w:t>
      </w:r>
      <w:r>
        <w:rPr>
          <w:rFonts w:eastAsiaTheme="minorHAnsi"/>
        </w:rPr>
        <w:t>: Change in large</w:t>
      </w:r>
      <w:r>
        <w:rPr>
          <w:rFonts w:eastAsiaTheme="minorHAnsi"/>
        </w:rPr>
        <w:noBreakHyphen/>
        <w:t>scale generation capacity including hydro, wind, large</w:t>
      </w:r>
      <w:r>
        <w:rPr>
          <w:rFonts w:eastAsiaTheme="minorHAnsi"/>
        </w:rPr>
        <w:noBreakHyphen/>
        <w:t xml:space="preserve">scale solar, biomass, geothermal, gas with CCS and nuclear. Around 140 MW of renewable capacity is installed in the reference case after 2020. </w:t>
      </w:r>
      <w:r>
        <w:rPr>
          <w:b/>
        </w:rPr>
        <w:br/>
        <w:t xml:space="preserve">Source: </w:t>
      </w:r>
      <w:r w:rsidRPr="0008792B">
        <w:t xml:space="preserve">Climate Change Authority </w:t>
      </w:r>
      <w:r>
        <w:t>based on</w:t>
      </w:r>
      <w:r>
        <w:rPr>
          <w:rFonts w:eastAsiaTheme="minorHAnsi"/>
        </w:rPr>
        <w:t xml:space="preserve"> </w:t>
      </w:r>
      <w:bookmarkStart w:id="492" w:name="_CTVP0018f4805c2311241328782af94b4800ef8"/>
      <w:proofErr w:type="gramStart"/>
      <w:r w:rsidR="0059109A" w:rsidRPr="0059109A">
        <w:rPr>
          <w:rFonts w:eastAsiaTheme="minorHAnsi"/>
        </w:rPr>
        <w:t>Jacobs 2016</w:t>
      </w:r>
      <w:proofErr w:type="gramEnd"/>
      <w:r w:rsidR="0059109A" w:rsidRPr="0059109A">
        <w:rPr>
          <w:rFonts w:eastAsiaTheme="minorHAnsi"/>
        </w:rPr>
        <w:t>c</w:t>
      </w:r>
      <w:bookmarkEnd w:id="492"/>
      <w:r w:rsidRPr="0008792B">
        <w:rPr>
          <w:rFonts w:eastAsiaTheme="minorHAnsi"/>
        </w:rPr>
        <w:t xml:space="preserve">.  </w:t>
      </w:r>
      <w:r>
        <w:rPr>
          <w:rFonts w:eastAsiaTheme="minorHAnsi"/>
        </w:rPr>
        <w:t xml:space="preserve"> </w:t>
      </w:r>
      <w:r w:rsidRPr="0008792B">
        <w:rPr>
          <w:rFonts w:eastAsiaTheme="minorHAnsi" w:cstheme="minorBidi"/>
          <w:color w:val="414141"/>
          <w:sz w:val="21"/>
          <w:szCs w:val="22"/>
          <w:lang w:eastAsia="en-US"/>
        </w:rPr>
        <w:t xml:space="preserve"> </w:t>
      </w:r>
    </w:p>
    <w:p w:rsidR="00FF6B73" w:rsidRDefault="00FF6B73" w:rsidP="00FF6B73">
      <w:pPr>
        <w:pStyle w:val="ChapterHeading2"/>
        <w:numPr>
          <w:ilvl w:val="1"/>
          <w:numId w:val="15"/>
        </w:numPr>
      </w:pPr>
      <w:bookmarkStart w:id="493" w:name="_Toc457302112"/>
      <w:bookmarkStart w:id="494" w:name="_Ref457557048"/>
      <w:bookmarkStart w:id="495" w:name="_Toc460317998"/>
      <w:r>
        <w:t xml:space="preserve">The Authority’s </w:t>
      </w:r>
      <w:r w:rsidR="00947C6B">
        <w:t>view</w:t>
      </w:r>
      <w:r>
        <w:t xml:space="preserve">: a </w:t>
      </w:r>
      <w:bookmarkEnd w:id="493"/>
      <w:bookmarkEnd w:id="494"/>
      <w:r w:rsidR="00947C6B">
        <w:t>market mechanism</w:t>
      </w:r>
      <w:bookmarkEnd w:id="495"/>
    </w:p>
    <w:p w:rsidR="00FF6B73" w:rsidRDefault="00FF6B73" w:rsidP="00FF6B73">
      <w:pPr>
        <w:pStyle w:val="BodyText"/>
      </w:pPr>
      <w:r>
        <w:t xml:space="preserve">The Authority’s </w:t>
      </w:r>
      <w:r w:rsidR="00066C25">
        <w:t xml:space="preserve">view </w:t>
      </w:r>
      <w:r>
        <w:t>is that Australia should implement a market mechanism of some form in the electricity supply sector. A</w:t>
      </w:r>
      <w:r w:rsidRPr="00DF664B">
        <w:t xml:space="preserve"> </w:t>
      </w:r>
      <w:r>
        <w:t>market mechanism in the sector</w:t>
      </w:r>
      <w:r w:rsidRPr="00DF664B">
        <w:t xml:space="preserve"> would allow Australia to meet its targets at a lower cost to the community than would be possible without such a policy in the toolkit.</w:t>
      </w:r>
      <w:r>
        <w:t xml:space="preserve"> The sector’s characteristics (measurable emissions, relatively small number of large emissions sources, sophisticated profit-seeking investors operating in generally competitive generation markets) suggest market mechanisms will be feasible and more cost-effective than the alternatives. In addition, market mechanisms can be scaled to achieve deep emission cuts, and are flexible to changing market and technology conditions. The equity impacts of market mechanisms vary based on the design of the specific policy and are explored in the next section.</w:t>
      </w:r>
    </w:p>
    <w:p w:rsidR="00FF6B73" w:rsidRDefault="00FF6B73" w:rsidP="00FF6B73">
      <w:pPr>
        <w:pStyle w:val="ChapterHeading2"/>
        <w:numPr>
          <w:ilvl w:val="1"/>
          <w:numId w:val="15"/>
        </w:numPr>
      </w:pPr>
      <w:bookmarkStart w:id="496" w:name="_Toc459218482"/>
      <w:bookmarkStart w:id="497" w:name="_Toc457302113"/>
      <w:bookmarkStart w:id="498" w:name="_Ref457839919"/>
      <w:bookmarkStart w:id="499" w:name="_Ref457840564"/>
      <w:bookmarkStart w:id="500" w:name="_Toc460317999"/>
      <w:bookmarkEnd w:id="496"/>
      <w:r>
        <w:t>What type of market mechanism?</w:t>
      </w:r>
      <w:bookmarkEnd w:id="497"/>
      <w:bookmarkEnd w:id="498"/>
      <w:bookmarkEnd w:id="499"/>
      <w:bookmarkEnd w:id="500"/>
    </w:p>
    <w:p w:rsidR="00FF6B73" w:rsidRDefault="00FF6B73" w:rsidP="00FF6B73">
      <w:pPr>
        <w:pStyle w:val="BodyText"/>
      </w:pPr>
      <w:r>
        <w:t xml:space="preserve">Report Two of the Special Review </w:t>
      </w:r>
      <w:r w:rsidR="004E2DDB">
        <w:t xml:space="preserve">discussed </w:t>
      </w:r>
      <w:r>
        <w:t xml:space="preserve">four </w:t>
      </w:r>
      <w:r w:rsidR="004B3394">
        <w:t>market mechanisms</w:t>
      </w:r>
      <w:r>
        <w:t>:</w:t>
      </w:r>
    </w:p>
    <w:p w:rsidR="00FF6B73" w:rsidRDefault="00FF6B73" w:rsidP="00FF6B73">
      <w:pPr>
        <w:pStyle w:val="ListBullet"/>
      </w:pPr>
      <w:r>
        <w:t>cap and trade scheme</w:t>
      </w:r>
    </w:p>
    <w:p w:rsidR="00CA0324" w:rsidRDefault="00FF6B73" w:rsidP="00FF6B73">
      <w:pPr>
        <w:pStyle w:val="ListBullet"/>
      </w:pPr>
      <w:r>
        <w:t>emissions intensity scheme</w:t>
      </w:r>
    </w:p>
    <w:p w:rsidR="00CA0324" w:rsidRDefault="00FF6B73" w:rsidP="00FF6B73">
      <w:pPr>
        <w:pStyle w:val="ListBullet"/>
      </w:pPr>
      <w:r>
        <w:t>carbon tax</w:t>
      </w:r>
    </w:p>
    <w:p w:rsidR="00FF6B73" w:rsidRDefault="00FF6B73" w:rsidP="00FF6B73">
      <w:pPr>
        <w:pStyle w:val="ListBullet"/>
      </w:pPr>
      <w:proofErr w:type="gramStart"/>
      <w:r>
        <w:t>baseline</w:t>
      </w:r>
      <w:proofErr w:type="gramEnd"/>
      <w:r>
        <w:t xml:space="preserve"> and credit scheme. </w:t>
      </w:r>
    </w:p>
    <w:p w:rsidR="00845DDE" w:rsidRDefault="00FF6B73" w:rsidP="00FF6B73">
      <w:r>
        <w:t xml:space="preserve">When assessing the policies against the Authority’s core principles of cost effectiveness, environmental effectiveness and equity in that report, the Authority noted particular drawbacks with some baseline and credit schemes on equity grounds. In particular, where baselines are set to historical emissions </w:t>
      </w:r>
      <w:r w:rsidR="00066C25">
        <w:t xml:space="preserve">and trading below baselines is permitted, </w:t>
      </w:r>
      <w:r>
        <w:t xml:space="preserve">they may provide windfall gains to liable firms, and that the </w:t>
      </w:r>
      <w:r w:rsidRPr="00CB0E8F">
        <w:lastRenderedPageBreak/>
        <w:t xml:space="preserve">difficulties in setting </w:t>
      </w:r>
      <w:r>
        <w:t xml:space="preserve">historical </w:t>
      </w:r>
      <w:r w:rsidRPr="00CB0E8F">
        <w:t>baselines can lead to inequities between firms and industries</w:t>
      </w:r>
      <w:r>
        <w:t>.</w:t>
      </w:r>
      <w:r w:rsidR="00066C25">
        <w:t xml:space="preserve"> </w:t>
      </w:r>
      <w:r>
        <w:t>Stakeholder feedback on Report Two has also revealed little support for such baseline and credit schemes in the electricity sector.</w:t>
      </w:r>
      <w:r w:rsidR="00845DDE">
        <w:t xml:space="preserve"> </w:t>
      </w:r>
    </w:p>
    <w:p w:rsidR="00FF6B73" w:rsidRDefault="00FF6B73" w:rsidP="00FF6B73">
      <w:r>
        <w:t>The remainder of this chapter focuses on the relative performance of the remaining three schemes. Where the assessment draws on the Authority’s commissioned modelling, the results for a cap and trade scheme are informative about the performance of either a cap and trade scheme or a carbon tax.</w:t>
      </w:r>
    </w:p>
    <w:p w:rsidR="00FF6B73" w:rsidRDefault="00FF6B73" w:rsidP="00FF6B73">
      <w:r>
        <w:t>In</w:t>
      </w:r>
      <w:r w:rsidRPr="00E7436E">
        <w:t xml:space="preserve"> </w:t>
      </w:r>
      <w:r>
        <w:t>consultations on</w:t>
      </w:r>
      <w:r w:rsidRPr="00E7436E">
        <w:t xml:space="preserve"> Report Two of the Special Review</w:t>
      </w:r>
      <w:r>
        <w:t xml:space="preserve"> a number of stakeholders expressed a preference for a cap and trade scheme out of all the market mechanisms put forward by the Authority. For example, Shell Australia stated: </w:t>
      </w:r>
    </w:p>
    <w:p w:rsidR="00FF6B73" w:rsidRPr="005F60CB" w:rsidRDefault="00FF6B73" w:rsidP="00FF6B73">
      <w:pPr>
        <w:pStyle w:val="Quote"/>
      </w:pPr>
      <w:r w:rsidRPr="005F60CB">
        <w:t>Shell supports a cap-and-trade emissions trading system (ETS) because the policy is economically efficient, well understood, and in wide-spread use throughout the world. As such, it generally carries acceptable costs and can more easily be linked to international market-based CO</w:t>
      </w:r>
      <w:r w:rsidRPr="005F60CB">
        <w:rPr>
          <w:vertAlign w:val="subscript"/>
        </w:rPr>
        <w:t>2</w:t>
      </w:r>
      <w:r w:rsidRPr="005F60CB">
        <w:t xml:space="preserve"> emission reduction programs, further increasing their cost-effectiveness</w:t>
      </w:r>
      <w:r>
        <w:t xml:space="preserve"> </w:t>
      </w:r>
      <w:r>
        <w:rPr>
          <w:i w:val="0"/>
        </w:rPr>
        <w:t>(personal communication 7 March 2016)</w:t>
      </w:r>
      <w:r w:rsidRPr="005F60CB">
        <w:t>.</w:t>
      </w:r>
    </w:p>
    <w:p w:rsidR="00FF6B73" w:rsidRDefault="00FF6B73" w:rsidP="00FF6B73">
      <w:r>
        <w:t xml:space="preserve">Origin Energy identified that an emissions intensity scheme would moderate </w:t>
      </w:r>
      <w:r w:rsidRPr="00ED326C">
        <w:rPr>
          <w:iCs/>
        </w:rPr>
        <w:t>impact</w:t>
      </w:r>
      <w:r>
        <w:rPr>
          <w:iCs/>
        </w:rPr>
        <w:t>s</w:t>
      </w:r>
      <w:r w:rsidRPr="00ED326C">
        <w:rPr>
          <w:iCs/>
        </w:rPr>
        <w:t xml:space="preserve"> on wholesale and retail electricity prices</w:t>
      </w:r>
      <w:r>
        <w:rPr>
          <w:iCs/>
        </w:rPr>
        <w:t xml:space="preserve"> (Report Two submission, pp. 4–5). </w:t>
      </w:r>
    </w:p>
    <w:p w:rsidR="00FF6B73" w:rsidRDefault="00FF6B73" w:rsidP="00FF6B73">
      <w:pPr>
        <w:pStyle w:val="BodyText"/>
      </w:pPr>
      <w:r w:rsidRPr="00287C26">
        <w:t>While there are differences between these policies, they have much</w:t>
      </w:r>
      <w:r>
        <w:t xml:space="preserve"> more</w:t>
      </w:r>
      <w:r w:rsidRPr="00287C26">
        <w:t xml:space="preserve"> in common</w:t>
      </w:r>
      <w:r>
        <w:t xml:space="preserve"> in terms of operation and impacts than they have features that distinguish them</w:t>
      </w:r>
      <w:r w:rsidRPr="00287C26">
        <w:t xml:space="preserve">. Each </w:t>
      </w:r>
      <w:r>
        <w:t xml:space="preserve">option for a market mechanism uses an explicit carbon price; each </w:t>
      </w:r>
      <w:r w:rsidRPr="00287C26">
        <w:t xml:space="preserve">can </w:t>
      </w:r>
      <w:r>
        <w:t>readily be scaled to drive stronger emissions reductions in electricity supply at lower cost than alternative policies</w:t>
      </w:r>
      <w:r w:rsidRPr="00287C26">
        <w:t>. Each can only perform well, and drive the necessary changes in investment, if there is policy stability and credibility</w:t>
      </w:r>
      <w:r>
        <w:t xml:space="preserve">, and if the policy is well </w:t>
      </w:r>
      <w:r w:rsidRPr="00287C26">
        <w:t xml:space="preserve">designed and </w:t>
      </w:r>
      <w:r>
        <w:t>implemented</w:t>
      </w:r>
      <w:r w:rsidRPr="00287C26">
        <w:t>.</w:t>
      </w:r>
      <w:r>
        <w:t xml:space="preserve"> </w:t>
      </w:r>
    </w:p>
    <w:p w:rsidR="00FF6B73" w:rsidRDefault="00FF6B73" w:rsidP="00FF6B73">
      <w:pPr>
        <w:pStyle w:val="BodyText"/>
        <w:keepNext/>
        <w:keepLines/>
      </w:pPr>
      <w:r>
        <w:t>Overall:</w:t>
      </w:r>
    </w:p>
    <w:p w:rsidR="00FF6B73" w:rsidRPr="00B67C66" w:rsidRDefault="00FF6B73" w:rsidP="00FF6B73">
      <w:pPr>
        <w:pStyle w:val="ListBullet"/>
      </w:pPr>
      <w:r>
        <w:rPr>
          <w:lang w:val="en-GB" w:eastAsia="en-AU"/>
        </w:rPr>
        <w:t>All three market mechanisms are capable of achieving deep emissions reductions in the sector.</w:t>
      </w:r>
    </w:p>
    <w:p w:rsidR="00FF6B73" w:rsidRPr="00E10097" w:rsidRDefault="00FF6B73" w:rsidP="00FF6B73">
      <w:pPr>
        <w:pStyle w:val="ListBullet"/>
      </w:pPr>
      <w:r>
        <w:t>All three policies have similar cost effectiveness, with their relative performance depending on how carbon revenue from a cap and trade scheme or carbon tax is recycled. Recycling revenue through tax cuts is likely to be more cost-effective than an emissions intensity scheme, while lump sum revenue recycling is likely to be the least cost</w:t>
      </w:r>
      <w:r>
        <w:noBreakHyphen/>
        <w:t xml:space="preserve">effective of the three. </w:t>
      </w:r>
    </w:p>
    <w:p w:rsidR="00FF6B73" w:rsidRPr="00E1286F" w:rsidRDefault="00FF6B73" w:rsidP="00CE30A7">
      <w:pPr>
        <w:pStyle w:val="ListBullet"/>
      </w:pPr>
      <w:r>
        <w:rPr>
          <w:lang w:val="en-GB" w:eastAsia="en-AU"/>
        </w:rPr>
        <w:t>C</w:t>
      </w:r>
      <w:r w:rsidRPr="006D11E1">
        <w:rPr>
          <w:lang w:val="en-GB" w:eastAsia="en-AU"/>
        </w:rPr>
        <w:t xml:space="preserve">ap and trade and emissions intensity schemes have different distributional impacts, particularly for electricity consumers. </w:t>
      </w:r>
      <w:r>
        <w:rPr>
          <w:lang w:val="en-GB" w:eastAsia="en-AU"/>
        </w:rPr>
        <w:t>An emissions intensity scheme will not increase electricity prices as much as a cap and trade scheme, and so would have a smaller short-term impact on equity. By contrast, a cap and trade scheme with auctioning can raise significant amounts of revenue. In this case, the equity effects will depend heavily on how this revenue is recycled.</w:t>
      </w:r>
    </w:p>
    <w:p w:rsidR="00FF6B73" w:rsidRDefault="00FF6B73" w:rsidP="00FF6B73">
      <w:pPr>
        <w:pStyle w:val="ChapterHeading3"/>
        <w:numPr>
          <w:ilvl w:val="2"/>
          <w:numId w:val="15"/>
        </w:numPr>
      </w:pPr>
      <w:bookmarkStart w:id="501" w:name="_Toc457302114"/>
      <w:bookmarkStart w:id="502" w:name="_Toc460318000"/>
      <w:r>
        <w:t>Environmental effectiveness</w:t>
      </w:r>
      <w:bookmarkEnd w:id="501"/>
      <w:bookmarkEnd w:id="502"/>
    </w:p>
    <w:p w:rsidR="00FF6B73" w:rsidRDefault="00FF6B73" w:rsidP="00FF6B73">
      <w:pPr>
        <w:pStyle w:val="BodyText"/>
        <w:rPr>
          <w:lang w:val="en-GB" w:eastAsia="en-AU"/>
        </w:rPr>
      </w:pPr>
      <w:r>
        <w:rPr>
          <w:lang w:val="en-GB" w:eastAsia="en-AU"/>
        </w:rPr>
        <w:t>As illustrated in</w:t>
      </w:r>
      <w:r w:rsidR="00CE30A7">
        <w:rPr>
          <w:lang w:val="en-GB" w:eastAsia="en-AU"/>
        </w:rPr>
        <w:t xml:space="preserve"> </w:t>
      </w:r>
      <w:r w:rsidR="00CA762C">
        <w:t xml:space="preserve">Figure </w:t>
      </w:r>
      <w:r w:rsidR="00CA762C">
        <w:rPr>
          <w:noProof/>
        </w:rPr>
        <w:t>11</w:t>
      </w:r>
      <w:r>
        <w:rPr>
          <w:lang w:val="en-GB" w:eastAsia="en-AU"/>
        </w:rPr>
        <w:t xml:space="preserve">, all three market mechanisms considered are capable of achieving deep emissions reductions in the electricity sector. </w:t>
      </w:r>
    </w:p>
    <w:p w:rsidR="00FF6B73" w:rsidRDefault="00FF6B73" w:rsidP="00FF6B73">
      <w:pPr>
        <w:pStyle w:val="BodyText"/>
        <w:rPr>
          <w:lang w:val="en-GB" w:eastAsia="en-AU"/>
        </w:rPr>
      </w:pPr>
      <w:r>
        <w:rPr>
          <w:lang w:val="en-GB" w:eastAsia="en-AU"/>
        </w:rPr>
        <w:t xml:space="preserve">Another aspect of environmental effectiveness is the ability of a policy to deliver targeted emissions outcomes with confidence. Some stakeholders would suggest that, because of their cap on the quantity of emissions, cap and trade schemes provide greater certainty about the level of emissions reductions than the other two schemes. While this is true in theory, the difference may not be as clear-cut in </w:t>
      </w:r>
      <w:r>
        <w:rPr>
          <w:lang w:val="en-GB" w:eastAsia="en-AU"/>
        </w:rPr>
        <w:lastRenderedPageBreak/>
        <w:t>practice. This is because carbon taxes and emissions intensity schemes could be adjusted over time to achieve the emissions reductions needed to meet a national target.</w:t>
      </w:r>
    </w:p>
    <w:p w:rsidR="003706D4" w:rsidRDefault="00FF6B73" w:rsidP="003706D4">
      <w:pPr>
        <w:pStyle w:val="BodyText"/>
      </w:pPr>
      <w:r>
        <w:t xml:space="preserve">As discussed in in </w:t>
      </w:r>
      <w:r w:rsidR="00CA762C">
        <w:t>Box 5</w:t>
      </w:r>
      <w:r>
        <w:t xml:space="preserve"> in Chapter 3, an </w:t>
      </w:r>
      <w:r w:rsidRPr="0060649F">
        <w:t xml:space="preserve">emissions intensity </w:t>
      </w:r>
      <w:r>
        <w:t xml:space="preserve">scheme </w:t>
      </w:r>
      <w:r w:rsidRPr="0060649F">
        <w:t>would have less impact on prices</w:t>
      </w:r>
      <w:r>
        <w:t xml:space="preserve"> than a cap and trade scheme, resulting in, among other things, </w:t>
      </w:r>
      <w:r w:rsidRPr="0060649F">
        <w:t>fewer demand-side emissions reductions.</w:t>
      </w:r>
      <w:r>
        <w:t xml:space="preserve"> That said, the Authority’s modelling indicates that the share of demand-side abatement in the electricity sector was relatively small in </w:t>
      </w:r>
      <w:proofErr w:type="gramStart"/>
      <w:r>
        <w:t>either case (</w:t>
      </w:r>
      <w:r w:rsidR="00CA762C">
        <w:t>Box 6</w:t>
      </w:r>
      <w:r>
        <w:t>), and</w:t>
      </w:r>
      <w:proofErr w:type="gramEnd"/>
      <w:r>
        <w:t xml:space="preserve"> demand-side policies can be added to any of the </w:t>
      </w:r>
      <w:r w:rsidR="00CE30A7">
        <w:t>market mechanisms</w:t>
      </w:r>
      <w:r>
        <w:t xml:space="preserve"> explored here.</w:t>
      </w:r>
    </w:p>
    <w:tbl>
      <w:tblPr>
        <w:tblStyle w:val="CCATablebox"/>
        <w:tblW w:w="0" w:type="auto"/>
        <w:tblLook w:val="04A0" w:firstRow="1" w:lastRow="0" w:firstColumn="1" w:lastColumn="0" w:noHBand="0" w:noVBand="1"/>
      </w:tblPr>
      <w:tblGrid>
        <w:gridCol w:w="9846"/>
      </w:tblGrid>
      <w:tr w:rsidR="00FF6B73" w:rsidRPr="006F38D5" w:rsidTr="00F06301">
        <w:trPr>
          <w:cnfStyle w:val="100000000000" w:firstRow="1" w:lastRow="0" w:firstColumn="0" w:lastColumn="0" w:oddVBand="0" w:evenVBand="0" w:oddHBand="0" w:evenHBand="0" w:firstRowFirstColumn="0" w:firstRowLastColumn="0" w:lastRowFirstColumn="0" w:lastRowLastColumn="0"/>
          <w:trHeight w:val="281"/>
        </w:trPr>
        <w:tc>
          <w:tcPr>
            <w:tcW w:w="9633" w:type="dxa"/>
          </w:tcPr>
          <w:p w:rsidR="00FF6B73" w:rsidRPr="00DD7FFD" w:rsidRDefault="00FF6B73" w:rsidP="00A20039">
            <w:pPr>
              <w:pStyle w:val="Headingnumberedbox"/>
              <w:keepNext w:val="0"/>
              <w:keepLines w:val="0"/>
              <w:ind w:left="907" w:hanging="907"/>
            </w:pPr>
            <w:bookmarkStart w:id="503" w:name="_Toc457302165"/>
            <w:bookmarkStart w:id="504" w:name="_Ref457839829"/>
            <w:bookmarkStart w:id="505" w:name="_Ref457839894"/>
            <w:bookmarkStart w:id="506" w:name="_Ref457840260"/>
            <w:bookmarkStart w:id="507" w:name="_Ref457840265"/>
            <w:bookmarkStart w:id="508" w:name="_Toc460318087"/>
            <w:r w:rsidRPr="00DD7FFD">
              <w:t xml:space="preserve">Supply- </w:t>
            </w:r>
            <w:r w:rsidRPr="00701AF8">
              <w:t xml:space="preserve">and </w:t>
            </w:r>
            <w:r w:rsidRPr="00DD7FFD">
              <w:t xml:space="preserve">demand-side emissions </w:t>
            </w:r>
            <w:r>
              <w:t>reductions</w:t>
            </w:r>
            <w:r w:rsidRPr="00DD7FFD">
              <w:t xml:space="preserve"> </w:t>
            </w:r>
            <w:r>
              <w:t>from</w:t>
            </w:r>
            <w:r w:rsidRPr="00DD7FFD">
              <w:t xml:space="preserve"> supply-side policies</w:t>
            </w:r>
            <w:bookmarkEnd w:id="503"/>
            <w:bookmarkEnd w:id="504"/>
            <w:bookmarkEnd w:id="505"/>
            <w:bookmarkEnd w:id="506"/>
            <w:bookmarkEnd w:id="507"/>
            <w:bookmarkEnd w:id="508"/>
          </w:p>
          <w:p w:rsidR="00FF6B73" w:rsidRPr="006F38D5" w:rsidRDefault="00FF6B73" w:rsidP="00A20039">
            <w:pPr>
              <w:pStyle w:val="TableText"/>
              <w:keepNext w:val="0"/>
              <w:keepLines w:val="0"/>
            </w:pPr>
            <w:r w:rsidRPr="006F38D5">
              <w:t>Emissions reductions from electricity sector policies can be separated into demand</w:t>
            </w:r>
            <w:r w:rsidRPr="006F38D5">
              <w:noBreakHyphen/>
              <w:t>side and supply</w:t>
            </w:r>
            <w:r w:rsidRPr="006F38D5">
              <w:noBreakHyphen/>
              <w:t xml:space="preserve">side reductions. In the Authority’s modelling of policy scenarios consistent with limiting warming to below 2 degrees, the vast majority of the cumulative emissions reductions to 2050 are attributable to reducing the emissions intensity of electricity supply. </w:t>
            </w:r>
          </w:p>
          <w:p w:rsidR="00FF6B73" w:rsidRPr="006F38D5" w:rsidRDefault="00FF6B73" w:rsidP="00A20039">
            <w:pPr>
              <w:pStyle w:val="TableText"/>
              <w:keepNext w:val="0"/>
              <w:keepLines w:val="0"/>
            </w:pPr>
            <w:r w:rsidRPr="006F38D5">
              <w:t>Given the supply-side focus of the Authority’s analysis, no policies explicitly targeting demand</w:t>
            </w:r>
            <w:r w:rsidRPr="006F38D5">
              <w:noBreakHyphen/>
              <w:t>side emissions reductions were modelled, so the only demand</w:t>
            </w:r>
            <w:r w:rsidRPr="006F38D5">
              <w:noBreakHyphen/>
              <w:t xml:space="preserve">side emissions reductions in the scenarios come from consumers reducing electricity demand in response to rising electricity prices. </w:t>
            </w:r>
            <w:r w:rsidR="00CA762C" w:rsidRPr="00CA762C">
              <w:rPr>
                <w:szCs w:val="18"/>
              </w:rPr>
              <w:t xml:space="preserve">Figure </w:t>
            </w:r>
            <w:r w:rsidR="00CA762C" w:rsidRPr="00CA762C">
              <w:rPr>
                <w:noProof/>
                <w:szCs w:val="18"/>
              </w:rPr>
              <w:t>18</w:t>
            </w:r>
            <w:r w:rsidRPr="006F38D5">
              <w:t xml:space="preserve"> shows the breakdown in cumulative emissions </w:t>
            </w:r>
            <w:r>
              <w:t>reductions</w:t>
            </w:r>
            <w:r w:rsidRPr="006F38D5">
              <w:t xml:space="preserve"> in each policy scenario. Across all the scenarios, up to 10 per cent of total projected emissions reductions to 2050 are from the demand side. Policies with larger increases in retail electricity prices, such as cap and trade</w:t>
            </w:r>
            <w:r w:rsidR="0068733B">
              <w:t xml:space="preserve"> schemes</w:t>
            </w:r>
            <w:r w:rsidRPr="006F38D5">
              <w:t xml:space="preserve"> and absolute baselines, have higher shares of demand-side reductions.</w:t>
            </w:r>
          </w:p>
          <w:p w:rsidR="00FF6B73" w:rsidRPr="006F38D5" w:rsidRDefault="00FF6B73" w:rsidP="00A20039">
            <w:pPr>
              <w:pStyle w:val="TableText"/>
              <w:keepNext w:val="0"/>
              <w:keepLines w:val="0"/>
            </w:pPr>
            <w:r w:rsidRPr="006F38D5">
              <w:t>In the earlier years of the policy, a larger share of emissions reductions would be expected from the demand side, in part because the elect</w:t>
            </w:r>
            <w:r>
              <w:t>ricity supply is more emissions</w:t>
            </w:r>
            <w:r>
              <w:noBreakHyphen/>
            </w:r>
            <w:r w:rsidRPr="006F38D5">
              <w:t>intensive. For example, demand-side emissions reductions are up to 20 per cent of projected reductions under the policy scenarios over the period to 2030.</w:t>
            </w:r>
          </w:p>
          <w:p w:rsidR="00FF6B73" w:rsidRPr="006F38D5" w:rsidRDefault="00FF6B73" w:rsidP="00A20039">
            <w:pPr>
              <w:pStyle w:val="TableText"/>
              <w:keepNext w:val="0"/>
              <w:keepLines w:val="0"/>
            </w:pPr>
            <w:r w:rsidRPr="006F38D5">
              <w:t xml:space="preserve">The Authority’s analysis indicates that the low demand-side emissions reductions shares in this modelling are broadly consistent with other recent investigations of </w:t>
            </w:r>
            <w:r>
              <w:t>2</w:t>
            </w:r>
            <w:r w:rsidRPr="006F38D5">
              <w:t xml:space="preserve">-degree consistent emissions reductions from Australia’s electricity supply sector when these are achieved through policies with a predominantly supply-side focus. Examples include modelling for the Authority’s Targets and Progress Review </w:t>
            </w:r>
            <w:bookmarkStart w:id="509" w:name="_CTVP001ccd21696817e4061892ad31d0a9b6dd0"/>
            <w:r w:rsidR="0059109A">
              <w:t>(ACIL Allen Consulting 2013)</w:t>
            </w:r>
            <w:bookmarkEnd w:id="509"/>
            <w:r w:rsidRPr="006F38D5">
              <w:t xml:space="preserve"> and the Commonwealth Treasury </w:t>
            </w:r>
            <w:bookmarkStart w:id="510" w:name="_CTVP001618a8cecc7c44c61b63795d32be47ea2"/>
            <w:r w:rsidR="0059109A">
              <w:t>(Treasury 2011)</w:t>
            </w:r>
            <w:bookmarkEnd w:id="510"/>
            <w:r>
              <w:t>.</w:t>
            </w:r>
          </w:p>
          <w:p w:rsidR="00FF6B73" w:rsidRPr="006F38D5" w:rsidRDefault="00FF6B73" w:rsidP="00A20039">
            <w:pPr>
              <w:pStyle w:val="TableText"/>
              <w:keepNext w:val="0"/>
              <w:keepLines w:val="0"/>
            </w:pPr>
            <w:r w:rsidRPr="006F38D5">
              <w:t xml:space="preserve">Demand-side policies can readily be added to any of the supply-side policies explored here, and </w:t>
            </w:r>
            <w:r w:rsidR="00CE30A7">
              <w:t>are</w:t>
            </w:r>
            <w:r w:rsidRPr="006F38D5">
              <w:t xml:space="preserve"> considered in Report Three of the Special Review.</w:t>
            </w:r>
          </w:p>
          <w:p w:rsidR="00FF6B73" w:rsidRPr="006F38D5" w:rsidRDefault="00FF6B73" w:rsidP="00A20039">
            <w:pPr>
              <w:pStyle w:val="Caption"/>
              <w:keepNext w:val="0"/>
              <w:keepLines w:val="0"/>
              <w:rPr>
                <w:sz w:val="21"/>
                <w:szCs w:val="21"/>
              </w:rPr>
            </w:pPr>
            <w:bookmarkStart w:id="511" w:name="_Ref457840287"/>
            <w:bookmarkStart w:id="512" w:name="_Toc449696829"/>
            <w:bookmarkStart w:id="513" w:name="_Ref457840283"/>
            <w:bookmarkStart w:id="514" w:name="_Toc460318049"/>
            <w:r w:rsidRPr="006F38D5">
              <w:rPr>
                <w:sz w:val="21"/>
                <w:szCs w:val="21"/>
              </w:rPr>
              <w:t xml:space="preserve">Figure </w:t>
            </w:r>
            <w:r w:rsidR="00CA762C">
              <w:rPr>
                <w:noProof/>
                <w:sz w:val="21"/>
                <w:szCs w:val="21"/>
              </w:rPr>
              <w:t>18</w:t>
            </w:r>
            <w:bookmarkEnd w:id="511"/>
            <w:r w:rsidR="00A6425D">
              <w:rPr>
                <w:sz w:val="21"/>
                <w:szCs w:val="21"/>
              </w:rPr>
              <w:tab/>
            </w:r>
            <w:r w:rsidRPr="006F38D5">
              <w:rPr>
                <w:sz w:val="21"/>
                <w:szCs w:val="21"/>
              </w:rPr>
              <w:t>Total supply-side and demand-side emissions reductions by policy, 2 degrees, 2020–2050</w:t>
            </w:r>
            <w:bookmarkEnd w:id="512"/>
            <w:bookmarkEnd w:id="513"/>
            <w:bookmarkEnd w:id="514"/>
          </w:p>
          <w:p w:rsidR="00FF6B73" w:rsidRPr="00DD7FFD" w:rsidRDefault="00FF6B73" w:rsidP="00A20039">
            <w:pPr>
              <w:keepNext w:val="0"/>
              <w:keepLines w:val="0"/>
              <w:spacing w:after="200" w:line="276" w:lineRule="auto"/>
            </w:pPr>
            <w:r>
              <w:rPr>
                <w:noProof/>
                <w:lang w:eastAsia="en-AU"/>
              </w:rPr>
              <w:drawing>
                <wp:inline distT="0" distB="0" distL="0" distR="0" wp14:anchorId="0A3B1BDE" wp14:editId="18A8D0CB">
                  <wp:extent cx="6115050" cy="3267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FF6B73" w:rsidRPr="006F38D5" w:rsidRDefault="00FF6B73" w:rsidP="00A20039">
            <w:pPr>
              <w:pStyle w:val="TableNote"/>
              <w:keepNext w:val="0"/>
              <w:keepLines w:val="0"/>
            </w:pPr>
            <w:r w:rsidRPr="006F38D5">
              <w:rPr>
                <w:b/>
              </w:rPr>
              <w:t>Note:</w:t>
            </w:r>
            <w:r w:rsidRPr="006F38D5">
              <w:t xml:space="preserve"> Emissions from the NEM and WEM. Chart includes both direct and indirect emissions, including transport and fugitive emissions from supply. The regulated closure</w:t>
            </w:r>
            <w:r w:rsidR="00A82A29">
              <w:t>s</w:t>
            </w:r>
            <w:r w:rsidRPr="006F38D5">
              <w:t xml:space="preserve"> policy breaches the common cumulative emissions budget by about 200 Mt</w:t>
            </w:r>
            <w:r w:rsidR="00F52919">
              <w:t xml:space="preserve"> </w:t>
            </w:r>
            <w:r w:rsidRPr="006F38D5">
              <w:t>CO</w:t>
            </w:r>
            <w:r w:rsidRPr="006F38D5">
              <w:rPr>
                <w:vertAlign w:val="subscript"/>
              </w:rPr>
              <w:t>2</w:t>
            </w:r>
            <w:r w:rsidRPr="006F38D5">
              <w:t xml:space="preserve">-e or 15 per cent. </w:t>
            </w:r>
            <w:r>
              <w:br/>
            </w:r>
            <w:r w:rsidRPr="006F38D5">
              <w:rPr>
                <w:b/>
              </w:rPr>
              <w:t>Source:</w:t>
            </w:r>
            <w:r w:rsidRPr="006F38D5">
              <w:t xml:space="preserve"> Climate Change Authority based on </w:t>
            </w:r>
            <w:bookmarkStart w:id="515" w:name="_CTVP001e9d582a99d4c4ad7af9e494047e2dda4"/>
            <w:proofErr w:type="gramStart"/>
            <w:r w:rsidR="0059109A">
              <w:t>Jacobs 2016</w:t>
            </w:r>
            <w:proofErr w:type="gramEnd"/>
            <w:r w:rsidR="0059109A">
              <w:t>c</w:t>
            </w:r>
            <w:bookmarkEnd w:id="515"/>
            <w:r w:rsidRPr="006F38D5">
              <w:t>.</w:t>
            </w:r>
          </w:p>
        </w:tc>
      </w:tr>
    </w:tbl>
    <w:p w:rsidR="00A20039" w:rsidRDefault="00A20039" w:rsidP="00A20039">
      <w:pPr>
        <w:pStyle w:val="ChapterHeading3"/>
        <w:numPr>
          <w:ilvl w:val="2"/>
          <w:numId w:val="15"/>
        </w:numPr>
      </w:pPr>
      <w:bookmarkStart w:id="516" w:name="_Toc457302115"/>
      <w:bookmarkStart w:id="517" w:name="_Ref457840533"/>
      <w:bookmarkStart w:id="518" w:name="_Toc460318001"/>
      <w:r>
        <w:lastRenderedPageBreak/>
        <w:t>Cost effectiveness</w:t>
      </w:r>
      <w:bookmarkEnd w:id="516"/>
      <w:bookmarkEnd w:id="517"/>
      <w:bookmarkEnd w:id="518"/>
    </w:p>
    <w:p w:rsidR="00A20039" w:rsidRDefault="00A20039" w:rsidP="00A20039">
      <w:proofErr w:type="gramStart"/>
      <w:r>
        <w:t>The Authority’s electricity sector modelling shows that, considering costs in the electricity sector only, market mechanisms are the most cost-effective policy options.</w:t>
      </w:r>
      <w:proofErr w:type="gramEnd"/>
      <w:r>
        <w:t xml:space="preserve"> </w:t>
      </w:r>
    </w:p>
    <w:p w:rsidR="00A20039" w:rsidRDefault="00A20039" w:rsidP="00A20039">
      <w:pPr>
        <w:pStyle w:val="BodyText"/>
      </w:pPr>
      <w:r>
        <w:t xml:space="preserve">However, as discussed in Section </w:t>
      </w:r>
      <w:r w:rsidR="00CA762C">
        <w:t>3.3</w:t>
      </w:r>
      <w:r>
        <w:t>, there are several indirect effects that could have an important effect on the cost effectiveness of market mechanisms. These effects are the indirect cost of tax interaction effects and the indirect benefit of recycling carbon revenue. Importantly, these effects will vary between different market mechanisms and so could affect their relative cost effectiveness, including both direct and indirect costs.</w:t>
      </w:r>
    </w:p>
    <w:p w:rsidR="00A20039" w:rsidRDefault="00A20039" w:rsidP="00A20039">
      <w:pPr>
        <w:pStyle w:val="BodyText"/>
      </w:pPr>
      <w:r>
        <w:t>Recognising the importance of these indirect effects for overall cost effectiveness, the CGE modelling commissioned by the Authority compares the economy-wide costs of different market mechanisms. It examines three scenarios (</w:t>
      </w:r>
      <w:r w:rsidR="00CA762C">
        <w:t xml:space="preserve">Table </w:t>
      </w:r>
      <w:r w:rsidR="00CA762C">
        <w:rPr>
          <w:noProof/>
        </w:rPr>
        <w:t>4</w:t>
      </w:r>
      <w:r>
        <w:t>, Chapter 3):</w:t>
      </w:r>
    </w:p>
    <w:p w:rsidR="00A20039" w:rsidRDefault="00A20039" w:rsidP="00A20039">
      <w:pPr>
        <w:pStyle w:val="ListBullet"/>
        <w:rPr>
          <w:lang w:val="en-GB"/>
        </w:rPr>
      </w:pPr>
      <w:r>
        <w:rPr>
          <w:lang w:val="en-GB"/>
        </w:rPr>
        <w:t>a cap and trade scheme with lump sum revenue recycling (‘cap and trade (lump sum)’)</w:t>
      </w:r>
    </w:p>
    <w:p w:rsidR="00A20039" w:rsidRDefault="00A20039" w:rsidP="00A20039">
      <w:pPr>
        <w:pStyle w:val="ListBullet"/>
        <w:rPr>
          <w:lang w:val="en-GB"/>
        </w:rPr>
      </w:pPr>
      <w:r>
        <w:rPr>
          <w:lang w:val="en-GB"/>
        </w:rPr>
        <w:t>a cap and trade scheme with revenue recycling through tax cuts (‘cap and trade (tax cuts)’) and</w:t>
      </w:r>
    </w:p>
    <w:p w:rsidR="00A20039" w:rsidRDefault="00A20039" w:rsidP="00A20039">
      <w:pPr>
        <w:pStyle w:val="ListBullet"/>
        <w:rPr>
          <w:lang w:val="en-GB"/>
        </w:rPr>
      </w:pPr>
      <w:proofErr w:type="gramStart"/>
      <w:r>
        <w:rPr>
          <w:lang w:val="en-GB"/>
        </w:rPr>
        <w:t>an</w:t>
      </w:r>
      <w:proofErr w:type="gramEnd"/>
      <w:r>
        <w:rPr>
          <w:lang w:val="en-GB"/>
        </w:rPr>
        <w:t xml:space="preserve"> emissions intensity scheme.</w:t>
      </w:r>
    </w:p>
    <w:p w:rsidR="00A20039" w:rsidRDefault="00A20039" w:rsidP="00A20039">
      <w:pPr>
        <w:pStyle w:val="BodyText"/>
      </w:pPr>
      <w:r>
        <w:t>These comparisons take into account direct costs, indirect costs from the tax interaction effect, and indirect benefits from revenue recycling, providing an overall assessment of the cost effectiveness of different policies.</w:t>
      </w:r>
    </w:p>
    <w:p w:rsidR="00FF6B73" w:rsidRDefault="00CA762C" w:rsidP="00FF6B73">
      <w:pPr>
        <w:pStyle w:val="BodyText"/>
      </w:pPr>
      <w:r>
        <w:t xml:space="preserve">Table </w:t>
      </w:r>
      <w:r>
        <w:rPr>
          <w:noProof/>
        </w:rPr>
        <w:t>6</w:t>
      </w:r>
      <w:r w:rsidR="00CE30A7">
        <w:t xml:space="preserve"> </w:t>
      </w:r>
      <w:r w:rsidR="00FF6B73">
        <w:t xml:space="preserve">summarises the overall cost effectiveness of the three policy options modelled. As explained in Section </w:t>
      </w:r>
      <w:r>
        <w:t>3.2</w:t>
      </w:r>
      <w:r w:rsidR="00FF6B73">
        <w:t>, the Authority has primarily used GNI to assess economy-wide cost effectiveness, as it is a better (albeit imperfect) measure of Australia’s economic welfare than GDP. These results show that:</w:t>
      </w:r>
    </w:p>
    <w:p w:rsidR="00FF6B73" w:rsidRDefault="00FF6B73" w:rsidP="00FF6B73">
      <w:pPr>
        <w:pStyle w:val="ListBullet"/>
      </w:pPr>
      <w:r>
        <w:t>The relative performance of cap and trade compared to an emissions intensity scheme depends on how revenue from the cap and trade scheme is recycled. A cap and trade scheme with all revenue recycled through tax cuts is likely to be more cost-effective than an emissions intensity scheme, while a cap and trade scheme with lump sum revenue recycling is likely to be the least cost</w:t>
      </w:r>
      <w:r>
        <w:noBreakHyphen/>
        <w:t xml:space="preserve">effective of the three. </w:t>
      </w:r>
    </w:p>
    <w:p w:rsidR="00FF6B73" w:rsidRDefault="00FF6B73" w:rsidP="00FF6B73">
      <w:pPr>
        <w:pStyle w:val="ListBullet"/>
      </w:pPr>
      <w:r>
        <w:t xml:space="preserve">An emissions intensity scheme reduces tax interaction effects relative to a cap and trade scheme. Compared to the cap and trade (lump sum) scenario, an emissions intensity scheme can increase GNI by around 0.15 per cent by muting the impact on electricity prices relative to a cap and trade scheme, which in turn stimulates investment and activity in a range of electricity-using sectors. </w:t>
      </w:r>
    </w:p>
    <w:p w:rsidR="00FF6B73" w:rsidRDefault="00FF6B73" w:rsidP="00FF6B73">
      <w:pPr>
        <w:pStyle w:val="ListBullet"/>
      </w:pPr>
      <w:r>
        <w:t xml:space="preserve">Recycling revenue through tax cuts delivers benefits, as illustrated by comparing the two cap and trade scenarios. Recycling revenue through tax cuts can increase GNI by around 0.33 per cent relative to recycling through lump sum payments. This occurs because tax cuts can increase economic output by increasing investment and employment, whereas lump sum payments do not. </w:t>
      </w:r>
    </w:p>
    <w:p w:rsidR="00FF6B73" w:rsidRDefault="00FF6B73" w:rsidP="00FF6B73">
      <w:pPr>
        <w:pStyle w:val="ListBullet"/>
      </w:pPr>
      <w:r>
        <w:t xml:space="preserve">While large in absolute terms, the differences between the scenarios are small in the context of the overall economy. </w:t>
      </w:r>
    </w:p>
    <w:p w:rsidR="00FF6B73" w:rsidRDefault="00FF6B73" w:rsidP="00FF6B73">
      <w:pPr>
        <w:pStyle w:val="Caption"/>
      </w:pPr>
      <w:bookmarkStart w:id="519" w:name="_Ref457840321"/>
      <w:bookmarkStart w:id="520" w:name="_Toc457302152"/>
      <w:bookmarkStart w:id="521" w:name="_Toc460318074"/>
      <w:r>
        <w:lastRenderedPageBreak/>
        <w:t xml:space="preserve">Table </w:t>
      </w:r>
      <w:r w:rsidR="00CA762C">
        <w:rPr>
          <w:noProof/>
        </w:rPr>
        <w:t>6</w:t>
      </w:r>
      <w:bookmarkEnd w:id="519"/>
      <w:r w:rsidR="00A6425D">
        <w:tab/>
      </w:r>
      <w:r>
        <w:t>Projections of gross national income, economy-wide modelling, relative to cap and trade (lump sum),</w:t>
      </w:r>
      <w:r w:rsidRPr="00C1142F">
        <w:t xml:space="preserve"> </w:t>
      </w:r>
      <w:r>
        <w:t>2020–2050</w:t>
      </w:r>
      <w:bookmarkEnd w:id="520"/>
      <w:bookmarkEnd w:id="521"/>
      <w:r>
        <w:t xml:space="preserve"> </w:t>
      </w:r>
    </w:p>
    <w:tbl>
      <w:tblPr>
        <w:tblStyle w:val="CCATable"/>
        <w:tblW w:w="0" w:type="auto"/>
        <w:tblLook w:val="04A0" w:firstRow="1" w:lastRow="0" w:firstColumn="1" w:lastColumn="0" w:noHBand="0" w:noVBand="1"/>
      </w:tblPr>
      <w:tblGrid>
        <w:gridCol w:w="2943"/>
        <w:gridCol w:w="709"/>
        <w:gridCol w:w="1418"/>
        <w:gridCol w:w="1417"/>
        <w:gridCol w:w="1701"/>
        <w:gridCol w:w="1667"/>
      </w:tblGrid>
      <w:tr w:rsidR="00FF6B73" w:rsidTr="00F06301">
        <w:trPr>
          <w:cnfStyle w:val="100000000000" w:firstRow="1" w:lastRow="0" w:firstColumn="0" w:lastColumn="0" w:oddVBand="0" w:evenVBand="0" w:oddHBand="0" w:evenHBand="0" w:firstRowFirstColumn="0" w:firstRowLastColumn="0" w:lastRowFirstColumn="0" w:lastRowLastColumn="0"/>
        </w:trPr>
        <w:tc>
          <w:tcPr>
            <w:tcW w:w="2943" w:type="dxa"/>
            <w:vAlign w:val="center"/>
          </w:tcPr>
          <w:p w:rsidR="00FF6B73" w:rsidRPr="00E53128" w:rsidRDefault="00FF6B73" w:rsidP="00F06301">
            <w:pPr>
              <w:pStyle w:val="BodyText"/>
              <w:spacing w:after="80" w:line="240" w:lineRule="auto"/>
              <w:rPr>
                <w:b/>
                <w:color w:val="FFFFFF" w:themeColor="background1"/>
                <w:sz w:val="18"/>
                <w:szCs w:val="18"/>
              </w:rPr>
            </w:pPr>
            <w:r w:rsidRPr="00E53128">
              <w:rPr>
                <w:b/>
                <w:color w:val="FFFFFF" w:themeColor="background1"/>
                <w:sz w:val="18"/>
                <w:szCs w:val="18"/>
              </w:rPr>
              <w:t>Scenario</w:t>
            </w:r>
          </w:p>
        </w:tc>
        <w:tc>
          <w:tcPr>
            <w:tcW w:w="709" w:type="dxa"/>
            <w:vAlign w:val="center"/>
          </w:tcPr>
          <w:p w:rsidR="00FF6B73" w:rsidRPr="00E53128" w:rsidRDefault="00FF6B73" w:rsidP="00F06301">
            <w:pPr>
              <w:pStyle w:val="BodyText"/>
              <w:spacing w:after="80" w:line="240" w:lineRule="auto"/>
              <w:rPr>
                <w:b/>
                <w:color w:val="FFFFFF" w:themeColor="background1"/>
                <w:sz w:val="18"/>
                <w:szCs w:val="18"/>
              </w:rPr>
            </w:pPr>
            <w:r w:rsidRPr="00E53128">
              <w:rPr>
                <w:b/>
                <w:color w:val="FFFFFF" w:themeColor="background1"/>
                <w:sz w:val="18"/>
                <w:szCs w:val="18"/>
              </w:rPr>
              <w:t>Unit</w:t>
            </w:r>
          </w:p>
        </w:tc>
        <w:tc>
          <w:tcPr>
            <w:tcW w:w="1418" w:type="dxa"/>
            <w:vAlign w:val="center"/>
          </w:tcPr>
          <w:p w:rsidR="00FF6B73" w:rsidRPr="00E53128" w:rsidRDefault="00FF6B73" w:rsidP="00F06301">
            <w:pPr>
              <w:pStyle w:val="BodyText"/>
              <w:spacing w:after="80" w:line="240" w:lineRule="auto"/>
              <w:jc w:val="center"/>
              <w:rPr>
                <w:b/>
                <w:color w:val="FFFFFF" w:themeColor="background1"/>
                <w:sz w:val="18"/>
                <w:szCs w:val="18"/>
              </w:rPr>
            </w:pPr>
            <w:r w:rsidRPr="00E53128">
              <w:rPr>
                <w:b/>
                <w:color w:val="FFFFFF" w:themeColor="background1"/>
                <w:sz w:val="18"/>
                <w:szCs w:val="18"/>
              </w:rPr>
              <w:t>GNI in 2030</w:t>
            </w:r>
          </w:p>
        </w:tc>
        <w:tc>
          <w:tcPr>
            <w:tcW w:w="1417" w:type="dxa"/>
            <w:vAlign w:val="center"/>
          </w:tcPr>
          <w:p w:rsidR="00FF6B73" w:rsidRPr="00E53128" w:rsidRDefault="00FF6B73" w:rsidP="00F06301">
            <w:pPr>
              <w:pStyle w:val="BodyText"/>
              <w:spacing w:after="80" w:line="240" w:lineRule="auto"/>
              <w:jc w:val="center"/>
              <w:rPr>
                <w:b/>
                <w:color w:val="FFFFFF" w:themeColor="background1"/>
                <w:sz w:val="18"/>
                <w:szCs w:val="18"/>
              </w:rPr>
            </w:pPr>
            <w:r w:rsidRPr="00E53128">
              <w:rPr>
                <w:b/>
                <w:color w:val="FFFFFF" w:themeColor="background1"/>
                <w:sz w:val="18"/>
                <w:szCs w:val="18"/>
              </w:rPr>
              <w:t>GNI in 2050</w:t>
            </w:r>
          </w:p>
        </w:tc>
        <w:tc>
          <w:tcPr>
            <w:tcW w:w="1701" w:type="dxa"/>
            <w:vAlign w:val="center"/>
          </w:tcPr>
          <w:p w:rsidR="00FF6B73" w:rsidRPr="00E53128" w:rsidRDefault="00FF6B73" w:rsidP="00F06301">
            <w:pPr>
              <w:pStyle w:val="BodyText"/>
              <w:spacing w:after="80" w:line="240" w:lineRule="auto"/>
              <w:jc w:val="center"/>
              <w:rPr>
                <w:b/>
                <w:color w:val="FFFFFF" w:themeColor="background1"/>
                <w:sz w:val="18"/>
                <w:szCs w:val="18"/>
              </w:rPr>
            </w:pPr>
            <w:r w:rsidRPr="00E53128">
              <w:rPr>
                <w:b/>
                <w:color w:val="FFFFFF" w:themeColor="background1"/>
                <w:sz w:val="18"/>
                <w:szCs w:val="18"/>
              </w:rPr>
              <w:t>Cumulative discount</w:t>
            </w:r>
            <w:r>
              <w:rPr>
                <w:b/>
                <w:color w:val="FFFFFF" w:themeColor="background1"/>
                <w:sz w:val="18"/>
                <w:szCs w:val="18"/>
              </w:rPr>
              <w:t>ed GNI, 2020–</w:t>
            </w:r>
            <w:r w:rsidRPr="00E53128">
              <w:rPr>
                <w:b/>
                <w:color w:val="FFFFFF" w:themeColor="background1"/>
                <w:sz w:val="18"/>
                <w:szCs w:val="18"/>
              </w:rPr>
              <w:t>2030</w:t>
            </w:r>
          </w:p>
        </w:tc>
        <w:tc>
          <w:tcPr>
            <w:tcW w:w="1667" w:type="dxa"/>
            <w:vAlign w:val="center"/>
          </w:tcPr>
          <w:p w:rsidR="00FF6B73" w:rsidRPr="00E53128" w:rsidRDefault="00FF6B73" w:rsidP="00F06301">
            <w:pPr>
              <w:pStyle w:val="BodyText"/>
              <w:spacing w:after="80" w:line="240" w:lineRule="auto"/>
              <w:jc w:val="center"/>
              <w:rPr>
                <w:b/>
                <w:color w:val="FFFFFF" w:themeColor="background1"/>
                <w:sz w:val="18"/>
                <w:szCs w:val="18"/>
              </w:rPr>
            </w:pPr>
            <w:r>
              <w:rPr>
                <w:b/>
                <w:color w:val="FFFFFF" w:themeColor="background1"/>
                <w:sz w:val="18"/>
                <w:szCs w:val="18"/>
              </w:rPr>
              <w:t>Cumulative discounted GNI, 2020–</w:t>
            </w:r>
            <w:r w:rsidRPr="00E53128">
              <w:rPr>
                <w:b/>
                <w:color w:val="FFFFFF" w:themeColor="background1"/>
                <w:sz w:val="18"/>
                <w:szCs w:val="18"/>
              </w:rPr>
              <w:t>2050</w:t>
            </w:r>
          </w:p>
        </w:tc>
      </w:tr>
      <w:tr w:rsidR="00FF6B73" w:rsidTr="00F06301">
        <w:trPr>
          <w:cnfStyle w:val="000000100000" w:firstRow="0" w:lastRow="0" w:firstColumn="0" w:lastColumn="0" w:oddVBand="0" w:evenVBand="0" w:oddHBand="1" w:evenHBand="0" w:firstRowFirstColumn="0" w:firstRowLastColumn="0" w:lastRowFirstColumn="0" w:lastRowLastColumn="0"/>
        </w:trPr>
        <w:tc>
          <w:tcPr>
            <w:tcW w:w="2943" w:type="dxa"/>
          </w:tcPr>
          <w:p w:rsidR="00FF6B73" w:rsidRPr="00E53128" w:rsidRDefault="00FF6B73" w:rsidP="00F06301">
            <w:pPr>
              <w:pStyle w:val="BodyText"/>
              <w:spacing w:after="80" w:line="240" w:lineRule="auto"/>
              <w:rPr>
                <w:sz w:val="18"/>
                <w:szCs w:val="18"/>
              </w:rPr>
            </w:pPr>
            <w:r>
              <w:rPr>
                <w:sz w:val="18"/>
                <w:szCs w:val="18"/>
              </w:rPr>
              <w:t>Emissions intensity scheme, absolute change</w:t>
            </w:r>
          </w:p>
        </w:tc>
        <w:tc>
          <w:tcPr>
            <w:tcW w:w="709" w:type="dxa"/>
            <w:vAlign w:val="center"/>
          </w:tcPr>
          <w:p w:rsidR="00FF6B73" w:rsidRPr="00E53128" w:rsidRDefault="00FF6B73" w:rsidP="00F06301">
            <w:pPr>
              <w:pStyle w:val="BodyText"/>
              <w:spacing w:after="80" w:line="240" w:lineRule="auto"/>
              <w:rPr>
                <w:sz w:val="18"/>
                <w:szCs w:val="18"/>
              </w:rPr>
            </w:pPr>
            <w:r w:rsidRPr="00E53128">
              <w:rPr>
                <w:sz w:val="18"/>
                <w:szCs w:val="18"/>
              </w:rPr>
              <w:t>$</w:t>
            </w:r>
            <w:proofErr w:type="spellStart"/>
            <w:r w:rsidRPr="00E53128">
              <w:rPr>
                <w:sz w:val="18"/>
                <w:szCs w:val="18"/>
              </w:rPr>
              <w:t>bn</w:t>
            </w:r>
            <w:proofErr w:type="spellEnd"/>
          </w:p>
        </w:tc>
        <w:tc>
          <w:tcPr>
            <w:tcW w:w="1418"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$3</w:t>
            </w:r>
          </w:p>
        </w:tc>
        <w:tc>
          <w:tcPr>
            <w:tcW w:w="141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$7</w:t>
            </w:r>
          </w:p>
        </w:tc>
        <w:tc>
          <w:tcPr>
            <w:tcW w:w="1701"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$20</w:t>
            </w:r>
          </w:p>
        </w:tc>
        <w:tc>
          <w:tcPr>
            <w:tcW w:w="166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$45</w:t>
            </w:r>
          </w:p>
        </w:tc>
      </w:tr>
      <w:tr w:rsidR="00FF6B73" w:rsidTr="00F06301">
        <w:tc>
          <w:tcPr>
            <w:tcW w:w="2943" w:type="dxa"/>
          </w:tcPr>
          <w:p w:rsidR="00FF6B73" w:rsidRPr="00E53128" w:rsidRDefault="00FF6B73" w:rsidP="00F06301">
            <w:pPr>
              <w:pStyle w:val="BodyText"/>
              <w:spacing w:after="80" w:line="240" w:lineRule="auto"/>
              <w:rPr>
                <w:sz w:val="18"/>
                <w:szCs w:val="18"/>
              </w:rPr>
            </w:pPr>
            <w:r>
              <w:rPr>
                <w:sz w:val="18"/>
                <w:szCs w:val="18"/>
              </w:rPr>
              <w:t>Emissions intensity scheme, percentage change</w:t>
            </w:r>
          </w:p>
        </w:tc>
        <w:tc>
          <w:tcPr>
            <w:tcW w:w="709" w:type="dxa"/>
            <w:vAlign w:val="center"/>
          </w:tcPr>
          <w:p w:rsidR="00FF6B73" w:rsidRPr="00E53128" w:rsidRDefault="00FF6B73" w:rsidP="00F06301">
            <w:pPr>
              <w:pStyle w:val="BodyText"/>
              <w:spacing w:after="80" w:line="240" w:lineRule="auto"/>
              <w:rPr>
                <w:sz w:val="18"/>
                <w:szCs w:val="18"/>
              </w:rPr>
            </w:pPr>
            <w:r>
              <w:rPr>
                <w:sz w:val="18"/>
                <w:szCs w:val="18"/>
              </w:rPr>
              <w:t>%</w:t>
            </w:r>
          </w:p>
        </w:tc>
        <w:tc>
          <w:tcPr>
            <w:tcW w:w="1418"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0.13%</w:t>
            </w:r>
          </w:p>
        </w:tc>
        <w:tc>
          <w:tcPr>
            <w:tcW w:w="141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0.18%</w:t>
            </w:r>
          </w:p>
        </w:tc>
        <w:tc>
          <w:tcPr>
            <w:tcW w:w="1701"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0.14%</w:t>
            </w:r>
          </w:p>
        </w:tc>
        <w:tc>
          <w:tcPr>
            <w:tcW w:w="166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0.15%</w:t>
            </w:r>
          </w:p>
        </w:tc>
      </w:tr>
      <w:tr w:rsidR="00FF6B73" w:rsidTr="00F06301">
        <w:trPr>
          <w:cnfStyle w:val="000000100000" w:firstRow="0" w:lastRow="0" w:firstColumn="0" w:lastColumn="0" w:oddVBand="0" w:evenVBand="0" w:oddHBand="1" w:evenHBand="0" w:firstRowFirstColumn="0" w:firstRowLastColumn="0" w:lastRowFirstColumn="0" w:lastRowLastColumn="0"/>
        </w:trPr>
        <w:tc>
          <w:tcPr>
            <w:tcW w:w="2943" w:type="dxa"/>
          </w:tcPr>
          <w:p w:rsidR="00FF6B73" w:rsidRPr="00A70A25" w:rsidRDefault="00FF6B73" w:rsidP="00F06301">
            <w:pPr>
              <w:pStyle w:val="BodyText"/>
              <w:spacing w:after="80" w:line="240" w:lineRule="auto"/>
              <w:rPr>
                <w:sz w:val="18"/>
                <w:szCs w:val="18"/>
              </w:rPr>
            </w:pPr>
            <w:r>
              <w:rPr>
                <w:sz w:val="18"/>
                <w:szCs w:val="18"/>
              </w:rPr>
              <w:t>Cap and trade (tax cuts), absolute change</w:t>
            </w:r>
          </w:p>
        </w:tc>
        <w:tc>
          <w:tcPr>
            <w:tcW w:w="709" w:type="dxa"/>
            <w:vAlign w:val="center"/>
          </w:tcPr>
          <w:p w:rsidR="00FF6B73" w:rsidRPr="00E53128" w:rsidRDefault="00FF6B73" w:rsidP="00F06301">
            <w:pPr>
              <w:pStyle w:val="BodyText"/>
              <w:spacing w:after="80" w:line="240" w:lineRule="auto"/>
              <w:rPr>
                <w:sz w:val="18"/>
                <w:szCs w:val="18"/>
              </w:rPr>
            </w:pPr>
            <w:r w:rsidRPr="00E53128">
              <w:rPr>
                <w:sz w:val="18"/>
                <w:szCs w:val="18"/>
              </w:rPr>
              <w:t>$</w:t>
            </w:r>
            <w:proofErr w:type="spellStart"/>
            <w:r w:rsidRPr="00E53128">
              <w:rPr>
                <w:sz w:val="18"/>
                <w:szCs w:val="18"/>
              </w:rPr>
              <w:t>bn</w:t>
            </w:r>
            <w:proofErr w:type="spellEnd"/>
          </w:p>
        </w:tc>
        <w:tc>
          <w:tcPr>
            <w:tcW w:w="1418"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$5</w:t>
            </w:r>
          </w:p>
        </w:tc>
        <w:tc>
          <w:tcPr>
            <w:tcW w:w="141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$13</w:t>
            </w:r>
          </w:p>
        </w:tc>
        <w:tc>
          <w:tcPr>
            <w:tcW w:w="1701"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$51</w:t>
            </w:r>
          </w:p>
        </w:tc>
        <w:tc>
          <w:tcPr>
            <w:tcW w:w="166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$97</w:t>
            </w:r>
          </w:p>
        </w:tc>
      </w:tr>
      <w:tr w:rsidR="00FF6B73" w:rsidTr="00F06301">
        <w:tc>
          <w:tcPr>
            <w:tcW w:w="2943" w:type="dxa"/>
          </w:tcPr>
          <w:p w:rsidR="00FF6B73" w:rsidRPr="00A70A25" w:rsidRDefault="00FF6B73" w:rsidP="00F06301">
            <w:pPr>
              <w:pStyle w:val="BodyText"/>
              <w:spacing w:after="80" w:line="240" w:lineRule="auto"/>
              <w:rPr>
                <w:sz w:val="18"/>
                <w:szCs w:val="18"/>
              </w:rPr>
            </w:pPr>
            <w:r>
              <w:rPr>
                <w:sz w:val="18"/>
                <w:szCs w:val="18"/>
              </w:rPr>
              <w:t>Cap and trade (tax cuts), percentage change</w:t>
            </w:r>
          </w:p>
        </w:tc>
        <w:tc>
          <w:tcPr>
            <w:tcW w:w="709" w:type="dxa"/>
            <w:vAlign w:val="center"/>
          </w:tcPr>
          <w:p w:rsidR="00FF6B73" w:rsidRPr="00E53128" w:rsidRDefault="00FF6B73" w:rsidP="00F06301">
            <w:pPr>
              <w:pStyle w:val="BodyText"/>
              <w:spacing w:after="80" w:line="240" w:lineRule="auto"/>
              <w:rPr>
                <w:sz w:val="18"/>
                <w:szCs w:val="18"/>
              </w:rPr>
            </w:pPr>
            <w:r w:rsidRPr="00E53128">
              <w:rPr>
                <w:sz w:val="18"/>
                <w:szCs w:val="18"/>
              </w:rPr>
              <w:t>%</w:t>
            </w:r>
          </w:p>
        </w:tc>
        <w:tc>
          <w:tcPr>
            <w:tcW w:w="1418"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0.25%</w:t>
            </w:r>
          </w:p>
        </w:tc>
        <w:tc>
          <w:tcPr>
            <w:tcW w:w="141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0.36%</w:t>
            </w:r>
          </w:p>
        </w:tc>
        <w:tc>
          <w:tcPr>
            <w:tcW w:w="1701"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0.35%</w:t>
            </w:r>
          </w:p>
        </w:tc>
        <w:tc>
          <w:tcPr>
            <w:tcW w:w="1667" w:type="dxa"/>
            <w:vAlign w:val="center"/>
          </w:tcPr>
          <w:p w:rsidR="00FF6B73" w:rsidRPr="00E53128" w:rsidRDefault="00FF6B73" w:rsidP="00F06301">
            <w:pPr>
              <w:pStyle w:val="BodyText"/>
              <w:spacing w:after="80" w:line="240" w:lineRule="auto"/>
              <w:jc w:val="center"/>
              <w:rPr>
                <w:sz w:val="18"/>
                <w:szCs w:val="18"/>
              </w:rPr>
            </w:pPr>
            <w:r w:rsidRPr="00E53128">
              <w:rPr>
                <w:sz w:val="18"/>
                <w:szCs w:val="18"/>
              </w:rPr>
              <w:t>0.33%</w:t>
            </w:r>
          </w:p>
        </w:tc>
      </w:tr>
    </w:tbl>
    <w:p w:rsidR="00FF6B73" w:rsidRDefault="00FF6B73" w:rsidP="00FF6B73">
      <w:pPr>
        <w:pStyle w:val="TableNote"/>
      </w:pPr>
      <w:r w:rsidRPr="005524A3">
        <w:rPr>
          <w:b/>
        </w:rPr>
        <w:t>Note:</w:t>
      </w:r>
      <w:r w:rsidRPr="00E13380">
        <w:t xml:space="preserve"> </w:t>
      </w:r>
      <w:r>
        <w:t>Cumulative discounted gross national income is calculated using a seven per cent discount rate. Dollar figures are in 2014 Australian dollars.</w:t>
      </w:r>
      <w:r>
        <w:br/>
      </w:r>
      <w:r w:rsidRPr="005524A3">
        <w:rPr>
          <w:b/>
        </w:rPr>
        <w:t>Source:</w:t>
      </w:r>
      <w:r>
        <w:t xml:space="preserve"> Climate Change Authority</w:t>
      </w:r>
      <w:r w:rsidRPr="002545EC">
        <w:t xml:space="preserve"> </w:t>
      </w:r>
      <w:r>
        <w:t xml:space="preserve">based on </w:t>
      </w:r>
      <w:bookmarkStart w:id="522" w:name="_CTVP001eb62c4d4e81d4d8494da28734678507c"/>
      <w:r w:rsidR="0059109A">
        <w:t>Adams 2016</w:t>
      </w:r>
      <w:bookmarkEnd w:id="522"/>
      <w:r>
        <w:t xml:space="preserve"> and </w:t>
      </w:r>
      <w:bookmarkStart w:id="523" w:name="_CTVP001bbe24ddb1045459794030073153b49d1"/>
      <w:r w:rsidR="0059109A">
        <w:t>Jacobs 2016d</w:t>
      </w:r>
      <w:bookmarkEnd w:id="523"/>
      <w:r>
        <w:t>.</w:t>
      </w:r>
    </w:p>
    <w:p w:rsidR="00FF6B73" w:rsidRPr="009B6260" w:rsidRDefault="00CA762C" w:rsidP="00FF6B73">
      <w:pPr>
        <w:pStyle w:val="BodyText"/>
      </w:pPr>
      <w:r>
        <w:t xml:space="preserve">Figure </w:t>
      </w:r>
      <w:r>
        <w:rPr>
          <w:noProof/>
        </w:rPr>
        <w:t>19</w:t>
      </w:r>
      <w:r w:rsidR="00FF6B73" w:rsidRPr="009B6260">
        <w:t xml:space="preserve"> compares the three policies on a range of economic metrics. It shows that either an emissions intensity scheme or recycling revenue through tax cuts will increase economic output (as measured by GNI or GDP), investment, exports and employment relative to a cap and trade scheme with lump sum recycling. While using carbon revenue to cut taxes improves economic output and employment more than an emissions intensity scheme, investment outcomes are broadly similar and an emissions intensity scheme increased exports relative to the cap and trade scenarios.  </w:t>
      </w:r>
    </w:p>
    <w:p w:rsidR="00FF6B73" w:rsidRDefault="00FF6B73" w:rsidP="00FF6B73">
      <w:pPr>
        <w:pStyle w:val="Caption"/>
      </w:pPr>
      <w:bookmarkStart w:id="524" w:name="_Ref457840337"/>
      <w:bookmarkStart w:id="525" w:name="_Toc449696830"/>
      <w:bookmarkStart w:id="526" w:name="_Toc460318050"/>
      <w:r>
        <w:t xml:space="preserve">Figure </w:t>
      </w:r>
      <w:r w:rsidR="00CA762C">
        <w:rPr>
          <w:noProof/>
        </w:rPr>
        <w:t>19</w:t>
      </w:r>
      <w:bookmarkEnd w:id="524"/>
      <w:r w:rsidR="00A6425D">
        <w:tab/>
      </w:r>
      <w:r>
        <w:t>Percentage change in various economic metrics, economy-wide modelling, relative to cap and trade (lump sum) scenario,</w:t>
      </w:r>
      <w:r w:rsidRPr="00C1142F">
        <w:t xml:space="preserve"> </w:t>
      </w:r>
      <w:r>
        <w:t>2020–2050</w:t>
      </w:r>
      <w:bookmarkEnd w:id="525"/>
      <w:bookmarkEnd w:id="526"/>
      <w:r>
        <w:t xml:space="preserve">  </w:t>
      </w:r>
    </w:p>
    <w:p w:rsidR="00FF6B73" w:rsidRPr="00713CE4" w:rsidRDefault="00FF6B73" w:rsidP="00FF6B73">
      <w:pPr>
        <w:pStyle w:val="BodyText"/>
        <w:keepNext/>
        <w:jc w:val="center"/>
        <w:rPr>
          <w:lang w:val="en-GB" w:eastAsia="en-AU"/>
        </w:rPr>
      </w:pPr>
      <w:r w:rsidRPr="004526B0">
        <w:rPr>
          <w:lang w:val="en-GB" w:eastAsia="en-AU"/>
        </w:rPr>
        <w:t xml:space="preserve"> </w:t>
      </w:r>
      <w:r w:rsidRPr="0016013C">
        <w:rPr>
          <w:noProof/>
          <w:lang w:eastAsia="en-AU"/>
        </w:rPr>
        <w:drawing>
          <wp:inline distT="0" distB="0" distL="0" distR="0" wp14:anchorId="1F5EC31E" wp14:editId="11701D0C">
            <wp:extent cx="4695825" cy="3257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3257550"/>
                    </a:xfrm>
                    <a:prstGeom prst="rect">
                      <a:avLst/>
                    </a:prstGeom>
                    <a:noFill/>
                    <a:ln>
                      <a:noFill/>
                    </a:ln>
                  </pic:spPr>
                </pic:pic>
              </a:graphicData>
            </a:graphic>
          </wp:inline>
        </w:drawing>
      </w:r>
    </w:p>
    <w:p w:rsidR="00FF6B73" w:rsidRDefault="00FF6B73" w:rsidP="00FF6B73">
      <w:pPr>
        <w:pStyle w:val="TableNote"/>
      </w:pPr>
      <w:r w:rsidRPr="005524A3">
        <w:rPr>
          <w:b/>
        </w:rPr>
        <w:t>Note:</w:t>
      </w:r>
      <w:r w:rsidRPr="00E13380">
        <w:t xml:space="preserve"> </w:t>
      </w:r>
      <w:r>
        <w:t>GNI, GDP, investment and exports are calculated as a present value over the period 2020 to 2050, using a seven per </w:t>
      </w:r>
      <w:r w:rsidRPr="00E13380">
        <w:t>cent discount rate</w:t>
      </w:r>
      <w:r>
        <w:t>. Employment is a cumulative undiscounted figure over the period 2020 to 2050.</w:t>
      </w:r>
      <w:r>
        <w:rPr>
          <w:b/>
        </w:rPr>
        <w:br/>
      </w:r>
      <w:r w:rsidRPr="005524A3">
        <w:rPr>
          <w:b/>
        </w:rPr>
        <w:t>Source:</w:t>
      </w:r>
      <w:r>
        <w:t xml:space="preserve"> Climate Change Authority</w:t>
      </w:r>
      <w:r w:rsidRPr="002545EC">
        <w:t xml:space="preserve"> </w:t>
      </w:r>
      <w:r>
        <w:t xml:space="preserve">based on </w:t>
      </w:r>
      <w:bookmarkStart w:id="527" w:name="_CTVP0015f2d60788a7f45c4abf71a9514474073"/>
      <w:r w:rsidR="0059109A">
        <w:t>Adams 2016</w:t>
      </w:r>
      <w:bookmarkEnd w:id="527"/>
      <w:r>
        <w:t xml:space="preserve"> and </w:t>
      </w:r>
      <w:bookmarkStart w:id="528" w:name="_CTVP001f1bb5fca2e22458392dfecf9cf04cd4d"/>
      <w:r w:rsidR="0059109A">
        <w:t>Jacobs 2016d</w:t>
      </w:r>
      <w:bookmarkEnd w:id="528"/>
      <w:r>
        <w:t>.</w:t>
      </w:r>
    </w:p>
    <w:p w:rsidR="00FF6B73" w:rsidRDefault="00FF6B73" w:rsidP="00FF6B73">
      <w:pPr>
        <w:pStyle w:val="BodyText"/>
      </w:pPr>
      <w:r>
        <w:t xml:space="preserve">As noted in Section </w:t>
      </w:r>
      <w:r w:rsidR="00CA762C">
        <w:t>3.3</w:t>
      </w:r>
      <w:r>
        <w:t xml:space="preserve">, these results should be treated as indicative due to generalisations and simplifications within the model used, such as the representation of the tax system and how workers </w:t>
      </w:r>
      <w:r>
        <w:lastRenderedPageBreak/>
        <w:t xml:space="preserve">respond to changes in real wages. Nevertheless, they give credible indications of how policy choice may be affected by considering indirect costs and benefits alongside direct costs. </w:t>
      </w:r>
    </w:p>
    <w:p w:rsidR="00FF6B73" w:rsidRDefault="00FF6B73" w:rsidP="00FF6B73">
      <w:pPr>
        <w:pStyle w:val="BodyText"/>
      </w:pPr>
      <w:r>
        <w:t xml:space="preserve">The schemes have different potential effects on equity, which are discussed in Section </w:t>
      </w:r>
      <w:r w:rsidR="00CA762C">
        <w:t>4.3.3</w:t>
      </w:r>
      <w:r w:rsidR="00656961">
        <w:t xml:space="preserve">. </w:t>
      </w:r>
      <w:r>
        <w:t xml:space="preserve">Importantly, altering the design of the policies to address equity impacts could reduce their overall cost effectiveness. This is particularly the case when assessing the economic benefit of using carbon revenue to cut taxes. For example, using revenue to fund direct payments to households or to provide assistance to emissions-intensive trade-exposed industries would reduce the potential tax cut and therefore the potential efficiency gain. </w:t>
      </w:r>
    </w:p>
    <w:p w:rsidR="00FF6B73" w:rsidRDefault="00FF6B73" w:rsidP="00FF6B73">
      <w:pPr>
        <w:pStyle w:val="ChapterHeading3"/>
        <w:numPr>
          <w:ilvl w:val="2"/>
          <w:numId w:val="15"/>
        </w:numPr>
      </w:pPr>
      <w:bookmarkStart w:id="529" w:name="_Toc457302116"/>
      <w:bookmarkStart w:id="530" w:name="_Ref457840354"/>
      <w:bookmarkStart w:id="531" w:name="_Ref457840402"/>
      <w:bookmarkStart w:id="532" w:name="_Toc460318002"/>
      <w:r>
        <w:t>Equity</w:t>
      </w:r>
      <w:bookmarkEnd w:id="529"/>
      <w:bookmarkEnd w:id="530"/>
      <w:bookmarkEnd w:id="531"/>
      <w:bookmarkEnd w:id="532"/>
    </w:p>
    <w:p w:rsidR="00FF6B73" w:rsidRDefault="00FF6B73" w:rsidP="00FF6B73">
      <w:pPr>
        <w:pStyle w:val="BodyText"/>
        <w:rPr>
          <w:lang w:val="en-GB" w:eastAsia="en-AU"/>
        </w:rPr>
      </w:pPr>
      <w:r>
        <w:rPr>
          <w:lang w:val="en-GB" w:eastAsia="en-AU"/>
        </w:rPr>
        <w:t>As discussed in Section</w:t>
      </w:r>
      <w:r w:rsidR="00656961">
        <w:rPr>
          <w:lang w:val="en-GB" w:eastAsia="en-AU"/>
        </w:rPr>
        <w:t xml:space="preserve"> </w:t>
      </w:r>
      <w:r w:rsidR="00CA762C">
        <w:rPr>
          <w:lang w:val="en-GB" w:eastAsia="en-AU"/>
        </w:rPr>
        <w:t>4.1.3</w:t>
      </w:r>
      <w:r>
        <w:rPr>
          <w:lang w:val="en-GB" w:eastAsia="en-AU"/>
        </w:rPr>
        <w:t xml:space="preserve">, three main groups can be affected by electricity sector emissions reduction policies: </w:t>
      </w:r>
    </w:p>
    <w:p w:rsidR="00FF6B73" w:rsidRDefault="00FF6B73" w:rsidP="00FF6B73">
      <w:pPr>
        <w:pStyle w:val="ListBullet"/>
        <w:rPr>
          <w:lang w:val="en-GB"/>
        </w:rPr>
      </w:pPr>
      <w:r>
        <w:rPr>
          <w:lang w:val="en-GB"/>
        </w:rPr>
        <w:t>electricity users (including both households and businesses)</w:t>
      </w:r>
    </w:p>
    <w:p w:rsidR="00FF6B73" w:rsidRDefault="00FF6B73" w:rsidP="00FF6B73">
      <w:pPr>
        <w:pStyle w:val="ListBullet"/>
        <w:rPr>
          <w:lang w:val="en-GB"/>
        </w:rPr>
      </w:pPr>
      <w:r>
        <w:rPr>
          <w:lang w:val="en-GB"/>
        </w:rPr>
        <w:t>generation asset owners and investors</w:t>
      </w:r>
    </w:p>
    <w:p w:rsidR="00FF6B73" w:rsidRDefault="00FF6B73" w:rsidP="00FF6B73">
      <w:pPr>
        <w:pStyle w:val="ListBullet"/>
        <w:rPr>
          <w:lang w:val="en-GB"/>
        </w:rPr>
      </w:pPr>
      <w:proofErr w:type="gramStart"/>
      <w:r>
        <w:rPr>
          <w:lang w:val="en-GB"/>
        </w:rPr>
        <w:t>workers</w:t>
      </w:r>
      <w:proofErr w:type="gramEnd"/>
      <w:r>
        <w:rPr>
          <w:lang w:val="en-GB"/>
        </w:rPr>
        <w:t xml:space="preserve"> and communities in regions strongly affected by the policy.  </w:t>
      </w:r>
    </w:p>
    <w:p w:rsidR="00FF6B73" w:rsidRDefault="00FF6B73" w:rsidP="00FF6B73">
      <w:pPr>
        <w:pStyle w:val="BodyText"/>
        <w:rPr>
          <w:lang w:val="en-GB" w:eastAsia="en-AU"/>
        </w:rPr>
      </w:pPr>
      <w:r>
        <w:rPr>
          <w:lang w:val="en-GB" w:eastAsia="en-AU"/>
        </w:rPr>
        <w:t xml:space="preserve">Effects on generation asset owners and investors were considered in Section </w:t>
      </w:r>
      <w:r w:rsidR="00CA762C">
        <w:rPr>
          <w:lang w:val="en-GB" w:eastAsia="en-AU"/>
        </w:rPr>
        <w:t>4.1.3</w:t>
      </w:r>
      <w:r w:rsidR="00656961">
        <w:rPr>
          <w:lang w:val="en-GB" w:eastAsia="en-AU"/>
        </w:rPr>
        <w:t xml:space="preserve"> </w:t>
      </w:r>
      <w:r>
        <w:rPr>
          <w:lang w:val="en-GB" w:eastAsia="en-AU"/>
        </w:rPr>
        <w:t xml:space="preserve">and are not discussed further here. As noted in Section </w:t>
      </w:r>
      <w:r w:rsidR="00CA762C">
        <w:rPr>
          <w:lang w:val="en-GB" w:eastAsia="en-AU"/>
        </w:rPr>
        <w:t>3.3</w:t>
      </w:r>
      <w:r>
        <w:rPr>
          <w:lang w:val="en-GB" w:eastAsia="en-AU"/>
        </w:rPr>
        <w:t xml:space="preserve">, the Authority’s economy-wide modelling does not directly shed light on equity issues for households in different income groups. This is because the model effectively assumes all households have average incomes for the sake of simplicity. The modelling does provide insight into the effects of different approaches on different economic sectors; these results are at </w:t>
      </w:r>
      <w:r w:rsidR="00CA762C">
        <w:rPr>
          <w:lang w:val="en-GB" w:eastAsia="en-AU"/>
        </w:rPr>
        <w:t>Appendix C.3</w:t>
      </w:r>
      <w:r>
        <w:rPr>
          <w:lang w:val="en-GB" w:eastAsia="en-AU"/>
        </w:rPr>
        <w:t xml:space="preserve">. The rest of this section draws on the Authority’s modelling and qualitative analysis to make some observations on the equity impacts of different market mechanisms on electricity users and affected regions. </w:t>
      </w:r>
    </w:p>
    <w:p w:rsidR="00FF6B73" w:rsidRDefault="00FF6B73" w:rsidP="00FF6B73">
      <w:pPr>
        <w:pStyle w:val="BodyText"/>
        <w:rPr>
          <w:lang w:val="en-GB" w:eastAsia="en-AU"/>
        </w:rPr>
      </w:pPr>
      <w:r w:rsidRPr="00F2593D">
        <w:rPr>
          <w:lang w:val="en-GB" w:eastAsia="en-AU"/>
        </w:rPr>
        <w:t xml:space="preserve">All </w:t>
      </w:r>
      <w:r>
        <w:rPr>
          <w:lang w:val="en-GB" w:eastAsia="en-AU"/>
        </w:rPr>
        <w:t>market mechanisms</w:t>
      </w:r>
      <w:r w:rsidRPr="00F2593D">
        <w:rPr>
          <w:lang w:val="en-GB" w:eastAsia="en-AU"/>
        </w:rPr>
        <w:t xml:space="preserve"> considered are projected to result in an increase in electricity prices, with flow</w:t>
      </w:r>
      <w:r w:rsidR="00555D33">
        <w:rPr>
          <w:lang w:val="en-GB" w:eastAsia="en-AU"/>
        </w:rPr>
        <w:noBreakHyphen/>
      </w:r>
      <w:r w:rsidRPr="00F2593D">
        <w:rPr>
          <w:lang w:val="en-GB" w:eastAsia="en-AU"/>
        </w:rPr>
        <w:t>on effects to a range of electricity users</w:t>
      </w:r>
      <w:r w:rsidRPr="00A70A25">
        <w:rPr>
          <w:lang w:val="en-GB" w:eastAsia="en-AU"/>
        </w:rPr>
        <w:t xml:space="preserve"> that can be addressed in a number of ways</w:t>
      </w:r>
      <w:r w:rsidRPr="00F2593D">
        <w:rPr>
          <w:lang w:val="en-GB" w:eastAsia="en-AU"/>
        </w:rPr>
        <w:t xml:space="preserve">. </w:t>
      </w:r>
      <w:r w:rsidRPr="00A70A25">
        <w:rPr>
          <w:lang w:val="en-GB" w:eastAsia="en-AU"/>
        </w:rPr>
        <w:t>Before any other assistance</w:t>
      </w:r>
      <w:r w:rsidRPr="00F2593D">
        <w:rPr>
          <w:lang w:val="en-GB" w:eastAsia="en-AU"/>
        </w:rPr>
        <w:t>, lower income groups would tend to be more affected than other</w:t>
      </w:r>
      <w:r w:rsidRPr="00A70A25">
        <w:rPr>
          <w:lang w:val="en-GB" w:eastAsia="en-AU"/>
        </w:rPr>
        <w:t>s</w:t>
      </w:r>
      <w:r w:rsidRPr="00F2593D">
        <w:rPr>
          <w:lang w:val="en-GB" w:eastAsia="en-AU"/>
        </w:rPr>
        <w:t xml:space="preserve"> because they tend to spend a higher portion of their income on electricity and have less capacity to pay for increases in costs. These changes in electricity prices will also affect industries differently, depending on how much electricity they use</w:t>
      </w:r>
      <w:r w:rsidRPr="00A70A25">
        <w:rPr>
          <w:lang w:val="en-GB" w:eastAsia="en-AU"/>
        </w:rPr>
        <w:t xml:space="preserve">, which in turn </w:t>
      </w:r>
      <w:r w:rsidRPr="00F2593D">
        <w:rPr>
          <w:lang w:val="en-GB" w:eastAsia="en-AU"/>
        </w:rPr>
        <w:t>could flow on to workers and communities.</w:t>
      </w:r>
    </w:p>
    <w:p w:rsidR="00FF6B73" w:rsidRDefault="00FF6B73" w:rsidP="00FF6B73">
      <w:pPr>
        <w:pStyle w:val="BodyText"/>
        <w:rPr>
          <w:lang w:val="en-GB" w:eastAsia="en-AU"/>
        </w:rPr>
      </w:pPr>
      <w:r>
        <w:rPr>
          <w:lang w:val="en-GB" w:eastAsia="en-AU"/>
        </w:rPr>
        <w:t xml:space="preserve">Market mechanisms differ in their ability to address these equity effects, and several general observations can be made: </w:t>
      </w:r>
    </w:p>
    <w:p w:rsidR="00FF6B73" w:rsidRDefault="00FF6B73" w:rsidP="00FF6B73">
      <w:pPr>
        <w:pStyle w:val="ListBullet"/>
        <w:rPr>
          <w:lang w:val="en-GB"/>
        </w:rPr>
      </w:pPr>
      <w:r>
        <w:rPr>
          <w:lang w:val="en-GB"/>
        </w:rPr>
        <w:t xml:space="preserve">An emissions intensity scheme will not increase electricity prices as much as a cap and trade scheme, and so would have a smaller short-term impact on equity. In effect it assists all electricity users, including both households and businesses. </w:t>
      </w:r>
    </w:p>
    <w:p w:rsidR="00FF6B73" w:rsidRDefault="00FF6B73" w:rsidP="00FF6B73">
      <w:pPr>
        <w:pStyle w:val="ListBullet"/>
        <w:rPr>
          <w:lang w:val="en-GB"/>
        </w:rPr>
      </w:pPr>
      <w:r>
        <w:rPr>
          <w:lang w:val="en-GB"/>
        </w:rPr>
        <w:t>In contrast, a cap and trade scheme with auctioning can raise significant amounts of revenue, which can be used to address equity impacts. In this case, the equity effects will depend heavily on how this revenue is recycled.</w:t>
      </w:r>
    </w:p>
    <w:p w:rsidR="00FF6B73" w:rsidRDefault="00FF6B73" w:rsidP="00FF6B73">
      <w:pPr>
        <w:pStyle w:val="ListBullet"/>
        <w:rPr>
          <w:lang w:val="en-GB"/>
        </w:rPr>
      </w:pPr>
      <w:r>
        <w:rPr>
          <w:lang w:val="en-GB" w:eastAsia="en-AU"/>
        </w:rPr>
        <w:t>In practice</w:t>
      </w:r>
      <w:r w:rsidRPr="006861C7">
        <w:rPr>
          <w:lang w:val="en-GB"/>
        </w:rPr>
        <w:t xml:space="preserve"> </w:t>
      </w:r>
      <w:r w:rsidR="00096740">
        <w:rPr>
          <w:lang w:val="en-GB"/>
        </w:rPr>
        <w:t xml:space="preserve">policy </w:t>
      </w:r>
      <w:r>
        <w:rPr>
          <w:lang w:val="en-GB"/>
        </w:rPr>
        <w:t>makers can recycle revenue in various ways to reflect their desire for equity and efficiency. It is straightforward to address equity concerns by using revenue to increase g</w:t>
      </w:r>
      <w:r>
        <w:rPr>
          <w:lang w:val="en-GB" w:eastAsia="en-AU"/>
        </w:rPr>
        <w:t>overnment payments such as pensions and family benefits</w:t>
      </w:r>
      <w:r w:rsidRPr="00D73549">
        <w:rPr>
          <w:lang w:val="en-GB"/>
        </w:rPr>
        <w:t xml:space="preserve">. </w:t>
      </w:r>
      <w:r>
        <w:rPr>
          <w:lang w:val="en-GB"/>
        </w:rPr>
        <w:t xml:space="preserve">Tax cuts are better suited to improving economic efficiency than equity. While they could be targeted to lower tax brackets to assist lower-income </w:t>
      </w:r>
      <w:r>
        <w:rPr>
          <w:lang w:val="en-GB"/>
        </w:rPr>
        <w:lastRenderedPageBreak/>
        <w:t xml:space="preserve">workers, this approach cannot readily assist taxpayers earning below the tax-free threshold, the unemployed or those outside the labour force. </w:t>
      </w:r>
    </w:p>
    <w:p w:rsidR="00FF6B73" w:rsidRDefault="00FF6B73" w:rsidP="00FF6B73">
      <w:pPr>
        <w:pStyle w:val="ListBullet"/>
        <w:rPr>
          <w:lang w:val="en-GB" w:eastAsia="en-AU"/>
        </w:rPr>
      </w:pPr>
      <w:r>
        <w:t>Because a range of government benefits change automatically with changes in consumer prices, the equity impacts of electricity price rises will be ameliorated even without additional assistance. This also means that if revenue from a market mechanism is not used (or available) to fund increased payments it would tend to worsen the government’s fiscal position. The long-run effects of this on both equity and efficiency will depend on whether future governments reduce spending or increase taxes to compensate for this change.</w:t>
      </w:r>
      <w:r>
        <w:rPr>
          <w:lang w:val="en-GB" w:eastAsia="en-AU"/>
        </w:rPr>
        <w:t xml:space="preserve"> </w:t>
      </w:r>
    </w:p>
    <w:p w:rsidR="00FF6B73" w:rsidRPr="00A20039" w:rsidRDefault="00FF6B73" w:rsidP="00FF6B73">
      <w:pPr>
        <w:pStyle w:val="ListBullet"/>
        <w:rPr>
          <w:lang w:val="en-GB" w:eastAsia="en-AU"/>
        </w:rPr>
      </w:pPr>
      <w:r w:rsidRPr="00A20039">
        <w:rPr>
          <w:lang w:val="en-GB" w:eastAsia="en-AU"/>
        </w:rPr>
        <w:t>An emissions intensity scheme is likely to reduce adjustment pressures on workers and communities that are reliant on these industries. This is because an emissions intensity scheme typically results in lower electricity prices than a cap and trade scheme, and so supports electricity</w:t>
      </w:r>
      <w:r w:rsidRPr="00A20039">
        <w:rPr>
          <w:lang w:val="en-GB" w:eastAsia="en-AU"/>
        </w:rPr>
        <w:noBreakHyphen/>
        <w:t xml:space="preserve">intensive industries.  </w:t>
      </w:r>
    </w:p>
    <w:p w:rsidR="00FF6B73" w:rsidRDefault="00FF6B73" w:rsidP="00CE30A7">
      <w:pPr>
        <w:pStyle w:val="ChapterHeading3"/>
        <w:numPr>
          <w:ilvl w:val="2"/>
          <w:numId w:val="15"/>
        </w:numPr>
      </w:pPr>
      <w:bookmarkStart w:id="533" w:name="_Toc457302117"/>
      <w:bookmarkStart w:id="534" w:name="_Ref458437199"/>
      <w:bookmarkStart w:id="535" w:name="_Toc460318003"/>
      <w:r>
        <w:t xml:space="preserve">Options for </w:t>
      </w:r>
      <w:r w:rsidR="00CE30A7">
        <w:t>market mechanisms</w:t>
      </w:r>
      <w:r>
        <w:t>: summary</w:t>
      </w:r>
      <w:bookmarkEnd w:id="533"/>
      <w:bookmarkEnd w:id="534"/>
      <w:bookmarkEnd w:id="535"/>
    </w:p>
    <w:p w:rsidR="00504AF9" w:rsidRDefault="00CE30A7" w:rsidP="00FF6B73">
      <w:pPr>
        <w:pStyle w:val="BodyText"/>
      </w:pPr>
      <w:r>
        <w:t>Market mechanisms</w:t>
      </w:r>
      <w:r w:rsidR="00FF6B73" w:rsidRPr="00287C26">
        <w:t xml:space="preserve"> have </w:t>
      </w:r>
      <w:r w:rsidR="00FF6B73">
        <w:t xml:space="preserve">more </w:t>
      </w:r>
      <w:r w:rsidR="00FF6B73" w:rsidRPr="00287C26">
        <w:t>in common</w:t>
      </w:r>
      <w:r w:rsidR="00FF6B73">
        <w:t xml:space="preserve"> than features that distinguish them from each other</w:t>
      </w:r>
      <w:r w:rsidR="00FF6B73" w:rsidRPr="00287C26">
        <w:t>.</w:t>
      </w:r>
      <w:r w:rsidR="00FF6B73">
        <w:t xml:space="preserve"> </w:t>
      </w:r>
      <w:r w:rsidR="00504AF9">
        <w:t xml:space="preserve">Each </w:t>
      </w:r>
      <w:r w:rsidR="00FF6B73" w:rsidRPr="00287C26">
        <w:t xml:space="preserve">can </w:t>
      </w:r>
      <w:r w:rsidR="00FF6B73">
        <w:t xml:space="preserve">achieve least cost emissions reductions on a large scale and are more </w:t>
      </w:r>
      <w:proofErr w:type="gramStart"/>
      <w:r w:rsidR="00FF6B73">
        <w:t>cost</w:t>
      </w:r>
      <w:r w:rsidR="00FF6B73">
        <w:noBreakHyphen/>
        <w:t>effective</w:t>
      </w:r>
      <w:proofErr w:type="gramEnd"/>
      <w:r w:rsidR="00FF6B73">
        <w:t xml:space="preserve"> than technology pull or regulatory policies</w:t>
      </w:r>
      <w:r w:rsidR="00FF6B73" w:rsidRPr="00287C26">
        <w:t xml:space="preserve">. </w:t>
      </w:r>
      <w:r w:rsidR="00FF6B73">
        <w:t xml:space="preserve">However, </w:t>
      </w:r>
      <w:r w:rsidR="00504AF9">
        <w:t>market mechanisms</w:t>
      </w:r>
      <w:r w:rsidR="00FF6B73">
        <w:t xml:space="preserve"> </w:t>
      </w:r>
      <w:r w:rsidR="00FF6B73" w:rsidRPr="00287C26">
        <w:t xml:space="preserve">can only perform well, and drive the necessary changes in investment, if </w:t>
      </w:r>
      <w:r w:rsidR="00FF6B73">
        <w:t xml:space="preserve">they are well designed and </w:t>
      </w:r>
      <w:r w:rsidR="00FF6B73" w:rsidRPr="00287C26">
        <w:t xml:space="preserve">there is policy stability and credibility. </w:t>
      </w:r>
    </w:p>
    <w:p w:rsidR="00FF6B73" w:rsidRDefault="00FF6B73" w:rsidP="00FF6B73">
      <w:pPr>
        <w:pStyle w:val="BodyText"/>
      </w:pPr>
      <w:r>
        <w:t xml:space="preserve">The economy-wide cost effectiveness of </w:t>
      </w:r>
      <w:r w:rsidR="00504AF9">
        <w:t>market mechanisms</w:t>
      </w:r>
      <w:r>
        <w:t xml:space="preserve"> is sensitive to how carbon revenue (if any) is recycled. An emissions intensity scheme could be more cost-effective than a cap and trade scheme or carbon tax where revenue is recycled in a lump sum manner. Conversely, this appears unlikely to be the case if most carbon revenue is recycled through tax cuts. However, all of these differences are small when considered in the context of the overall size of the economy a</w:t>
      </w:r>
      <w:r w:rsidR="00504AF9">
        <w:t>nd subject to some uncertainty.</w:t>
      </w:r>
    </w:p>
    <w:p w:rsidR="00C030D4" w:rsidRDefault="00761052" w:rsidP="00FF6B73">
      <w:pPr>
        <w:pStyle w:val="BodyText"/>
      </w:pPr>
      <w:r>
        <w:t xml:space="preserve">All policies examined affect consumers in some </w:t>
      </w:r>
      <w:proofErr w:type="gramStart"/>
      <w:r>
        <w:t>way,</w:t>
      </w:r>
      <w:proofErr w:type="gramEnd"/>
      <w:r>
        <w:t xml:space="preserve"> however the impacts can be addressed in a number of ways. An emissions intensity scheme has a smaller effect on electricity prices, and therefore on consumers, than a cap and trade scheme or carbon tax. By contrast, a cap and trade scheme with auctioning or a carbon tax can ameliorate the equity effects of electricity price increases by providing payments to groups of concern, such as low-income households.</w:t>
      </w:r>
      <w:r w:rsidR="007413A5">
        <w:t xml:space="preserve"> </w:t>
      </w:r>
    </w:p>
    <w:p w:rsidR="007413A5" w:rsidRDefault="007413A5" w:rsidP="00FF6B73">
      <w:pPr>
        <w:pStyle w:val="BodyText"/>
      </w:pPr>
      <w:r>
        <w:t xml:space="preserve">This analysis indicates that choosing between different market mechanisms involves balancing cost effectiveness and equity objectives. </w:t>
      </w:r>
      <w:r w:rsidR="00A97C47">
        <w:t>The Authority has taken the view that</w:t>
      </w:r>
      <w:r w:rsidR="00823D27">
        <w:t xml:space="preserve"> is also important to consider issues related to the public interest including </w:t>
      </w:r>
      <w:r w:rsidR="00A97C47">
        <w:t>public acceptance of measures, the likelihood that emiss</w:t>
      </w:r>
      <w:r w:rsidR="00C030D4">
        <w:t>i</w:t>
      </w:r>
      <w:r w:rsidR="00A97C47">
        <w:t xml:space="preserve">ons reduction policies will assist with investment certainty </w:t>
      </w:r>
      <w:r w:rsidR="00823D27">
        <w:t>and</w:t>
      </w:r>
      <w:r w:rsidR="00A97C47">
        <w:t xml:space="preserve"> the transition</w:t>
      </w:r>
      <w:r w:rsidR="00823D27">
        <w:t xml:space="preserve"> </w:t>
      </w:r>
      <w:r w:rsidR="00A97C47">
        <w:t>from current measures to new or enhanced measures is predicable</w:t>
      </w:r>
      <w:r w:rsidR="00823D27">
        <w:t xml:space="preserve">. </w:t>
      </w:r>
      <w:r>
        <w:t>The Authority’s</w:t>
      </w:r>
      <w:r w:rsidR="00823D27">
        <w:t xml:space="preserve"> conclusions and r</w:t>
      </w:r>
      <w:r>
        <w:t xml:space="preserve">ecommendations on </w:t>
      </w:r>
      <w:r w:rsidR="00A97C47">
        <w:t xml:space="preserve">a </w:t>
      </w:r>
      <w:r>
        <w:t xml:space="preserve">market mechanism </w:t>
      </w:r>
      <w:r w:rsidR="00A97C47">
        <w:t xml:space="preserve">for </w:t>
      </w:r>
      <w:r>
        <w:t xml:space="preserve">the electricity </w:t>
      </w:r>
      <w:r w:rsidR="00A97C47">
        <w:t xml:space="preserve">generation </w:t>
      </w:r>
      <w:r>
        <w:t>sector are set out in Report Three of the Special Review.</w:t>
      </w:r>
    </w:p>
    <w:p w:rsidR="00104931" w:rsidRDefault="000F58FC" w:rsidP="009818D9">
      <w:pPr>
        <w:pStyle w:val="ChapterHeading1"/>
        <w:numPr>
          <w:ilvl w:val="0"/>
          <w:numId w:val="15"/>
        </w:numPr>
        <w:ind w:left="2552" w:hanging="2552"/>
      </w:pPr>
      <w:bookmarkStart w:id="536" w:name="_Toc459218488"/>
      <w:bookmarkStart w:id="537" w:name="_Toc459218492"/>
      <w:bookmarkStart w:id="538" w:name="_Toc459218493"/>
      <w:bookmarkStart w:id="539" w:name="_Toc459218494"/>
      <w:bookmarkStart w:id="540" w:name="_Toc457552074"/>
      <w:bookmarkStart w:id="541" w:name="_Toc459218525"/>
      <w:bookmarkStart w:id="542" w:name="_Toc457552075"/>
      <w:bookmarkStart w:id="543" w:name="_Toc459218526"/>
      <w:bookmarkStart w:id="544" w:name="_Toc444610057"/>
      <w:bookmarkStart w:id="545" w:name="_Toc447182453"/>
      <w:bookmarkStart w:id="546" w:name="_Toc447183298"/>
      <w:bookmarkStart w:id="547" w:name="_Toc447183372"/>
      <w:bookmarkStart w:id="548" w:name="_Toc447183410"/>
      <w:bookmarkStart w:id="549" w:name="_Toc447183498"/>
      <w:bookmarkStart w:id="550" w:name="_Toc447183557"/>
      <w:bookmarkStart w:id="551" w:name="_Ref447638891"/>
      <w:bookmarkStart w:id="552" w:name="_Toc448132706"/>
      <w:bookmarkStart w:id="553" w:name="_Toc448151766"/>
      <w:bookmarkStart w:id="554" w:name="_Toc448151834"/>
      <w:bookmarkStart w:id="555" w:name="_Ref448935585"/>
      <w:bookmarkStart w:id="556" w:name="_Ref448935910"/>
      <w:bookmarkStart w:id="557" w:name="_Ref448937023"/>
      <w:bookmarkStart w:id="558" w:name="_Ref457208485"/>
      <w:bookmarkStart w:id="559" w:name="_Toc46031800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536"/>
      <w:bookmarkEnd w:id="537"/>
      <w:bookmarkEnd w:id="538"/>
      <w:bookmarkEnd w:id="539"/>
      <w:bookmarkEnd w:id="540"/>
      <w:bookmarkEnd w:id="541"/>
      <w:bookmarkEnd w:id="542"/>
      <w:bookmarkEnd w:id="543"/>
      <w:r>
        <w:lastRenderedPageBreak/>
        <w:t xml:space="preserve">Should </w:t>
      </w:r>
      <w:r w:rsidR="00E978EB">
        <w:t>there be a</w:t>
      </w:r>
      <w:r w:rsidR="00104931">
        <w:t>dditional policies in the sector?</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tbl>
      <w:tblPr>
        <w:tblStyle w:val="CCATablebox"/>
        <w:tblW w:w="0" w:type="auto"/>
        <w:tblLook w:val="04A0" w:firstRow="1" w:lastRow="0" w:firstColumn="1" w:lastColumn="0" w:noHBand="0" w:noVBand="1"/>
      </w:tblPr>
      <w:tblGrid>
        <w:gridCol w:w="9855"/>
      </w:tblGrid>
      <w:tr w:rsidR="00E7646E" w:rsidTr="006F53CA">
        <w:trPr>
          <w:cnfStyle w:val="100000000000" w:firstRow="1" w:lastRow="0" w:firstColumn="0" w:lastColumn="0" w:oddVBand="0" w:evenVBand="0" w:oddHBand="0" w:evenHBand="0" w:firstRowFirstColumn="0" w:firstRowLastColumn="0" w:lastRowFirstColumn="0" w:lastRowLastColumn="0"/>
        </w:trPr>
        <w:tc>
          <w:tcPr>
            <w:tcW w:w="9855" w:type="dxa"/>
          </w:tcPr>
          <w:p w:rsidR="005E610D" w:rsidRDefault="00CA762C" w:rsidP="00FD0E80">
            <w:pPr>
              <w:spacing w:before="240" w:after="240"/>
            </w:pPr>
            <w:r>
              <w:t>Chapter 4</w:t>
            </w:r>
            <w:r w:rsidR="00AE0EC1">
              <w:t xml:space="preserve"> outlined the Authority’s view that a </w:t>
            </w:r>
            <w:r w:rsidR="00761052">
              <w:t>market mechanism</w:t>
            </w:r>
            <w:r w:rsidR="00AE0EC1">
              <w:t xml:space="preserve"> of some form should be applied in the electricity supply sector to help redu</w:t>
            </w:r>
            <w:r w:rsidR="00CA4FEC">
              <w:t>ce Australia’s emissions. This c</w:t>
            </w:r>
            <w:r w:rsidR="00AE0EC1">
              <w:t xml:space="preserve">hapter </w:t>
            </w:r>
            <w:r w:rsidR="00F45E33">
              <w:t xml:space="preserve">provides an overview of the Authority’s analysis and modelling </w:t>
            </w:r>
            <w:r w:rsidR="00B9776D">
              <w:t>of policies in addition to a market mechanism for the sector</w:t>
            </w:r>
            <w:r w:rsidR="00AE0EC1">
              <w:t>. Section </w:t>
            </w:r>
            <w:r>
              <w:t>5.1</w:t>
            </w:r>
            <w:r w:rsidR="00AE0EC1">
              <w:t xml:space="preserve"> outlines the case for and against additional policies and Section </w:t>
            </w:r>
            <w:r>
              <w:t>5.2</w:t>
            </w:r>
            <w:r w:rsidR="00AE0EC1">
              <w:t xml:space="preserve"> provides a short overview of potential additional policies</w:t>
            </w:r>
            <w:r w:rsidR="005E610D">
              <w:t>.</w:t>
            </w:r>
          </w:p>
        </w:tc>
      </w:tr>
    </w:tbl>
    <w:p w:rsidR="00142C11" w:rsidRPr="00947B69" w:rsidRDefault="00C42811" w:rsidP="00947B69">
      <w:pPr>
        <w:pStyle w:val="ChapterHeading2"/>
        <w:numPr>
          <w:ilvl w:val="1"/>
          <w:numId w:val="15"/>
        </w:numPr>
        <w:rPr>
          <w:b/>
        </w:rPr>
      </w:pPr>
      <w:bookmarkStart w:id="560" w:name="_Toc444610058"/>
      <w:bookmarkStart w:id="561" w:name="_Toc447099919"/>
      <w:bookmarkStart w:id="562" w:name="_Ref447639375"/>
      <w:bookmarkStart w:id="563" w:name="_Toc448132707"/>
      <w:bookmarkStart w:id="564" w:name="_Toc448151767"/>
      <w:bookmarkStart w:id="565" w:name="_Toc448151835"/>
      <w:bookmarkStart w:id="566" w:name="_Ref449005709"/>
      <w:bookmarkStart w:id="567" w:name="_Ref457555197"/>
      <w:bookmarkStart w:id="568" w:name="_Toc460318005"/>
      <w:r>
        <w:t>Is there a case for policies in addition to</w:t>
      </w:r>
      <w:r w:rsidR="00761052">
        <w:t xml:space="preserve"> a market mechanism</w:t>
      </w:r>
      <w:r>
        <w:t>?</w:t>
      </w:r>
      <w:bookmarkEnd w:id="560"/>
      <w:bookmarkEnd w:id="561"/>
      <w:bookmarkEnd w:id="562"/>
      <w:bookmarkEnd w:id="563"/>
      <w:bookmarkEnd w:id="564"/>
      <w:bookmarkEnd w:id="565"/>
      <w:bookmarkEnd w:id="566"/>
      <w:bookmarkEnd w:id="567"/>
      <w:bookmarkEnd w:id="568"/>
    </w:p>
    <w:p w:rsidR="000C294D" w:rsidRDefault="00CA762C" w:rsidP="00761052">
      <w:pPr>
        <w:pStyle w:val="BodyText"/>
      </w:pPr>
      <w:r>
        <w:t>Chapter 4</w:t>
      </w:r>
      <w:r w:rsidR="00B9772A">
        <w:t xml:space="preserve"> outlined the Authority’s view that a market mechanism of some form should be applied in the electricity supply sector to help reduce Australia’s emissions. This </w:t>
      </w:r>
      <w:r w:rsidR="00680ACC">
        <w:t xml:space="preserve">chapter </w:t>
      </w:r>
      <w:r w:rsidR="00B9776D">
        <w:t>provides an overview of the Authority’s analysis and modelling of policies in addition to a market mechanism for the sector</w:t>
      </w:r>
      <w:r w:rsidR="00B9772A">
        <w:t>.</w:t>
      </w:r>
    </w:p>
    <w:p w:rsidR="00EC782E" w:rsidRDefault="00E73743" w:rsidP="000C294D">
      <w:r>
        <w:t xml:space="preserve">If investors are </w:t>
      </w:r>
      <w:r w:rsidR="000C294D">
        <w:t xml:space="preserve">uncertain about </w:t>
      </w:r>
      <w:r w:rsidR="00A97C47">
        <w:t>whether a given policy like a market mechanism will remain in place</w:t>
      </w:r>
      <w:r w:rsidR="000C294D">
        <w:t xml:space="preserve">, its impact on investment decisions—and therefore emissions reductions—could be compromised. Even </w:t>
      </w:r>
      <w:r w:rsidR="009B6260">
        <w:t>over the short term</w:t>
      </w:r>
      <w:r w:rsidR="007D5453">
        <w:t xml:space="preserve">, </w:t>
      </w:r>
      <w:r w:rsidR="00780A89">
        <w:t>market mechanisms</w:t>
      </w:r>
      <w:r w:rsidR="000C294D">
        <w:t xml:space="preserve"> can help reduce Australia’s emissions because </w:t>
      </w:r>
      <w:r w:rsidR="00780A89">
        <w:t xml:space="preserve">they </w:t>
      </w:r>
      <w:r w:rsidR="000C294D">
        <w:t>influence operational decisions in the electricity supply sector</w:t>
      </w:r>
      <w:r w:rsidR="009B6260">
        <w:t xml:space="preserve"> </w:t>
      </w:r>
      <w:bookmarkStart w:id="569" w:name="_CTVP001e8c89564cf0846be96f2c1f5cdca6423"/>
      <w:r w:rsidR="0059109A">
        <w:t xml:space="preserve">(O'Gorman &amp; </w:t>
      </w:r>
      <w:proofErr w:type="spellStart"/>
      <w:r w:rsidR="0059109A">
        <w:t>Jotzo</w:t>
      </w:r>
      <w:proofErr w:type="spellEnd"/>
      <w:r w:rsidR="0059109A">
        <w:t> 2014)</w:t>
      </w:r>
      <w:bookmarkEnd w:id="569"/>
      <w:r w:rsidR="000C294D">
        <w:t xml:space="preserve">. But if investors expect </w:t>
      </w:r>
      <w:r w:rsidR="00A97C47">
        <w:t xml:space="preserve">the impact of </w:t>
      </w:r>
      <w:r w:rsidR="000C294D">
        <w:t xml:space="preserve">future </w:t>
      </w:r>
      <w:r w:rsidR="00FC5342">
        <w:t xml:space="preserve">climate </w:t>
      </w:r>
      <w:r w:rsidR="000C294D">
        <w:t xml:space="preserve">policies to be uncertain, they may be less likely to take decisions in </w:t>
      </w:r>
      <w:r>
        <w:t xml:space="preserve">the </w:t>
      </w:r>
      <w:r w:rsidR="000C294D">
        <w:t>2020s consistent with a least cost route to decarbonising the supply sector over the period to 2050.</w:t>
      </w:r>
      <w:r w:rsidR="00A97C47">
        <w:t xml:space="preserve"> </w:t>
      </w:r>
    </w:p>
    <w:p w:rsidR="000C294D" w:rsidRDefault="00A97C47" w:rsidP="000C294D">
      <w:r>
        <w:t>In principle, t</w:t>
      </w:r>
      <w:r w:rsidR="000C294D">
        <w:t>his policy risk could be mitigated by applying well-designed supporting policies</w:t>
      </w:r>
      <w:r w:rsidR="005E610D">
        <w:t>.</w:t>
      </w:r>
      <w:r w:rsidR="00B9776D">
        <w:t xml:space="preserve"> </w:t>
      </w:r>
      <w:r w:rsidR="000C294D">
        <w:t xml:space="preserve">While the risk of policy uncertainty can apply to all types of climate policy, the particular history of </w:t>
      </w:r>
      <w:r>
        <w:t xml:space="preserve">emissions reduction policies </w:t>
      </w:r>
      <w:r w:rsidR="000C294D">
        <w:t xml:space="preserve">in Australia may mean that investors </w:t>
      </w:r>
      <w:r>
        <w:t xml:space="preserve">would value </w:t>
      </w:r>
      <w:r w:rsidR="000C294D">
        <w:t xml:space="preserve">greater assurance that climate </w:t>
      </w:r>
      <w:r w:rsidR="000C294D" w:rsidRPr="008046FE">
        <w:t xml:space="preserve">policy </w:t>
      </w:r>
      <w:r w:rsidR="000C294D">
        <w:t>will endure</w:t>
      </w:r>
      <w:r w:rsidR="000C294D" w:rsidRPr="008046FE">
        <w:t xml:space="preserve">. In </w:t>
      </w:r>
      <w:r w:rsidR="007D5453">
        <w:t xml:space="preserve">this case, </w:t>
      </w:r>
      <w:r>
        <w:t xml:space="preserve">it is useful to consider whether </w:t>
      </w:r>
      <w:r w:rsidR="007D5453">
        <w:t xml:space="preserve">adding policies to </w:t>
      </w:r>
      <w:r w:rsidR="00761052">
        <w:t>a market mechanism</w:t>
      </w:r>
      <w:r w:rsidR="00E73743">
        <w:t xml:space="preserve"> could reduce policy </w:t>
      </w:r>
      <w:r w:rsidR="00544873">
        <w:t>uncertainty</w:t>
      </w:r>
      <w:r w:rsidR="000C294D" w:rsidRPr="008046FE">
        <w:t xml:space="preserve">. The additional policies </w:t>
      </w:r>
      <w:r>
        <w:t>c</w:t>
      </w:r>
      <w:r w:rsidR="000C294D" w:rsidRPr="008046FE">
        <w:t>ould target the kinds of long</w:t>
      </w:r>
      <w:r w:rsidR="00FC5342">
        <w:noBreakHyphen/>
      </w:r>
      <w:r w:rsidR="000C294D" w:rsidRPr="008046FE">
        <w:t xml:space="preserve">lived entry and exit decisions which </w:t>
      </w:r>
      <w:r w:rsidR="000C294D">
        <w:t xml:space="preserve">would otherwise </w:t>
      </w:r>
      <w:r w:rsidR="000C294D" w:rsidRPr="008046FE">
        <w:t xml:space="preserve">be affected by </w:t>
      </w:r>
      <w:r w:rsidR="0096520B">
        <w:t>policy uncertainty</w:t>
      </w:r>
      <w:r w:rsidR="000C294D" w:rsidRPr="008046FE">
        <w:t>. For example:</w:t>
      </w:r>
    </w:p>
    <w:p w:rsidR="000C294D" w:rsidRDefault="000C294D" w:rsidP="000C294D">
      <w:pPr>
        <w:pStyle w:val="ListBullet"/>
      </w:pPr>
      <w:r>
        <w:t xml:space="preserve">As a technology pull policy deliberately encourages more investment in new low-emissions plant than would happen under a </w:t>
      </w:r>
      <w:r w:rsidR="00FC5342">
        <w:t>market mechanism</w:t>
      </w:r>
      <w:r>
        <w:t xml:space="preserve"> alone, it could reduce more emissions from electricity generation than a </w:t>
      </w:r>
      <w:r w:rsidR="00FC5342">
        <w:t>market mechanism</w:t>
      </w:r>
      <w:r>
        <w:t xml:space="preserve"> would by itself </w:t>
      </w:r>
      <w:bookmarkStart w:id="570" w:name="_CTVP001912a8b1ab2454ea482a19fa6f5328c25"/>
      <w:r w:rsidR="0059109A">
        <w:t>(CCA 2012, p. 27)</w:t>
      </w:r>
      <w:bookmarkEnd w:id="570"/>
      <w:r>
        <w:t xml:space="preserve">. </w:t>
      </w:r>
    </w:p>
    <w:p w:rsidR="000C294D" w:rsidRDefault="000C294D" w:rsidP="000C294D">
      <w:pPr>
        <w:pStyle w:val="ListBullet"/>
      </w:pPr>
      <w:r>
        <w:t xml:space="preserve">Even if an additional policy simply reinforces outcomes driven by </w:t>
      </w:r>
      <w:r w:rsidR="005C2C3D">
        <w:t>a</w:t>
      </w:r>
      <w:r w:rsidR="00FC5342">
        <w:t xml:space="preserve"> market mechanism</w:t>
      </w:r>
      <w:r>
        <w:t>, rather than changing the outcome, it may still provide benefits—for example by increasing confidence and potentially reducing investors’ cost of capital. One example is a technology-neutral regulation ruling out the most emissions-intensive types of new plant (Section </w:t>
      </w:r>
      <w:r w:rsidR="00CA762C">
        <w:t>5.2.2</w:t>
      </w:r>
      <w:r>
        <w:t>).</w:t>
      </w:r>
    </w:p>
    <w:p w:rsidR="00142C11" w:rsidRDefault="000C294D" w:rsidP="000C294D">
      <w:r>
        <w:t xml:space="preserve">In this </w:t>
      </w:r>
      <w:r w:rsidR="00FC5342">
        <w:t xml:space="preserve">chapter </w:t>
      </w:r>
      <w:r>
        <w:t xml:space="preserve">the Authority focuses on additional policies for technology entry and exit, where entry relates to deploying available technologies. The Authority </w:t>
      </w:r>
      <w:r w:rsidR="00B15D6F">
        <w:t>has</w:t>
      </w:r>
      <w:r>
        <w:t xml:space="preserve"> consider</w:t>
      </w:r>
      <w:r w:rsidR="00B15D6F">
        <w:t>ed</w:t>
      </w:r>
      <w:r>
        <w:t xml:space="preserve"> innovation policy more broadly, including early stage research and development, in Report Three of the Special Review.</w:t>
      </w:r>
      <w:r w:rsidR="00142C11">
        <w:t xml:space="preserve"> </w:t>
      </w:r>
    </w:p>
    <w:p w:rsidR="001F3494" w:rsidRDefault="00680ACC" w:rsidP="00142C11">
      <w:r>
        <w:t>An important consideration</w:t>
      </w:r>
      <w:r w:rsidR="00142C11">
        <w:t xml:space="preserve"> against adding policies to a </w:t>
      </w:r>
      <w:r w:rsidR="00FC5342">
        <w:t>market mechanism</w:t>
      </w:r>
      <w:r w:rsidR="00142C11">
        <w:t xml:space="preserve"> is the potential increase in costs to affected groups and Australia as a whole. Adding policies may raise compliance costs for liable parties in the medium term, including through an increase in complexity of the regulatory environment. </w:t>
      </w:r>
      <w:r w:rsidR="00142C11">
        <w:lastRenderedPageBreak/>
        <w:t>When asking whether or not additional policies increase the overall costs of climate policy, it is important to consider what would have happened without the policy</w:t>
      </w:r>
      <w:r w:rsidR="00EC782E">
        <w:t>,</w:t>
      </w:r>
      <w:r w:rsidR="00142C11">
        <w:t xml:space="preserve"> noting the impact of policy uncertainty on investment decision-making</w:t>
      </w:r>
      <w:r w:rsidR="00CA4FEC">
        <w:t>.</w:t>
      </w:r>
      <w:r w:rsidR="00142C11">
        <w:t xml:space="preserve"> The Authority’s electricity modelling indicates that, in a ‘first best’ situation where all investors believe policy is durable and there is no uncertainty, adding policies to a </w:t>
      </w:r>
      <w:r w:rsidR="00FC5342">
        <w:t>market mechanism</w:t>
      </w:r>
      <w:r w:rsidR="00142C11">
        <w:t xml:space="preserve"> raises overall costs. If some investors do not, at least initially, view policy as durable, adding policies will not necessarily raise the expected medium</w:t>
      </w:r>
      <w:r w:rsidR="00142C11">
        <w:noBreakHyphen/>
        <w:t>term economy</w:t>
      </w:r>
      <w:r w:rsidR="00142C11">
        <w:noBreakHyphen/>
        <w:t xml:space="preserve">wide costs of reducing emissions. This is because uncertainty about the direction of future climate policy increases risks of long-term decisions </w:t>
      </w:r>
      <w:bookmarkStart w:id="571" w:name="_CTVP00164420802e1a04a6c86d550bae3c93a8c"/>
      <w:r w:rsidR="0059109A">
        <w:t>(AEMC 2015a, p. 23)</w:t>
      </w:r>
      <w:bookmarkEnd w:id="571"/>
      <w:r w:rsidR="00EF46B7">
        <w:t>,</w:t>
      </w:r>
      <w:r w:rsidR="00142C11">
        <w:t xml:space="preserve"> which can raise generators’ costs </w:t>
      </w:r>
      <w:bookmarkStart w:id="572" w:name="_CTVP00198eaea83bf0b4e529e572d887f9e62e8"/>
      <w:r w:rsidR="0059109A">
        <w:t>(</w:t>
      </w:r>
      <w:proofErr w:type="spellStart"/>
      <w:r w:rsidR="0059109A">
        <w:t>McKibbin</w:t>
      </w:r>
      <w:proofErr w:type="spellEnd"/>
      <w:r w:rsidR="0059109A">
        <w:t> 2015, p. 25; AEMC 2015a, p. 23)</w:t>
      </w:r>
      <w:bookmarkEnd w:id="572"/>
      <w:r w:rsidR="00142C11">
        <w:t>. T</w:t>
      </w:r>
      <w:r w:rsidR="0003624E">
        <w:t>his suggests that, t</w:t>
      </w:r>
      <w:r w:rsidR="00142C11">
        <w:t xml:space="preserve">o the extent that actions by government, including additional policies, </w:t>
      </w:r>
      <w:r w:rsidR="0003624E">
        <w:t xml:space="preserve">can </w:t>
      </w:r>
      <w:r w:rsidR="00142C11">
        <w:t xml:space="preserve">reduce risks, they have the potential to reduce the overall cost of policies over the medium term. For example, policies </w:t>
      </w:r>
      <w:r w:rsidR="008717E3">
        <w:t xml:space="preserve">like mandatory emissions standards for </w:t>
      </w:r>
      <w:r w:rsidR="00EC782E">
        <w:t>new generators</w:t>
      </w:r>
      <w:r w:rsidR="008717E3">
        <w:t xml:space="preserve"> </w:t>
      </w:r>
      <w:r w:rsidR="00142C11">
        <w:t>could help avoid ‘lock-in’ of long-lived, emissions</w:t>
      </w:r>
      <w:r w:rsidR="001B6D31">
        <w:noBreakHyphen/>
      </w:r>
      <w:r w:rsidR="00142C11">
        <w:t>intensive assets.</w:t>
      </w:r>
      <w:r w:rsidR="00C030D4">
        <w:t xml:space="preserve"> </w:t>
      </w:r>
      <w:r w:rsidR="001F3494">
        <w:rPr>
          <w:lang w:val="en-GB" w:eastAsia="en-AU"/>
        </w:rPr>
        <w:t xml:space="preserve">On the other hand, </w:t>
      </w:r>
      <w:r w:rsidR="00C030D4">
        <w:rPr>
          <w:lang w:val="en-GB" w:eastAsia="en-AU"/>
        </w:rPr>
        <w:t>t</w:t>
      </w:r>
      <w:r w:rsidR="001F3494">
        <w:rPr>
          <w:lang w:val="en-GB" w:eastAsia="en-AU"/>
        </w:rPr>
        <w:t>he prospect of new policies being implemented can also add to uncertainty as investors may delay new investment until the measures are designed and in place.</w:t>
      </w:r>
    </w:p>
    <w:p w:rsidR="00761052" w:rsidRDefault="00761052" w:rsidP="00761052">
      <w:r>
        <w:t xml:space="preserve">Of those submissions </w:t>
      </w:r>
      <w:r w:rsidR="00544873">
        <w:t xml:space="preserve">in response to Report Two </w:t>
      </w:r>
      <w:r>
        <w:t xml:space="preserve">that commented specifically on the choice of electricity sector policy instruments, many argued for or suggested a potential role for policies to work alongside a market mechanism in the sector. This included submissions by generators (AGL Energy, </w:t>
      </w:r>
      <w:proofErr w:type="spellStart"/>
      <w:r>
        <w:t>EnergyAustralia</w:t>
      </w:r>
      <w:proofErr w:type="spellEnd"/>
      <w:r>
        <w:t>, Hydro Tasmania and Origin Energy).</w:t>
      </w:r>
    </w:p>
    <w:p w:rsidR="00C42811" w:rsidRPr="00763D3A" w:rsidRDefault="00761052" w:rsidP="009D0F88">
      <w:pPr>
        <w:pStyle w:val="BodyText"/>
      </w:pPr>
      <w:r>
        <w:t>AGL Energy stated that ‘a range of policies are likely to be needed’, while Origin Energy expressed support for the Authority’s ‘toolbox’ approach, and supported regulation to complement a market mechanism (Report Two submissions, p. 3, pp. 1, 3–4). The Australian Energy Council said that the main policy instrument should be market-based because such policies discover and exploit the lowest cost abatement, but that there ‘may still be a role for complementary policies that entail modest regulation’, noting that such policies would ‘require careful consideration’ (Report Two submission, p. 1).</w:t>
      </w:r>
      <w:bookmarkStart w:id="573" w:name="_Toc457552078"/>
      <w:bookmarkEnd w:id="573"/>
    </w:p>
    <w:p w:rsidR="00C42811" w:rsidRDefault="00C42811" w:rsidP="00C42811">
      <w:pPr>
        <w:pStyle w:val="ChapterHeading2"/>
        <w:numPr>
          <w:ilvl w:val="1"/>
          <w:numId w:val="15"/>
        </w:numPr>
      </w:pPr>
      <w:bookmarkStart w:id="574" w:name="_Toc457552082"/>
      <w:bookmarkStart w:id="575" w:name="_Toc459218532"/>
      <w:bookmarkStart w:id="576" w:name="_Toc444610059"/>
      <w:bookmarkStart w:id="577" w:name="_Toc447099920"/>
      <w:bookmarkStart w:id="578" w:name="_Toc448132708"/>
      <w:bookmarkStart w:id="579" w:name="_Toc448151768"/>
      <w:bookmarkStart w:id="580" w:name="_Toc448151836"/>
      <w:bookmarkStart w:id="581" w:name="_Ref448936997"/>
      <w:bookmarkStart w:id="582" w:name="_Ref449005734"/>
      <w:bookmarkStart w:id="583" w:name="_Toc460318006"/>
      <w:bookmarkEnd w:id="574"/>
      <w:bookmarkEnd w:id="575"/>
      <w:r>
        <w:t>Possible additional policies</w:t>
      </w:r>
      <w:bookmarkEnd w:id="576"/>
      <w:bookmarkEnd w:id="577"/>
      <w:bookmarkEnd w:id="578"/>
      <w:bookmarkEnd w:id="579"/>
      <w:bookmarkEnd w:id="580"/>
      <w:bookmarkEnd w:id="581"/>
      <w:bookmarkEnd w:id="582"/>
      <w:bookmarkEnd w:id="583"/>
    </w:p>
    <w:p w:rsidR="00142C11" w:rsidRDefault="00B9772A" w:rsidP="00142C11">
      <w:r>
        <w:t>This section provides an overview of the types of policies that could be implemented in addition to a market mechanism. A</w:t>
      </w:r>
      <w:r w:rsidR="00142C11">
        <w:t>dditional policies could focus on targeting entry of low</w:t>
      </w:r>
      <w:r w:rsidR="001B6D31">
        <w:noBreakHyphen/>
      </w:r>
      <w:r w:rsidR="00EC782E">
        <w:t>emissions generation</w:t>
      </w:r>
      <w:r w:rsidR="00142C11">
        <w:t xml:space="preserve"> and/or exit of emissions-intensive generation. Both can be achieved through either regulation or </w:t>
      </w:r>
      <w:r w:rsidR="008717E3">
        <w:t xml:space="preserve">other </w:t>
      </w:r>
      <w:r w:rsidR="00107D4A">
        <w:t>market</w:t>
      </w:r>
      <w:r w:rsidR="00CA4FEC">
        <w:t>-based measures. F</w:t>
      </w:r>
      <w:r w:rsidR="00142C11">
        <w:t>or example:</w:t>
      </w:r>
    </w:p>
    <w:p w:rsidR="00142C11" w:rsidRDefault="00CA4FEC" w:rsidP="00142C11">
      <w:pPr>
        <w:pStyle w:val="ListBullet"/>
      </w:pPr>
      <w:r>
        <w:t>s</w:t>
      </w:r>
      <w:r w:rsidR="00142C11">
        <w:t>tandards can regulate entry (for new generators) or exit (</w:t>
      </w:r>
      <w:r w:rsidR="00B34056">
        <w:t xml:space="preserve">regulated </w:t>
      </w:r>
      <w:r w:rsidR="00142C11">
        <w:t>closure of old emissions</w:t>
      </w:r>
      <w:r w:rsidR="000C6770">
        <w:noBreakHyphen/>
      </w:r>
      <w:r w:rsidR="00142C11">
        <w:t>intensive generators)</w:t>
      </w:r>
    </w:p>
    <w:p w:rsidR="00142C11" w:rsidRDefault="00142C11" w:rsidP="00142C11">
      <w:pPr>
        <w:pStyle w:val="ListBullet"/>
      </w:pPr>
      <w:proofErr w:type="gramStart"/>
      <w:r>
        <w:t>technology</w:t>
      </w:r>
      <w:proofErr w:type="gramEnd"/>
      <w:r>
        <w:t xml:space="preserve"> pull policies such as a renewable energy target </w:t>
      </w:r>
      <w:r w:rsidR="00A8063E">
        <w:t xml:space="preserve">can target entry </w:t>
      </w:r>
      <w:r>
        <w:t xml:space="preserve">or </w:t>
      </w:r>
      <w:r w:rsidR="00A8063E">
        <w:t xml:space="preserve">encourage </w:t>
      </w:r>
      <w:r>
        <w:t>exit (to remove emissions-intensive coal plants).</w:t>
      </w:r>
    </w:p>
    <w:p w:rsidR="00F9050B" w:rsidRDefault="00142C11" w:rsidP="00142C11">
      <w:pPr>
        <w:pStyle w:val="BodyText"/>
      </w:pPr>
      <w:r>
        <w:t>Entry and exit policies could be viewed as either complements or substitutes to each other. In practice this depends on the specifics of the policy design and the level of ambition of each policy: if policies are perceived to be credible, a very strong version of one policy can make the other redundant. For example, a technology pull policy with a very large target will encourage exit of fossil fuelled generation by lowering their revenues and profitability.</w:t>
      </w:r>
    </w:p>
    <w:p w:rsidR="00142C11" w:rsidRDefault="00142C11" w:rsidP="00142C11">
      <w:pPr>
        <w:pStyle w:val="BodyText"/>
      </w:pPr>
      <w:r>
        <w:t xml:space="preserve">Many countries with </w:t>
      </w:r>
      <w:r w:rsidR="00FC5342">
        <w:t>a market mechanism</w:t>
      </w:r>
      <w:r>
        <w:t xml:space="preserve"> have implemented policies alongside it in the electricity supply sector</w:t>
      </w:r>
      <w:r w:rsidR="00291164">
        <w:t xml:space="preserve"> </w:t>
      </w:r>
      <w:bookmarkStart w:id="584" w:name="_CTVP001edd4cce9dd5542388540b270d8cd698b"/>
      <w:r w:rsidR="00B053FC">
        <w:t xml:space="preserve">(IEA 2015d; ICAP 2015; </w:t>
      </w:r>
      <w:proofErr w:type="spellStart"/>
      <w:r w:rsidR="00B053FC">
        <w:t>Nachmany</w:t>
      </w:r>
      <w:proofErr w:type="spellEnd"/>
      <w:r w:rsidR="00B053FC">
        <w:t xml:space="preserve"> et al. 2015)</w:t>
      </w:r>
      <w:bookmarkEnd w:id="584"/>
      <w:r w:rsidR="00B34056">
        <w:t>,</w:t>
      </w:r>
      <w:r>
        <w:t xml:space="preserve"> with objectives such as encouraging additional low-emissions generation and realising greater decarbonisation in the electricity sector more quickly than would </w:t>
      </w:r>
      <w:r w:rsidR="00CA4FEC">
        <w:t xml:space="preserve">be </w:t>
      </w:r>
      <w:r>
        <w:t>obtain</w:t>
      </w:r>
      <w:r w:rsidR="00CA4FEC">
        <w:t>ed</w:t>
      </w:r>
      <w:r>
        <w:t xml:space="preserve"> with the </w:t>
      </w:r>
      <w:r w:rsidR="00102F82">
        <w:t>market mechanism</w:t>
      </w:r>
      <w:r>
        <w:t xml:space="preserve"> alone. The in</w:t>
      </w:r>
      <w:r w:rsidR="007D5453">
        <w:t xml:space="preserve">teractions between </w:t>
      </w:r>
      <w:r w:rsidR="00FC5342">
        <w:t xml:space="preserve">market </w:t>
      </w:r>
      <w:r w:rsidR="00FC5342">
        <w:lastRenderedPageBreak/>
        <w:t>mechanisms</w:t>
      </w:r>
      <w:r>
        <w:t xml:space="preserve"> and other policies require careful consideration to ensure policies are genuinely complementary</w:t>
      </w:r>
      <w:r w:rsidR="001F3494">
        <w:t xml:space="preserve"> and </w:t>
      </w:r>
      <w:r w:rsidR="003669EB">
        <w:t>decisions</w:t>
      </w:r>
      <w:r w:rsidR="001F3494">
        <w:t xml:space="preserve"> as to whether to implement </w:t>
      </w:r>
      <w:r w:rsidR="00941E4B">
        <w:t xml:space="preserve">one </w:t>
      </w:r>
      <w:r w:rsidR="001F3494">
        <w:t>or more of these measures is finely balanced</w:t>
      </w:r>
      <w:r>
        <w:t xml:space="preserve">. </w:t>
      </w:r>
    </w:p>
    <w:p w:rsidR="00142C11" w:rsidRDefault="00142C11" w:rsidP="00142C11">
      <w:pPr>
        <w:pStyle w:val="BodyText"/>
      </w:pPr>
      <w:r>
        <w:t>Many Report Two submissions supported additional policies in the electricity sector, including the Investor Group on Climate Change and the Centre for Resources, Energy and Environmental Law. All electricity generators which made Report Two submissions support</w:t>
      </w:r>
      <w:r w:rsidR="009B6260">
        <w:t>ed</w:t>
      </w:r>
      <w:r>
        <w:t xml:space="preserve"> consideration of explicit mechanisms for the exit of older, emissions-intensive power stations, citing the perverse outcomes of high-emissions generators remaining in the market. For example, </w:t>
      </w:r>
      <w:proofErr w:type="spellStart"/>
      <w:r>
        <w:t>EnergyAustralia</w:t>
      </w:r>
      <w:proofErr w:type="spellEnd"/>
      <w:r>
        <w:t xml:space="preserve"> stated that:</w:t>
      </w:r>
    </w:p>
    <w:p w:rsidR="00142C11" w:rsidRDefault="00142C11" w:rsidP="00F424D0">
      <w:pPr>
        <w:pStyle w:val="Quote"/>
      </w:pPr>
      <w:r>
        <w:t xml:space="preserve">Barriers to </w:t>
      </w:r>
      <w:r w:rsidR="00EC782E">
        <w:t>the closure of excess capacity…</w:t>
      </w:r>
      <w:r>
        <w:t>conspire to keep the most emissions intensive generators operating in the market for longer than necessary for security of supply, effectively ‘crowding out’ new investment in low and renewable energy generation</w:t>
      </w:r>
      <w:r w:rsidR="003C69D7">
        <w:t>…</w:t>
      </w:r>
      <w:r w:rsidR="00F424D0">
        <w:t xml:space="preserve"> </w:t>
      </w:r>
      <w:r w:rsidR="003C69D7">
        <w:t>T</w:t>
      </w:r>
      <w:r w:rsidRPr="00F424D0">
        <w:t>he pros and cons of different options for Government facilitation of the orderly exit of high emission electricity generation ought to be evaluated as part of the ca</w:t>
      </w:r>
      <w:r w:rsidR="003C69D7">
        <w:t>rbon policy development process</w:t>
      </w:r>
      <w:r w:rsidR="00F424D0">
        <w:rPr>
          <w:i w:val="0"/>
        </w:rPr>
        <w:t>.</w:t>
      </w:r>
      <w:r>
        <w:t xml:space="preserve"> </w:t>
      </w:r>
      <w:proofErr w:type="gramStart"/>
      <w:r w:rsidRPr="00F424D0">
        <w:rPr>
          <w:i w:val="0"/>
        </w:rPr>
        <w:t>(Report Two submission, p. 3).</w:t>
      </w:r>
      <w:proofErr w:type="gramEnd"/>
      <w:r>
        <w:t xml:space="preserve"> </w:t>
      </w:r>
    </w:p>
    <w:p w:rsidR="00142C11" w:rsidRDefault="00142C11" w:rsidP="00142C11">
      <w:pPr>
        <w:pStyle w:val="BodyText"/>
      </w:pPr>
      <w:r>
        <w:t xml:space="preserve">On technology pull policies, several stakeholders, including environmental organisations, </w:t>
      </w:r>
      <w:r w:rsidR="00F73377">
        <w:t>support</w:t>
      </w:r>
      <w:r>
        <w:t xml:space="preserve"> a continued or enlarged </w:t>
      </w:r>
      <w:r w:rsidR="00EC782E">
        <w:t>RET</w:t>
      </w:r>
      <w:r>
        <w:t xml:space="preserve">, and electricity generators </w:t>
      </w:r>
      <w:r w:rsidR="00F73377">
        <w:t xml:space="preserve">are in favour of </w:t>
      </w:r>
      <w:r>
        <w:t xml:space="preserve">continuing incentives for deploying renewables but </w:t>
      </w:r>
      <w:r w:rsidR="00F73377">
        <w:t xml:space="preserve">most </w:t>
      </w:r>
      <w:r>
        <w:t xml:space="preserve">did not suggest particular policy mechanisms. The Australian Chamber of Commerce and Industry noted that the RET had been successful in encouraging wind and solar investment, but with relatively high cost of abatement. The Energy Networks Association cited preliminary results from modelling commissioned from Jacobs which found that a policy package that included a </w:t>
      </w:r>
      <w:r w:rsidR="00CA4FEC">
        <w:t>low emissions target</w:t>
      </w:r>
      <w:r>
        <w:t xml:space="preserve"> could lower overall costs of reducing emissions in the stationary energy sector.</w:t>
      </w:r>
    </w:p>
    <w:p w:rsidR="00C42811" w:rsidRDefault="00142C11" w:rsidP="00142C11">
      <w:pPr>
        <w:pStyle w:val="BodyText"/>
      </w:pPr>
      <w:r>
        <w:t xml:space="preserve">The next section uses the Authority’s evaluation framework to compare technology pull and exit policies as potential additions to a </w:t>
      </w:r>
      <w:r w:rsidR="00F429F1">
        <w:t>market mechanism</w:t>
      </w:r>
      <w:r>
        <w:t>.</w:t>
      </w:r>
      <w:r w:rsidR="00C42811">
        <w:t xml:space="preserve"> </w:t>
      </w:r>
    </w:p>
    <w:p w:rsidR="00C42811" w:rsidRDefault="00C42811" w:rsidP="00C42811">
      <w:pPr>
        <w:pStyle w:val="ChapterHeading3"/>
        <w:numPr>
          <w:ilvl w:val="2"/>
          <w:numId w:val="15"/>
        </w:numPr>
      </w:pPr>
      <w:bookmarkStart w:id="585" w:name="_Toc444610060"/>
      <w:bookmarkStart w:id="586" w:name="_Toc447099921"/>
      <w:bookmarkStart w:id="587" w:name="_Toc448132709"/>
      <w:bookmarkStart w:id="588" w:name="_Toc448151769"/>
      <w:bookmarkStart w:id="589" w:name="_Toc448151837"/>
      <w:bookmarkStart w:id="590" w:name="_Toc460318007"/>
      <w:r>
        <w:t>Exit and technology pull policies</w:t>
      </w:r>
      <w:bookmarkEnd w:id="585"/>
      <w:bookmarkEnd w:id="586"/>
      <w:bookmarkEnd w:id="587"/>
      <w:bookmarkEnd w:id="588"/>
      <w:bookmarkEnd w:id="589"/>
      <w:bookmarkEnd w:id="590"/>
    </w:p>
    <w:p w:rsidR="00BD4C93" w:rsidRDefault="00BD4C93" w:rsidP="00BD4C93">
      <w:pPr>
        <w:pStyle w:val="BodyText"/>
      </w:pPr>
      <w:bookmarkStart w:id="591" w:name="_Toc444610061"/>
      <w:bookmarkStart w:id="592" w:name="_Ref443574937"/>
      <w:r w:rsidRPr="001862FF">
        <w:t xml:space="preserve">The Authority’s modelling suggests technology pull policies may be a better addition to a </w:t>
      </w:r>
      <w:r w:rsidR="00FC5342">
        <w:t>market mechanism</w:t>
      </w:r>
      <w:r w:rsidRPr="001862FF">
        <w:t xml:space="preserve"> than </w:t>
      </w:r>
      <w:r w:rsidR="00A82A29">
        <w:t xml:space="preserve">a </w:t>
      </w:r>
      <w:r w:rsidRPr="001862FF">
        <w:t>regulated</w:t>
      </w:r>
      <w:r>
        <w:t xml:space="preserve"> closure</w:t>
      </w:r>
      <w:r w:rsidR="00A82A29">
        <w:t xml:space="preserve">s </w:t>
      </w:r>
      <w:proofErr w:type="gramStart"/>
      <w:r w:rsidR="00A82A29">
        <w:t>policy</w:t>
      </w:r>
      <w:r>
        <w:t>,</w:t>
      </w:r>
      <w:proofErr w:type="gramEnd"/>
      <w:r>
        <w:t xml:space="preserve"> however, this result may be more sensitive to the specifics of the scenario than the results for individual policies discussed in</w:t>
      </w:r>
      <w:r w:rsidR="00CE6667">
        <w:t xml:space="preserve"> </w:t>
      </w:r>
      <w:r w:rsidR="00CA762C">
        <w:t>Chapter 4</w:t>
      </w:r>
      <w:r>
        <w:t>.</w:t>
      </w:r>
    </w:p>
    <w:p w:rsidR="003803A0" w:rsidRDefault="00BD4C93" w:rsidP="00BD4C93">
      <w:pPr>
        <w:pStyle w:val="BodyText"/>
      </w:pPr>
      <w:r>
        <w:t xml:space="preserve">The Authority’s modelling compared two policy combinations: a </w:t>
      </w:r>
      <w:r w:rsidR="00630195">
        <w:t>cap and trade</w:t>
      </w:r>
      <w:r w:rsidR="00544873">
        <w:t xml:space="preserve"> scheme</w:t>
      </w:r>
      <w:r>
        <w:t xml:space="preserve"> </w:t>
      </w:r>
      <w:r w:rsidR="008717E3">
        <w:t>(</w:t>
      </w:r>
      <w:r w:rsidR="00630195">
        <w:t>with a ‘</w:t>
      </w:r>
      <w:r w:rsidR="008717E3">
        <w:t>moderate</w:t>
      </w:r>
      <w:r w:rsidR="00630195">
        <w:t xml:space="preserve"> carbon price’</w:t>
      </w:r>
      <w:r w:rsidR="008717E3">
        <w:t xml:space="preserve"> here meaning lower than that modelled in the core scenarios) </w:t>
      </w:r>
      <w:r>
        <w:t>with regulated closure</w:t>
      </w:r>
      <w:r w:rsidR="003C69D7">
        <w:t>,</w:t>
      </w:r>
      <w:r>
        <w:t xml:space="preserve"> and a </w:t>
      </w:r>
      <w:r w:rsidR="00082B1A">
        <w:t>c</w:t>
      </w:r>
      <w:r w:rsidR="00630195">
        <w:t>ap and trade (moderate carbon price)</w:t>
      </w:r>
      <w:r w:rsidR="00544873">
        <w:t xml:space="preserve"> scheme</w:t>
      </w:r>
      <w:r>
        <w:t xml:space="preserve"> with a technology pull policy (the </w:t>
      </w:r>
      <w:r w:rsidR="00CA4FEC">
        <w:t>low emissions target</w:t>
      </w:r>
      <w:r>
        <w:t>). In each combination, the ‘additional’ policy (closure rates or technology targets) was set with the objective that the combination achieved the same emissions budget as the strong (2 degree</w:t>
      </w:r>
      <w:r w:rsidRPr="000F0AF9">
        <w:t xml:space="preserve">) carbon price. </w:t>
      </w:r>
    </w:p>
    <w:p w:rsidR="00BD4C93" w:rsidRDefault="00CA762C" w:rsidP="003803A0">
      <w:pPr>
        <w:pStyle w:val="BodyText"/>
      </w:pPr>
      <w:r>
        <w:t xml:space="preserve">Figure </w:t>
      </w:r>
      <w:r>
        <w:rPr>
          <w:noProof/>
        </w:rPr>
        <w:t>20</w:t>
      </w:r>
      <w:r w:rsidR="00BD4C93">
        <w:t xml:space="preserve"> </w:t>
      </w:r>
      <w:r w:rsidR="00BD4C93" w:rsidRPr="00282E16">
        <w:t>presents</w:t>
      </w:r>
      <w:r w:rsidR="001F3A35">
        <w:t xml:space="preserve"> </w:t>
      </w:r>
      <w:r w:rsidR="003803A0">
        <w:t>the cost of abatement of policy options and combinations, and suggests that a</w:t>
      </w:r>
      <w:r w:rsidR="00BD4C93">
        <w:t xml:space="preserve">dding the </w:t>
      </w:r>
      <w:r w:rsidR="00CA4FEC">
        <w:t>low emissions target</w:t>
      </w:r>
      <w:r w:rsidR="00BD4C93">
        <w:t xml:space="preserve"> produces more emissions reductions at a similar average cost than adding </w:t>
      </w:r>
      <w:r w:rsidR="00544873">
        <w:t xml:space="preserve">a </w:t>
      </w:r>
      <w:r w:rsidR="00B34056">
        <w:t xml:space="preserve">regulated </w:t>
      </w:r>
      <w:r w:rsidR="00BD4C93">
        <w:t>closures</w:t>
      </w:r>
      <w:r w:rsidR="00544873">
        <w:t xml:space="preserve"> policy targeting coal generators</w:t>
      </w:r>
      <w:r w:rsidR="00BD4C93">
        <w:t xml:space="preserve">. This is because the </w:t>
      </w:r>
      <w:r w:rsidR="00CA4FEC">
        <w:t>low emissions target</w:t>
      </w:r>
      <w:r w:rsidR="00BD4C93">
        <w:t xml:space="preserve"> can realise more emissions reduction opportunities than closure alone. While both </w:t>
      </w:r>
      <w:r w:rsidR="008717E3">
        <w:t>the ‘</w:t>
      </w:r>
      <w:r w:rsidR="004063CF">
        <w:t>cap and trade plus low emissions target</w:t>
      </w:r>
      <w:r w:rsidR="008717E3">
        <w:t>’ and ‘</w:t>
      </w:r>
      <w:r w:rsidR="004063CF">
        <w:t>c</w:t>
      </w:r>
      <w:r w:rsidR="00030847">
        <w:t>ap and trade plus regulated</w:t>
      </w:r>
      <w:r w:rsidR="004063CF">
        <w:t xml:space="preserve"> closure</w:t>
      </w:r>
      <w:r w:rsidR="00A82A29">
        <w:t>s</w:t>
      </w:r>
      <w:r w:rsidR="008717E3">
        <w:t xml:space="preserve">’ combinations </w:t>
      </w:r>
      <w:r w:rsidR="00BD4C93">
        <w:t>encourage similar rates of exit for higher</w:t>
      </w:r>
      <w:r w:rsidR="00BD4C93">
        <w:noBreakHyphen/>
        <w:t>emissions plant, the regulated closure</w:t>
      </w:r>
      <w:r w:rsidR="00A82A29">
        <w:t>s</w:t>
      </w:r>
      <w:r w:rsidR="00BD4C93">
        <w:t xml:space="preserve"> combination does not meet the demanding emissions budget. This is because neither the moderate carbon price nor regulated closure</w:t>
      </w:r>
      <w:r w:rsidR="00A82A29">
        <w:t>s</w:t>
      </w:r>
      <w:r w:rsidR="00BD4C93">
        <w:t xml:space="preserve"> ca</w:t>
      </w:r>
      <w:r w:rsidR="005C6F93">
        <w:t>n encourage enough new very low</w:t>
      </w:r>
      <w:r w:rsidR="005C6F93">
        <w:noBreakHyphen/>
      </w:r>
      <w:r w:rsidR="00BD4C93">
        <w:t xml:space="preserve">emissions plant over new gas generation. </w:t>
      </w:r>
      <w:r w:rsidR="008717E3">
        <w:t xml:space="preserve">This problem could be </w:t>
      </w:r>
      <w:r w:rsidR="008717E3">
        <w:lastRenderedPageBreak/>
        <w:t>addressed if</w:t>
      </w:r>
      <w:r w:rsidR="00BD4C93">
        <w:t xml:space="preserve"> a </w:t>
      </w:r>
      <w:r w:rsidR="003C69D7">
        <w:t xml:space="preserve">stringent </w:t>
      </w:r>
      <w:r w:rsidR="00BD4C93">
        <w:t xml:space="preserve">new entrant standard </w:t>
      </w:r>
      <w:r w:rsidR="008717E3">
        <w:t xml:space="preserve">was </w:t>
      </w:r>
      <w:r w:rsidR="00BD4C93">
        <w:t xml:space="preserve">added to the </w:t>
      </w:r>
      <w:r w:rsidR="004063CF">
        <w:t>‘</w:t>
      </w:r>
      <w:r w:rsidR="00BD4C93">
        <w:t>ca</w:t>
      </w:r>
      <w:r w:rsidR="00A64960">
        <w:t>p and trade</w:t>
      </w:r>
      <w:r w:rsidR="00BD4C93">
        <w:t xml:space="preserve"> </w:t>
      </w:r>
      <w:r w:rsidR="004063CF">
        <w:t xml:space="preserve">plus </w:t>
      </w:r>
      <w:r w:rsidR="00BD4C93">
        <w:t>regulated closure</w:t>
      </w:r>
      <w:r w:rsidR="004063CF">
        <w:t>’</w:t>
      </w:r>
      <w:r w:rsidR="00BD4C93">
        <w:t xml:space="preserve"> combination. However, the design of a standard affecting gas generation would need careful consideration to avoid perverse outcomes (Section </w:t>
      </w:r>
      <w:r>
        <w:t>5.2.2</w:t>
      </w:r>
      <w:r w:rsidR="00BD4C93">
        <w:t>).</w:t>
      </w:r>
    </w:p>
    <w:p w:rsidR="00BD4C93" w:rsidRPr="00104931" w:rsidRDefault="00BD4C93" w:rsidP="00BD4C93">
      <w:pPr>
        <w:pStyle w:val="Caption"/>
      </w:pPr>
      <w:bookmarkStart w:id="593" w:name="_Ref447089316"/>
      <w:bookmarkStart w:id="594" w:name="_Toc447099946"/>
      <w:bookmarkStart w:id="595" w:name="_Toc447641388"/>
      <w:bookmarkStart w:id="596" w:name="_Toc460318051"/>
      <w:r>
        <w:t xml:space="preserve">Figure </w:t>
      </w:r>
      <w:r w:rsidR="00CA762C">
        <w:rPr>
          <w:noProof/>
        </w:rPr>
        <w:t>20</w:t>
      </w:r>
      <w:bookmarkEnd w:id="593"/>
      <w:r w:rsidR="00A6425D">
        <w:tab/>
      </w:r>
      <w:r>
        <w:t>Average cost of abatement, policy options and combinations</w:t>
      </w:r>
      <w:bookmarkEnd w:id="594"/>
      <w:bookmarkEnd w:id="595"/>
      <w:r>
        <w:t xml:space="preserve">, </w:t>
      </w:r>
      <w:r w:rsidR="00014FB2">
        <w:t xml:space="preserve">2 degrees, </w:t>
      </w:r>
      <w:r>
        <w:t>2020–2050</w:t>
      </w:r>
      <w:bookmarkEnd w:id="596"/>
    </w:p>
    <w:p w:rsidR="00BD4C93" w:rsidRPr="000641EE" w:rsidRDefault="00EC782E" w:rsidP="00947B69">
      <w:pPr>
        <w:pStyle w:val="ListBullet"/>
        <w:keepNext/>
        <w:numPr>
          <w:ilvl w:val="0"/>
          <w:numId w:val="0"/>
        </w:numPr>
        <w:rPr>
          <w:b/>
        </w:rPr>
      </w:pPr>
      <w:r w:rsidRPr="00EC782E">
        <w:rPr>
          <w:noProof/>
          <w:lang w:eastAsia="en-AU"/>
        </w:rPr>
        <w:drawing>
          <wp:inline distT="0" distB="0" distL="0" distR="0" wp14:anchorId="1517079A" wp14:editId="2F8B5D8D">
            <wp:extent cx="6106795" cy="3235960"/>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6795" cy="3235960"/>
                    </a:xfrm>
                    <a:prstGeom prst="rect">
                      <a:avLst/>
                    </a:prstGeom>
                    <a:noFill/>
                    <a:ln>
                      <a:noFill/>
                    </a:ln>
                  </pic:spPr>
                </pic:pic>
              </a:graphicData>
            </a:graphic>
          </wp:inline>
        </w:drawing>
      </w:r>
    </w:p>
    <w:p w:rsidR="00BD4C93" w:rsidRDefault="00BD4C93" w:rsidP="00BD4C93">
      <w:pPr>
        <w:pStyle w:val="TableNote"/>
      </w:pPr>
      <w:r w:rsidRPr="00947B69">
        <w:rPr>
          <w:b/>
        </w:rPr>
        <w:t>Note:</w:t>
      </w:r>
      <w:r>
        <w:t xml:space="preserve"> </w:t>
      </w:r>
      <w:r w:rsidRPr="00E13380">
        <w:t xml:space="preserve">Average cost of abatement </w:t>
      </w:r>
      <w:r w:rsidR="008B2628">
        <w:t>over 2020–</w:t>
      </w:r>
      <w:r w:rsidR="003C69D7">
        <w:t>20</w:t>
      </w:r>
      <w:r>
        <w:t>50 using a seven per </w:t>
      </w:r>
      <w:r w:rsidR="00BD232C">
        <w:t>cent</w:t>
      </w:r>
      <w:r w:rsidRPr="00E13380">
        <w:t xml:space="preserve"> discount rate for resource costs. Emissions not discounted. Figures account for the reduction in welfare from a fall in electricity </w:t>
      </w:r>
      <w:r w:rsidR="00BC2270">
        <w:t>demand</w:t>
      </w:r>
      <w:r w:rsidR="00BC2270" w:rsidRPr="00E13380">
        <w:t xml:space="preserve"> </w:t>
      </w:r>
      <w:r w:rsidRPr="00E13380">
        <w:t>resulting from incr</w:t>
      </w:r>
      <w:r>
        <w:t>eased retail electricity prices</w:t>
      </w:r>
      <w:r w:rsidRPr="006A01B7">
        <w:t>. Regulated closure</w:t>
      </w:r>
      <w:r w:rsidR="00A82A29">
        <w:t>s</w:t>
      </w:r>
      <w:r w:rsidRPr="006A01B7">
        <w:t xml:space="preserve"> scenario and </w:t>
      </w:r>
      <w:r w:rsidR="00030847">
        <w:t>‘</w:t>
      </w:r>
      <w:r w:rsidR="00630195">
        <w:t>cap and trade</w:t>
      </w:r>
      <w:r w:rsidRPr="006A01B7">
        <w:t xml:space="preserve"> + regulated closure</w:t>
      </w:r>
      <w:r w:rsidR="00A82A29">
        <w:t>s</w:t>
      </w:r>
      <w:r w:rsidR="00030847">
        <w:t>’</w:t>
      </w:r>
      <w:r w:rsidRPr="006A01B7">
        <w:t xml:space="preserve"> scenario breach the common cumulative emi</w:t>
      </w:r>
      <w:r>
        <w:t>ssions budget, so resource costs here underestimate</w:t>
      </w:r>
      <w:r w:rsidRPr="006A01B7">
        <w:t xml:space="preserve"> costs of meeting</w:t>
      </w:r>
      <w:r>
        <w:t xml:space="preserve"> the emissions budget using those policies</w:t>
      </w:r>
      <w:r w:rsidRPr="006A01B7">
        <w:t>.</w:t>
      </w:r>
      <w:r>
        <w:t xml:space="preserve"> See </w:t>
      </w:r>
      <w:r w:rsidR="00CA762C">
        <w:t>Appendix C</w:t>
      </w:r>
      <w:r>
        <w:t xml:space="preserve"> for further details. </w:t>
      </w:r>
      <w:r w:rsidR="008717E3">
        <w:br/>
      </w:r>
      <w:r w:rsidRPr="00947B69">
        <w:rPr>
          <w:b/>
        </w:rPr>
        <w:t xml:space="preserve">Source: </w:t>
      </w:r>
      <w:r>
        <w:t xml:space="preserve">Climate Change Authority based on </w:t>
      </w:r>
      <w:bookmarkStart w:id="597" w:name="_CTVP001b59197d8a89748549d2e12623dd85711"/>
      <w:proofErr w:type="gramStart"/>
      <w:r w:rsidR="0059109A">
        <w:t>Jacobs 2016</w:t>
      </w:r>
      <w:proofErr w:type="gramEnd"/>
      <w:r w:rsidR="0059109A">
        <w:t>c</w:t>
      </w:r>
      <w:bookmarkEnd w:id="597"/>
      <w:r>
        <w:t>.</w:t>
      </w:r>
    </w:p>
    <w:p w:rsidR="00BD4C93" w:rsidRDefault="000C294D" w:rsidP="00BD4C93">
      <w:pPr>
        <w:pStyle w:val="ListBullet"/>
        <w:numPr>
          <w:ilvl w:val="0"/>
          <w:numId w:val="0"/>
        </w:numPr>
      </w:pPr>
      <w:r w:rsidRPr="00F34023">
        <w:rPr>
          <w:rStyle w:val="FootnoteTextChar"/>
          <w:sz w:val="21"/>
          <w:szCs w:val="24"/>
        </w:rPr>
        <w:t>On equity, projected changes in consumer electricity prices relative to the reference case are similar</w:t>
      </w:r>
      <w:r w:rsidRPr="00CE38D8">
        <w:rPr>
          <w:rStyle w:val="FootnoteTextChar"/>
          <w:sz w:val="21"/>
          <w:szCs w:val="24"/>
        </w:rPr>
        <w:t xml:space="preserve"> between the two combinations, however the ‘</w:t>
      </w:r>
      <w:r w:rsidR="00A64960">
        <w:rPr>
          <w:rStyle w:val="FootnoteTextChar"/>
          <w:sz w:val="21"/>
          <w:szCs w:val="24"/>
        </w:rPr>
        <w:t>cap and trade</w:t>
      </w:r>
      <w:r w:rsidR="00102F82">
        <w:rPr>
          <w:rStyle w:val="FootnoteTextChar"/>
          <w:sz w:val="21"/>
          <w:szCs w:val="24"/>
        </w:rPr>
        <w:t xml:space="preserve"> plus </w:t>
      </w:r>
      <w:r w:rsidR="004063CF">
        <w:rPr>
          <w:rStyle w:val="FootnoteTextChar"/>
          <w:sz w:val="21"/>
          <w:szCs w:val="24"/>
        </w:rPr>
        <w:t>regulated</w:t>
      </w:r>
      <w:r w:rsidR="00102F82" w:rsidRPr="00CE38D8">
        <w:rPr>
          <w:rStyle w:val="FootnoteTextChar"/>
          <w:sz w:val="21"/>
          <w:szCs w:val="24"/>
        </w:rPr>
        <w:t xml:space="preserve"> closure</w:t>
      </w:r>
      <w:r w:rsidR="00A82A29">
        <w:rPr>
          <w:rStyle w:val="FootnoteTextChar"/>
          <w:sz w:val="21"/>
          <w:szCs w:val="24"/>
        </w:rPr>
        <w:t>s</w:t>
      </w:r>
      <w:r w:rsidRPr="00CE38D8">
        <w:rPr>
          <w:rStyle w:val="FootnoteTextChar"/>
          <w:sz w:val="21"/>
          <w:szCs w:val="24"/>
        </w:rPr>
        <w:t xml:space="preserve">’ </w:t>
      </w:r>
      <w:r>
        <w:rPr>
          <w:rStyle w:val="FootnoteTextChar"/>
          <w:sz w:val="21"/>
          <w:szCs w:val="22"/>
        </w:rPr>
        <w:t xml:space="preserve">results are likely an underestimate as the policy </w:t>
      </w:r>
      <w:r w:rsidRPr="00CE38D8">
        <w:rPr>
          <w:rStyle w:val="FootnoteTextChar"/>
          <w:sz w:val="21"/>
          <w:szCs w:val="24"/>
        </w:rPr>
        <w:t xml:space="preserve">breached the emissions budget </w:t>
      </w:r>
      <w:bookmarkStart w:id="598" w:name="_CTVP0013e475b4e4b0746f0a50c890035831e62"/>
      <w:r w:rsidR="0059109A">
        <w:rPr>
          <w:rStyle w:val="FootnoteTextChar"/>
          <w:sz w:val="21"/>
          <w:szCs w:val="24"/>
        </w:rPr>
        <w:t>(Jacobs 2016c)</w:t>
      </w:r>
      <w:bookmarkEnd w:id="598"/>
      <w:r w:rsidRPr="00876F16">
        <w:rPr>
          <w:rStyle w:val="FootnoteTextChar"/>
          <w:sz w:val="21"/>
          <w:szCs w:val="24"/>
        </w:rPr>
        <w:t>.</w:t>
      </w:r>
    </w:p>
    <w:p w:rsidR="00BD4C93" w:rsidRDefault="00BD4C93" w:rsidP="00BD4C93">
      <w:pPr>
        <w:pStyle w:val="ListBullet"/>
        <w:numPr>
          <w:ilvl w:val="0"/>
          <w:numId w:val="0"/>
        </w:numPr>
      </w:pPr>
      <w:r>
        <w:t xml:space="preserve">Other recent work exploring policy combinations in the Australian electricity sector finds that the most environmentally effective addition to a </w:t>
      </w:r>
      <w:r w:rsidR="00043E38">
        <w:t xml:space="preserve">moderate </w:t>
      </w:r>
      <w:r>
        <w:t xml:space="preserve">carbon price is both regulated closure and a technology pull policy. The Climate Institute (TCI) commissioned Jacobs to investigate the impact of different policies on </w:t>
      </w:r>
      <w:r w:rsidR="00544873">
        <w:t xml:space="preserve">the </w:t>
      </w:r>
      <w:r>
        <w:t>electricity sector</w:t>
      </w:r>
      <w:r w:rsidR="00780428">
        <w:t xml:space="preserve"> </w:t>
      </w:r>
      <w:bookmarkStart w:id="599" w:name="_CTVP0010cec339c66424f55bc28368a36b532e2"/>
      <w:r w:rsidR="0059109A">
        <w:t>(Jacobs 2016b; TCI 2016)</w:t>
      </w:r>
      <w:bookmarkEnd w:id="599"/>
      <w:r>
        <w:t xml:space="preserve">. TCI argues that an internationally linked carbon pricing mechanism consistent with achieving Australia’s national 2030 emissions reduction target, while sending an important signal to the broader economy, would be unlikely to initiate the transformation of the electricity sector consistent with achieving net zero emissions. Because the higher carbon prices required to reduce emissions in the electricity sector over the 2020s are considered unlikely to be politically feasible, having separate policies to decarbonise the power sector is desirable (Report Two submission, p. 4). TCI’s commissioned modelling explores the environmental performance of policy combinations during the 2020s given their view that any carbon price during the 2020s may be low and expected by investors to remain low. It compares a weak carbon price to a weak carbon price plus regulated closure, a weak carbon price plus a technology pull policy, and a combination of all three. TCI finds that the three-policy combination drives the most emissions reductions over the 2020s. </w:t>
      </w:r>
    </w:p>
    <w:p w:rsidR="00BD4C93" w:rsidRDefault="00BD4C93" w:rsidP="00947B69">
      <w:r w:rsidRPr="001862FF">
        <w:lastRenderedPageBreak/>
        <w:t xml:space="preserve">Comparing these two modelling exercises suggests that the level of the </w:t>
      </w:r>
      <w:r w:rsidRPr="00F429F1">
        <w:t>carbon price</w:t>
      </w:r>
      <w:r w:rsidRPr="001862FF">
        <w:t xml:space="preserve"> and </w:t>
      </w:r>
      <w:r w:rsidRPr="00947B69">
        <w:t xml:space="preserve">investors’ expectations of future </w:t>
      </w:r>
      <w:r w:rsidRPr="00F429F1">
        <w:t>carbon prices</w:t>
      </w:r>
      <w:r w:rsidRPr="001862FF">
        <w:t xml:space="preserve"> are factors in the different results. The targets for the technology pull policy are also larger in absolute terms, and extend for longer, in the Authority’s policy combination. </w:t>
      </w:r>
      <w:r>
        <w:t>While the family of technology pull policies share many similarities, the type and specific design do matter for performance. Design choices—such as which technologies are eligible and whether and how targets can be adjusted—can</w:t>
      </w:r>
      <w:r w:rsidR="001F3A35">
        <w:t xml:space="preserve"> have large effects on the cost </w:t>
      </w:r>
      <w:r>
        <w:t>effectiveness and robustness of the policy. For example, expanding eligibility beyond renewables can lower costs</w:t>
      </w:r>
      <w:r w:rsidR="00014FB2">
        <w:t>,</w:t>
      </w:r>
      <w:r>
        <w:t xml:space="preserve"> while target design can influence the policy’s ability to respond to unexpected changes in the electricity sector (</w:t>
      </w:r>
      <w:r w:rsidR="00CA762C">
        <w:t>Box 7</w:t>
      </w:r>
      <w:r>
        <w:t>).</w:t>
      </w:r>
      <w:r w:rsidR="00E471DB">
        <w:t xml:space="preserve"> </w:t>
      </w:r>
    </w:p>
    <w:p w:rsidR="003C69D7" w:rsidRDefault="003C69D7" w:rsidP="003C69D7">
      <w:pPr>
        <w:pStyle w:val="ListBullet"/>
        <w:numPr>
          <w:ilvl w:val="0"/>
          <w:numId w:val="0"/>
        </w:numPr>
      </w:pPr>
      <w:r>
        <w:t xml:space="preserve">Exit policies can also be price-based. Recently </w:t>
      </w:r>
      <w:bookmarkStart w:id="600" w:name="_CTVP0012484c28dbb374e80bd8af735fcae9704"/>
      <w:proofErr w:type="spellStart"/>
      <w:r w:rsidR="0059109A">
        <w:t>Jotzo</w:t>
      </w:r>
      <w:proofErr w:type="spellEnd"/>
      <w:r w:rsidR="0059109A">
        <w:t xml:space="preserve"> &amp; </w:t>
      </w:r>
      <w:proofErr w:type="spellStart"/>
      <w:r w:rsidR="0059109A">
        <w:t>Mazouz</w:t>
      </w:r>
      <w:bookmarkEnd w:id="600"/>
      <w:proofErr w:type="spellEnd"/>
      <w:r>
        <w:t xml:space="preserve"> </w:t>
      </w:r>
      <w:bookmarkStart w:id="601" w:name="_CTVP001fb2460797b9c40d7b60e1aef6c995bd6"/>
      <w:r w:rsidR="0059109A">
        <w:t>(2015)</w:t>
      </w:r>
      <w:bookmarkEnd w:id="601"/>
      <w:r>
        <w:t xml:space="preserve"> proposed a mechanism for regulated exit of highly emissions-intensive brown coal plant. Interested generators could bid for the payment they required to close and a designated regulator would choose the most (if any) cost-effective bid. The payment for a successful closing generator would come from the remaining power stations in proportion to their emissions. While bidding for a closure payment is voluntary, the other generators would face a mandatory charge to pay for the bidding plant to close</w:t>
      </w:r>
      <w:r w:rsidR="000D15E7">
        <w:t>, if a bid were successful</w:t>
      </w:r>
      <w:r>
        <w:t xml:space="preserve">. </w:t>
      </w:r>
    </w:p>
    <w:p w:rsidR="003C69D7" w:rsidRDefault="003C69D7" w:rsidP="003C69D7">
      <w:pPr>
        <w:pStyle w:val="BodyText"/>
      </w:pPr>
      <w:r>
        <w:t xml:space="preserve">Emissions reductions realised by the policy would depend on which generator closed, how long it would have continued to operate without the policy, and the emissions intensity of the remaining generators that would make up for the closing plant’s output. Indicative estimates are reductions </w:t>
      </w:r>
      <w:proofErr w:type="gramStart"/>
      <w:r>
        <w:t>of 2</w:t>
      </w:r>
      <w:r w:rsidR="00974AC5">
        <w:t>–</w:t>
      </w:r>
      <w:r>
        <w:t>7 Mt</w:t>
      </w:r>
      <w:r w:rsidR="00F52919">
        <w:t> </w:t>
      </w:r>
      <w:r>
        <w:t>CO</w:t>
      </w:r>
      <w:r>
        <w:rPr>
          <w:vertAlign w:val="subscript"/>
        </w:rPr>
        <w:t>2</w:t>
      </w:r>
      <w:r>
        <w:t xml:space="preserve"> per year for five to 15 years (around 1</w:t>
      </w:r>
      <w:r w:rsidR="00974AC5">
        <w:t>–</w:t>
      </w:r>
      <w:r>
        <w:t>4 per cent of current annual emissions from the sector)</w:t>
      </w:r>
      <w:proofErr w:type="gramEnd"/>
      <w:r>
        <w:t xml:space="preserve"> (Climate Change Authority calculation from </w:t>
      </w:r>
      <w:bookmarkStart w:id="602" w:name="_CTVP001a396802af24247f387e554d9bab94737"/>
      <w:proofErr w:type="spellStart"/>
      <w:r w:rsidR="0059109A">
        <w:t>Jotzo</w:t>
      </w:r>
      <w:proofErr w:type="spellEnd"/>
      <w:r w:rsidR="0059109A">
        <w:t xml:space="preserve"> &amp; </w:t>
      </w:r>
      <w:proofErr w:type="spellStart"/>
      <w:r w:rsidR="0059109A">
        <w:t>Mazouz</w:t>
      </w:r>
      <w:proofErr w:type="spellEnd"/>
      <w:r w:rsidR="0059109A">
        <w:t> 2015, p. 16</w:t>
      </w:r>
      <w:bookmarkEnd w:id="602"/>
      <w:r>
        <w:t xml:space="preserve">, </w:t>
      </w:r>
      <w:bookmarkStart w:id="603" w:name="_CTVP00142197fe08ddc4bb7b242962b079d9e51"/>
      <w:r w:rsidR="0059109A">
        <w:t>DoE 2015b, p. 9</w:t>
      </w:r>
      <w:bookmarkEnd w:id="603"/>
      <w:r>
        <w:t xml:space="preserve">). </w:t>
      </w:r>
    </w:p>
    <w:p w:rsidR="00082B1A" w:rsidRDefault="00082B1A" w:rsidP="00082B1A">
      <w:proofErr w:type="spellStart"/>
      <w:r>
        <w:t>Jotzo</w:t>
      </w:r>
      <w:proofErr w:type="spellEnd"/>
      <w:r>
        <w:t xml:space="preserve"> and </w:t>
      </w:r>
      <w:proofErr w:type="spellStart"/>
      <w:r>
        <w:t>Mazouz</w:t>
      </w:r>
      <w:proofErr w:type="spellEnd"/>
      <w:r>
        <w:t xml:space="preserve"> note that the first best policy in the sector would be a market mechanism, and offer their proposal as a short-term, pre-2020 measure applying to brown coal plants, which could be implemented if detailed analysis confirmed it delivered net benefits (</w:t>
      </w:r>
      <w:bookmarkStart w:id="604" w:name="_CTVP0016ec7fde3ec6e44199bbda5e152011435"/>
      <w:proofErr w:type="spellStart"/>
      <w:r w:rsidR="0059109A">
        <w:t>Jotzo</w:t>
      </w:r>
      <w:proofErr w:type="spellEnd"/>
      <w:r w:rsidR="0059109A">
        <w:t> 2016</w:t>
      </w:r>
      <w:bookmarkEnd w:id="604"/>
      <w:r>
        <w:t xml:space="preserve">, </w:t>
      </w:r>
      <w:bookmarkStart w:id="605" w:name="_CTVP001fb28c8a3d69f4db29609dad3f6f45399"/>
      <w:proofErr w:type="spellStart"/>
      <w:r w:rsidR="0059109A">
        <w:t>Jotzo</w:t>
      </w:r>
      <w:proofErr w:type="spellEnd"/>
      <w:r w:rsidR="0059109A">
        <w:t xml:space="preserve"> &amp; </w:t>
      </w:r>
      <w:proofErr w:type="spellStart"/>
      <w:r w:rsidR="0059109A">
        <w:t>Mazouz</w:t>
      </w:r>
      <w:proofErr w:type="spellEnd"/>
      <w:r w:rsidR="0059109A">
        <w:t> 2015, pp. 7</w:t>
      </w:r>
      <w:proofErr w:type="gramStart"/>
      <w:r w:rsidR="0059109A">
        <w:t>,14</w:t>
      </w:r>
      <w:bookmarkEnd w:id="605"/>
      <w:proofErr w:type="gramEnd"/>
      <w:r>
        <w:t>).</w:t>
      </w:r>
    </w:p>
    <w:p w:rsidR="00082B1A" w:rsidRDefault="00082B1A" w:rsidP="00082B1A">
      <w:pPr>
        <w:pStyle w:val="BodyText"/>
      </w:pPr>
      <w:r>
        <w:t>Several stakeholders, including Origin Energy and WWF Australia, suggested in their Report Two submissions that the proposal be considered further.</w:t>
      </w:r>
    </w:p>
    <w:p w:rsidR="00F45E33" w:rsidRDefault="00082B1A" w:rsidP="00F45E33">
      <w:r>
        <w:t>The A</w:t>
      </w:r>
      <w:r w:rsidR="000D15E7">
        <w:t>uthority makes two observations:</w:t>
      </w:r>
      <w:r>
        <w:t xml:space="preserve"> </w:t>
      </w:r>
    </w:p>
    <w:p w:rsidR="00F45E33" w:rsidRDefault="00F45E33" w:rsidP="000D15E7">
      <w:pPr>
        <w:pStyle w:val="ListBullet"/>
      </w:pPr>
      <w:r w:rsidDel="00974AC5">
        <w:t>First, the Authority’s analysis of regulat</w:t>
      </w:r>
      <w:r>
        <w:t>ed</w:t>
      </w:r>
      <w:r w:rsidDel="00974AC5">
        <w:t xml:space="preserve"> closure indicates that using it to achieve a large post-2020 emissions reduction goal in the absence of other measures in the electricity sector would entail higher costs than other policies and would not offer a direct incentive for new low</w:t>
      </w:r>
      <w:r w:rsidDel="00974AC5">
        <w:noBreakHyphen/>
        <w:t>emissions plant to be built (Chapter 4).</w:t>
      </w:r>
    </w:p>
    <w:p w:rsidR="00082B1A" w:rsidRDefault="00F45E33" w:rsidP="000D15E7">
      <w:pPr>
        <w:pStyle w:val="ListBullet"/>
      </w:pPr>
      <w:r>
        <w:t xml:space="preserve">Second, managing the risks would need to be carefully considered if such a change were adopted. For example, even if the government stated that only a few generators at most would be assisted, others may ignore economic reasons to exit in the hope of receiving assistance. </w:t>
      </w:r>
      <w:r w:rsidRPr="00407FC9">
        <w:t>Providing incentives for closure could set a precedent not just for the electricity sector but more broadly.</w:t>
      </w:r>
    </w:p>
    <w:p w:rsidR="00813DC2" w:rsidRDefault="00813DC2" w:rsidP="00082B1A">
      <w:pPr>
        <w:pStyle w:val="BodyText"/>
      </w:pPr>
    </w:p>
    <w:p w:rsidR="00813DC2" w:rsidRDefault="00813DC2" w:rsidP="00813DC2"/>
    <w:tbl>
      <w:tblPr>
        <w:tblStyle w:val="CCATablebox"/>
        <w:tblW w:w="0" w:type="auto"/>
        <w:tblLook w:val="04A0" w:firstRow="1" w:lastRow="0" w:firstColumn="1" w:lastColumn="0" w:noHBand="0" w:noVBand="1"/>
      </w:tblPr>
      <w:tblGrid>
        <w:gridCol w:w="9855"/>
      </w:tblGrid>
      <w:tr w:rsidR="00813DC2" w:rsidRPr="00FC752C" w:rsidTr="00A2769F">
        <w:trPr>
          <w:cnfStyle w:val="100000000000" w:firstRow="1" w:lastRow="0" w:firstColumn="0" w:lastColumn="0" w:oddVBand="0" w:evenVBand="0" w:oddHBand="0" w:evenHBand="0" w:firstRowFirstColumn="0" w:firstRowLastColumn="0" w:lastRowFirstColumn="0" w:lastRowLastColumn="0"/>
          <w:trHeight w:val="7442"/>
        </w:trPr>
        <w:tc>
          <w:tcPr>
            <w:tcW w:w="9855" w:type="dxa"/>
          </w:tcPr>
          <w:p w:rsidR="00813DC2" w:rsidRDefault="00813DC2" w:rsidP="00A2769F">
            <w:pPr>
              <w:pStyle w:val="Headingnumberedbox"/>
              <w:ind w:left="907" w:hanging="907"/>
            </w:pPr>
            <w:bookmarkStart w:id="606" w:name="_Toc444610100"/>
            <w:bookmarkStart w:id="607" w:name="_Ref447106840"/>
            <w:bookmarkStart w:id="608" w:name="_Toc447122304"/>
            <w:bookmarkStart w:id="609" w:name="_Toc447641429"/>
            <w:bookmarkStart w:id="610" w:name="_Ref448502315"/>
            <w:bookmarkStart w:id="611" w:name="_Ref449005657"/>
            <w:bookmarkStart w:id="612" w:name="_Ref449005862"/>
            <w:bookmarkStart w:id="613" w:name="_Ref449519800"/>
            <w:bookmarkStart w:id="614" w:name="_Ref459046826"/>
            <w:bookmarkStart w:id="615" w:name="_Toc460318088"/>
            <w:r>
              <w:lastRenderedPageBreak/>
              <w:t>Renewable energy targets, low emissions targets, and contracts for difference: exploring technology pull policies</w:t>
            </w:r>
            <w:bookmarkEnd w:id="606"/>
            <w:bookmarkEnd w:id="607"/>
            <w:bookmarkEnd w:id="608"/>
            <w:bookmarkEnd w:id="609"/>
            <w:bookmarkEnd w:id="610"/>
            <w:bookmarkEnd w:id="611"/>
            <w:bookmarkEnd w:id="612"/>
            <w:bookmarkEnd w:id="613"/>
            <w:bookmarkEnd w:id="614"/>
            <w:bookmarkEnd w:id="615"/>
            <w:r>
              <w:t xml:space="preserve"> </w:t>
            </w:r>
          </w:p>
          <w:p w:rsidR="00813DC2" w:rsidRDefault="00813DC2" w:rsidP="00A2769F">
            <w:pPr>
              <w:pStyle w:val="TableText"/>
              <w:rPr>
                <w:lang w:val="en-GB"/>
              </w:rPr>
            </w:pPr>
            <w:r>
              <w:rPr>
                <w:lang w:val="en-GB"/>
              </w:rPr>
              <w:t>All three technology pull policies explored in this report work to encourage additional low</w:t>
            </w:r>
            <w:r>
              <w:rPr>
                <w:lang w:val="en-GB"/>
              </w:rPr>
              <w:noBreakHyphen/>
              <w:t xml:space="preserve">emissions generation, however, specific design features can have a large impact on the performance of each policy. This box explores technology pull policies and two design features—technology eligibility and target setting—that are important for performance. </w:t>
            </w:r>
          </w:p>
          <w:p w:rsidR="00813DC2" w:rsidRDefault="00813DC2" w:rsidP="00A2769F">
            <w:pPr>
              <w:pStyle w:val="TableText"/>
              <w:rPr>
                <w:lang w:val="en-GB"/>
              </w:rPr>
            </w:pPr>
            <w:r>
              <w:rPr>
                <w:lang w:val="en-GB"/>
              </w:rPr>
              <w:t>Technology pull policies operate by providing revenue for eligible low</w:t>
            </w:r>
            <w:r>
              <w:rPr>
                <w:lang w:val="en-GB"/>
              </w:rPr>
              <w:noBreakHyphen/>
              <w:t xml:space="preserve">emissions generators. Renewable energy targets and low emissions targets set a specific quantity of eligible generation, while contracts for difference partially specify the price received by eligible generators. As explained in </w:t>
            </w:r>
            <w:r w:rsidR="00CA762C">
              <w:rPr>
                <w:lang w:val="en-GB"/>
              </w:rPr>
              <w:t>Box 2</w:t>
            </w:r>
            <w:r>
              <w:rPr>
                <w:lang w:val="en-GB"/>
              </w:rPr>
              <w:t>:</w:t>
            </w:r>
          </w:p>
          <w:p w:rsidR="00813DC2" w:rsidRPr="00516747" w:rsidRDefault="000D15E7" w:rsidP="00A2769F">
            <w:pPr>
              <w:pStyle w:val="TableListBullet"/>
            </w:pPr>
            <w:r>
              <w:t>S</w:t>
            </w:r>
            <w:r w:rsidR="00813DC2" w:rsidRPr="00516747">
              <w:t>ubsidising these generators allows them to make low bids into the electricity market, which lowers the wholesale price of electricity and the profitability of incumbent generators to the point of withdrawal in some cases</w:t>
            </w:r>
            <w:r>
              <w:t>.</w:t>
            </w:r>
            <w:r w:rsidR="00813DC2" w:rsidRPr="00516747">
              <w:t xml:space="preserve"> </w:t>
            </w:r>
          </w:p>
          <w:p w:rsidR="00813DC2" w:rsidRPr="00516747" w:rsidRDefault="000D15E7" w:rsidP="00A2769F">
            <w:pPr>
              <w:pStyle w:val="TableListBullet"/>
            </w:pPr>
            <w:r>
              <w:t>C</w:t>
            </w:r>
            <w:r w:rsidR="00813DC2" w:rsidRPr="00516747">
              <w:t>onsumers pay for the scheme through a surcharge on electricity bills.</w:t>
            </w:r>
          </w:p>
          <w:p w:rsidR="00813DC2" w:rsidRDefault="00813DC2" w:rsidP="00A2769F">
            <w:pPr>
              <w:pStyle w:val="TableText"/>
              <w:rPr>
                <w:lang w:val="en-GB"/>
              </w:rPr>
            </w:pPr>
            <w:r>
              <w:rPr>
                <w:lang w:val="en-GB"/>
              </w:rPr>
              <w:t xml:space="preserve">The net impact on consumer </w:t>
            </w:r>
            <w:r w:rsidR="000A19C1">
              <w:rPr>
                <w:lang w:val="en-GB"/>
              </w:rPr>
              <w:t>spending</w:t>
            </w:r>
            <w:r>
              <w:rPr>
                <w:lang w:val="en-GB"/>
              </w:rPr>
              <w:t xml:space="preserve"> depends on which impact (lower wholesale prices or the retail surcharge) dominates; this in turn depends in part on the size of the targets. In modelling for the 2014 Warburton RET review, ACIL Allen found that a 30 per cent renewable energy target would reduce average annual household </w:t>
            </w:r>
            <w:r w:rsidR="000A19C1">
              <w:rPr>
                <w:lang w:val="en-GB"/>
              </w:rPr>
              <w:t>spending</w:t>
            </w:r>
            <w:r>
              <w:rPr>
                <w:lang w:val="en-GB"/>
              </w:rPr>
              <w:t xml:space="preserve"> by around $17 over 2015 to 2040, relative to the situation of no RET (Climate Change Authority based on </w:t>
            </w:r>
            <w:bookmarkStart w:id="616" w:name="_CTVP001f580765d607840158c22cca2a16943fd"/>
            <w:r w:rsidR="0059109A">
              <w:rPr>
                <w:lang w:val="en-GB"/>
              </w:rPr>
              <w:t>ACIL Allen Consulting 2014, p. ix</w:t>
            </w:r>
            <w:bookmarkEnd w:id="616"/>
            <w:r>
              <w:rPr>
                <w:lang w:val="en-GB"/>
              </w:rPr>
              <w:t xml:space="preserve">). In contrast, the </w:t>
            </w:r>
            <w:proofErr w:type="gramStart"/>
            <w:r>
              <w:rPr>
                <w:lang w:val="en-GB"/>
              </w:rPr>
              <w:t>large targets explored in the Authority’s</w:t>
            </w:r>
            <w:proofErr w:type="gramEnd"/>
            <w:r>
              <w:rPr>
                <w:lang w:val="en-GB"/>
              </w:rPr>
              <w:t xml:space="preserve"> modelling result in higher projected consumer electricity prices (</w:t>
            </w:r>
            <w:r w:rsidR="00CA762C">
              <w:t xml:space="preserve">Figure </w:t>
            </w:r>
            <w:r w:rsidR="00CA762C">
              <w:rPr>
                <w:noProof/>
              </w:rPr>
              <w:t>14</w:t>
            </w:r>
            <w:r>
              <w:rPr>
                <w:lang w:val="en-GB"/>
              </w:rPr>
              <w:t>).</w:t>
            </w:r>
          </w:p>
          <w:p w:rsidR="00813DC2" w:rsidRDefault="00813DC2" w:rsidP="00A2769F">
            <w:pPr>
              <w:pStyle w:val="TableText"/>
            </w:pPr>
            <w:r>
              <w:rPr>
                <w:lang w:val="en-GB"/>
              </w:rPr>
              <w:t>Technology eligibility varies between the policies, with wider eligibility lowering the costs of meeting a given emissions goal. Comparing the resource cost of the RET and the low emissions target in the Authority’s modelling show how expanding eli</w:t>
            </w:r>
            <w:r w:rsidR="000D15E7">
              <w:rPr>
                <w:lang w:val="en-GB"/>
              </w:rPr>
              <w:t>gibility to more zero</w:t>
            </w:r>
            <w:r w:rsidR="000D15E7">
              <w:rPr>
                <w:lang w:val="en-GB"/>
              </w:rPr>
              <w:noBreakHyphen/>
              <w:t xml:space="preserve"> and low</w:t>
            </w:r>
            <w:r w:rsidR="000D15E7">
              <w:rPr>
                <w:lang w:val="en-GB"/>
              </w:rPr>
              <w:noBreakHyphen/>
            </w:r>
            <w:r>
              <w:rPr>
                <w:lang w:val="en-GB"/>
              </w:rPr>
              <w:t xml:space="preserve">emissions technologies lowers the overall </w:t>
            </w:r>
            <w:r w:rsidRPr="00A43F78">
              <w:rPr>
                <w:szCs w:val="18"/>
                <w:lang w:val="en-GB"/>
              </w:rPr>
              <w:t>costs (</w:t>
            </w:r>
            <w:r w:rsidR="00CA762C" w:rsidRPr="00CA762C">
              <w:rPr>
                <w:szCs w:val="18"/>
              </w:rPr>
              <w:t xml:space="preserve">Figure </w:t>
            </w:r>
            <w:r w:rsidR="00CA762C" w:rsidRPr="00CA762C">
              <w:rPr>
                <w:noProof/>
                <w:szCs w:val="18"/>
              </w:rPr>
              <w:t>21</w:t>
            </w:r>
            <w:r w:rsidRPr="00A43F78">
              <w:rPr>
                <w:szCs w:val="18"/>
                <w:lang w:val="en-GB"/>
              </w:rPr>
              <w:t>).</w:t>
            </w:r>
            <w:r>
              <w:rPr>
                <w:lang w:val="en-GB"/>
              </w:rPr>
              <w:t xml:space="preserve"> Even if non</w:t>
            </w:r>
            <w:r>
              <w:rPr>
                <w:lang w:val="en-GB"/>
              </w:rPr>
              <w:noBreakHyphen/>
              <w:t>renewable zero</w:t>
            </w:r>
            <w:r>
              <w:rPr>
                <w:lang w:val="en-GB"/>
              </w:rPr>
              <w:noBreakHyphen/>
              <w:t xml:space="preserve">emission technologies, such as CCS or nuclear, are never available in Australia, widening eligibility can still have benefits. The Authority’s technology sensitivity indicates that expanding eligibility by providing partial credits to gas generators lowers projected resource costs by around 20 per cent </w:t>
            </w:r>
            <w:r w:rsidRPr="00A43F78">
              <w:rPr>
                <w:szCs w:val="18"/>
                <w:lang w:val="en-GB"/>
              </w:rPr>
              <w:t>(</w:t>
            </w:r>
            <w:r w:rsidR="00CA762C" w:rsidRPr="00CA762C">
              <w:rPr>
                <w:szCs w:val="18"/>
              </w:rPr>
              <w:t xml:space="preserve">Figure </w:t>
            </w:r>
            <w:r w:rsidR="00CA762C" w:rsidRPr="00CA762C">
              <w:rPr>
                <w:noProof/>
                <w:szCs w:val="18"/>
              </w:rPr>
              <w:t>21</w:t>
            </w:r>
            <w:r w:rsidRPr="00A43F78">
              <w:rPr>
                <w:szCs w:val="18"/>
                <w:lang w:val="en-GB"/>
              </w:rPr>
              <w:t>).</w:t>
            </w:r>
            <w:r>
              <w:rPr>
                <w:lang w:val="en-GB"/>
              </w:rPr>
              <w:t xml:space="preserve"> </w:t>
            </w:r>
          </w:p>
          <w:p w:rsidR="00813DC2" w:rsidRPr="000C34C2" w:rsidRDefault="00813DC2" w:rsidP="00A2769F">
            <w:pPr>
              <w:pStyle w:val="Caption"/>
              <w:rPr>
                <w:sz w:val="21"/>
                <w:szCs w:val="21"/>
              </w:rPr>
            </w:pPr>
            <w:bookmarkStart w:id="617" w:name="_Ref446421925"/>
            <w:bookmarkStart w:id="618" w:name="_Ref447016745"/>
            <w:bookmarkStart w:id="619" w:name="_Toc447122274"/>
            <w:bookmarkStart w:id="620" w:name="_Toc447641389"/>
            <w:bookmarkStart w:id="621" w:name="_Toc460318052"/>
            <w:r w:rsidRPr="000C34C2">
              <w:rPr>
                <w:sz w:val="21"/>
                <w:szCs w:val="21"/>
              </w:rPr>
              <w:t xml:space="preserve">Figure </w:t>
            </w:r>
            <w:r w:rsidR="00CA762C">
              <w:rPr>
                <w:noProof/>
                <w:sz w:val="21"/>
                <w:szCs w:val="21"/>
              </w:rPr>
              <w:t>21</w:t>
            </w:r>
            <w:bookmarkEnd w:id="617"/>
            <w:r w:rsidR="00A6425D">
              <w:rPr>
                <w:sz w:val="21"/>
                <w:szCs w:val="21"/>
              </w:rPr>
              <w:tab/>
            </w:r>
            <w:r w:rsidRPr="000C34C2">
              <w:rPr>
                <w:sz w:val="21"/>
                <w:szCs w:val="21"/>
              </w:rPr>
              <w:t>Resource costs of technology pull policies relative to reference case</w:t>
            </w:r>
            <w:bookmarkEnd w:id="618"/>
            <w:bookmarkEnd w:id="619"/>
            <w:bookmarkEnd w:id="620"/>
            <w:r>
              <w:rPr>
                <w:sz w:val="21"/>
                <w:szCs w:val="21"/>
              </w:rPr>
              <w:t xml:space="preserve">, 2 degrees, </w:t>
            </w:r>
            <w:r w:rsidRPr="00947B69">
              <w:rPr>
                <w:sz w:val="21"/>
                <w:szCs w:val="21"/>
              </w:rPr>
              <w:t>2020–2050</w:t>
            </w:r>
            <w:bookmarkEnd w:id="621"/>
          </w:p>
          <w:p w:rsidR="00813DC2" w:rsidRDefault="00813DC2" w:rsidP="00A2769F">
            <w:pPr>
              <w:pStyle w:val="TableListBullet"/>
              <w:keepNext w:val="0"/>
              <w:keepLines w:val="0"/>
              <w:numPr>
                <w:ilvl w:val="0"/>
                <w:numId w:val="0"/>
              </w:numPr>
              <w:jc w:val="center"/>
              <w:rPr>
                <w:lang w:val="en-GB"/>
              </w:rPr>
            </w:pPr>
            <w:r>
              <w:rPr>
                <w:noProof/>
                <w:lang w:eastAsia="en-AU"/>
              </w:rPr>
              <w:drawing>
                <wp:inline distT="0" distB="0" distL="0" distR="0" wp14:anchorId="1090A7B4" wp14:editId="187E6C70">
                  <wp:extent cx="5457600" cy="233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7600" cy="2332800"/>
                          </a:xfrm>
                          <a:prstGeom prst="rect">
                            <a:avLst/>
                          </a:prstGeom>
                          <a:noFill/>
                          <a:ln>
                            <a:noFill/>
                          </a:ln>
                        </pic:spPr>
                      </pic:pic>
                    </a:graphicData>
                  </a:graphic>
                </wp:inline>
              </w:drawing>
            </w:r>
          </w:p>
          <w:p w:rsidR="00813DC2" w:rsidRPr="0001176C" w:rsidRDefault="00813DC2" w:rsidP="00A2769F">
            <w:pPr>
              <w:pStyle w:val="TableNote"/>
              <w:spacing w:after="160"/>
            </w:pPr>
            <w:r w:rsidRPr="0001176C">
              <w:rPr>
                <w:b/>
              </w:rPr>
              <w:t>Note:</w:t>
            </w:r>
            <w:r w:rsidRPr="0001176C">
              <w:t xml:space="preserve"> Each bar represents the net present value of the change in resource costs relative to the reference case over 2020–2050, adjusted for the reduction in demand due to the increase in electricity prices. This is equivalent to the present value of the welfare costs of the policy relative to the reference case before emissions reduction benefits are considered, discounted at the social discount rate of seven per cent. In the technology sensitivity, CCS, geothermal and nuclear technologies were unavailable and battery storage costs decline faster than in the core scenarios. </w:t>
            </w:r>
            <w:r w:rsidRPr="0001176C">
              <w:br/>
            </w:r>
            <w:r w:rsidRPr="0001176C">
              <w:rPr>
                <w:b/>
              </w:rPr>
              <w:t>Source:</w:t>
            </w:r>
            <w:r w:rsidRPr="0001176C">
              <w:t xml:space="preserve"> </w:t>
            </w:r>
            <w:bookmarkStart w:id="622" w:name="_CTVP00171f758ace6d84e31909e49c171a00e79"/>
            <w:proofErr w:type="gramStart"/>
            <w:r w:rsidR="0059109A">
              <w:t>Jacobs 2016</w:t>
            </w:r>
            <w:proofErr w:type="gramEnd"/>
            <w:r w:rsidR="0059109A">
              <w:t>c</w:t>
            </w:r>
            <w:bookmarkEnd w:id="622"/>
            <w:r w:rsidRPr="0001176C">
              <w:t>.</w:t>
            </w:r>
          </w:p>
          <w:p w:rsidR="00813DC2" w:rsidRPr="00AA6293" w:rsidRDefault="00813DC2" w:rsidP="00A2769F">
            <w:pPr>
              <w:pStyle w:val="TableText"/>
              <w:rPr>
                <w:lang w:val="en-GB"/>
              </w:rPr>
            </w:pPr>
            <w:r w:rsidRPr="00366A21">
              <w:rPr>
                <w:lang w:val="en-GB"/>
              </w:rPr>
              <w:t>Technology pull policies with fixed targets are less flexible to changing market conditions, which could affect the robustness of the policy. For instance, a low emissions target or RET may have generation targets fixed for more than a decade in advance. This means the policies could have quite different impacts on the electricity market if, say</w:t>
            </w:r>
            <w:proofErr w:type="gramStart"/>
            <w:r w:rsidRPr="00366A21">
              <w:rPr>
                <w:lang w:val="en-GB"/>
              </w:rPr>
              <w:t>,</w:t>
            </w:r>
            <w:proofErr w:type="gramEnd"/>
            <w:r w:rsidRPr="00366A21">
              <w:rPr>
                <w:lang w:val="en-GB"/>
              </w:rPr>
              <w:t xml:space="preserve"> electricity demand is very different to expectations. These policies could incorporate</w:t>
            </w:r>
            <w:r w:rsidR="005C6DED">
              <w:rPr>
                <w:lang w:val="en-GB"/>
              </w:rPr>
              <w:t xml:space="preserve"> more flexibility though medium</w:t>
            </w:r>
            <w:r w:rsidR="005C6DED">
              <w:rPr>
                <w:lang w:val="en-GB"/>
              </w:rPr>
              <w:noBreakHyphen/>
            </w:r>
            <w:r w:rsidRPr="00366A21">
              <w:rPr>
                <w:lang w:val="en-GB"/>
              </w:rPr>
              <w:t>term target ‘gateways’: that is, near</w:t>
            </w:r>
            <w:r w:rsidRPr="00366A21">
              <w:rPr>
                <w:lang w:val="en-GB"/>
              </w:rPr>
              <w:softHyphen/>
            </w:r>
            <w:r w:rsidRPr="00366A21">
              <w:rPr>
                <w:lang w:val="en-GB"/>
              </w:rPr>
              <w:noBreakHyphen/>
              <w:t>term targets could be fixed, but medium</w:t>
            </w:r>
            <w:r w:rsidRPr="00366A21">
              <w:rPr>
                <w:lang w:val="en-GB"/>
              </w:rPr>
              <w:noBreakHyphen/>
              <w:t>term targets would be initially set as ranges. As the amount of generation purchased through auctions could alter ann</w:t>
            </w:r>
            <w:r w:rsidRPr="00AA6293">
              <w:rPr>
                <w:lang w:val="en-GB"/>
              </w:rPr>
              <w:t xml:space="preserve">ually without affecting contracts already signed, contracts for difference have flexibility to adjust to changing market conditions. </w:t>
            </w:r>
          </w:p>
          <w:p w:rsidR="00813DC2" w:rsidRPr="00FC752C" w:rsidRDefault="00813DC2" w:rsidP="006E0EAC">
            <w:pPr>
              <w:pStyle w:val="TableText"/>
              <w:rPr>
                <w:lang w:val="en-GB"/>
              </w:rPr>
            </w:pPr>
            <w:r>
              <w:rPr>
                <w:lang w:val="en-GB"/>
              </w:rPr>
              <w:t xml:space="preserve">The ACT Government has implemented contracts for difference alongside the Commonwealth RET, and </w:t>
            </w:r>
            <w:r>
              <w:t>the Queensland Government plans to fund large-scale solar proj</w:t>
            </w:r>
            <w:r w:rsidR="005F4A8D">
              <w:t>ects using a similar mechanism</w:t>
            </w:r>
            <w:r w:rsidR="006E0EAC">
              <w:t xml:space="preserve"> </w:t>
            </w:r>
            <w:bookmarkStart w:id="623" w:name="_CTVP00171efc5d66dff45239fcab94260368209"/>
            <w:r w:rsidR="0059109A">
              <w:t>(Government of the ACT 2011; Department of Energy and Water Supply 2015)</w:t>
            </w:r>
            <w:bookmarkEnd w:id="623"/>
            <w:r>
              <w:rPr>
                <w:lang w:val="en-GB"/>
              </w:rPr>
              <w:t>. The Victorian Government is currently considering a similar approach. Successful generators sign long</w:t>
            </w:r>
            <w:r>
              <w:rPr>
                <w:lang w:val="en-GB"/>
              </w:rPr>
              <w:noBreakHyphen/>
              <w:t>run contracts with the government; having the government as counterparty may reduce the weighted average cost of capital for investments made under the policy, and therefore costs to electricity consumers.</w:t>
            </w:r>
          </w:p>
        </w:tc>
      </w:tr>
    </w:tbl>
    <w:p w:rsidR="00104931" w:rsidRDefault="00104931" w:rsidP="000D7979"/>
    <w:p w:rsidR="0016704A" w:rsidRPr="00FA13AF" w:rsidRDefault="0016704A" w:rsidP="0016704A">
      <w:pPr>
        <w:pStyle w:val="ChapterHeading3"/>
        <w:numPr>
          <w:ilvl w:val="2"/>
          <w:numId w:val="15"/>
        </w:numPr>
      </w:pPr>
      <w:bookmarkStart w:id="624" w:name="_Ref447098384"/>
      <w:bookmarkStart w:id="625" w:name="_Toc447182457"/>
      <w:bookmarkStart w:id="626" w:name="_Toc447183302"/>
      <w:bookmarkStart w:id="627" w:name="_Toc447183376"/>
      <w:bookmarkStart w:id="628" w:name="_Toc447183414"/>
      <w:bookmarkStart w:id="629" w:name="_Toc447183502"/>
      <w:bookmarkStart w:id="630" w:name="_Toc447183561"/>
      <w:bookmarkStart w:id="631" w:name="_Toc447268034"/>
      <w:bookmarkStart w:id="632" w:name="_Toc448132710"/>
      <w:bookmarkStart w:id="633" w:name="_Toc448151770"/>
      <w:bookmarkStart w:id="634" w:name="_Toc448151838"/>
      <w:bookmarkStart w:id="635" w:name="_Toc460318008"/>
      <w:bookmarkEnd w:id="591"/>
      <w:bookmarkEnd w:id="592"/>
      <w:r>
        <w:lastRenderedPageBreak/>
        <w:t>Emissions standards for new generators</w:t>
      </w:r>
      <w:bookmarkEnd w:id="624"/>
      <w:bookmarkEnd w:id="625"/>
      <w:bookmarkEnd w:id="626"/>
      <w:bookmarkEnd w:id="627"/>
      <w:bookmarkEnd w:id="628"/>
      <w:bookmarkEnd w:id="629"/>
      <w:bookmarkEnd w:id="630"/>
      <w:bookmarkEnd w:id="631"/>
      <w:bookmarkEnd w:id="632"/>
      <w:bookmarkEnd w:id="633"/>
      <w:bookmarkEnd w:id="634"/>
      <w:bookmarkEnd w:id="635"/>
      <w:r>
        <w:t xml:space="preserve"> </w:t>
      </w:r>
    </w:p>
    <w:p w:rsidR="00DF0192" w:rsidRDefault="00DF0192" w:rsidP="00DF0192">
      <w:pPr>
        <w:pStyle w:val="BodyText"/>
      </w:pPr>
      <w:r>
        <w:t>There may be merit in considering a technology</w:t>
      </w:r>
      <w:r>
        <w:noBreakHyphen/>
        <w:t xml:space="preserve">neutral emissions standard for new generators alongside a </w:t>
      </w:r>
      <w:r w:rsidR="005F4DA2">
        <w:t>market mechanism</w:t>
      </w:r>
      <w:r>
        <w:t xml:space="preserve"> to </w:t>
      </w:r>
      <w:r w:rsidR="00A8063E">
        <w:t>help facilitate</w:t>
      </w:r>
      <w:r>
        <w:t xml:space="preserve"> new invest</w:t>
      </w:r>
      <w:r w:rsidR="0096697A">
        <w:t>ments</w:t>
      </w:r>
      <w:r>
        <w:t xml:space="preserve"> in the sector. While a </w:t>
      </w:r>
      <w:r w:rsidR="005F4DA2">
        <w:t>market mechanism</w:t>
      </w:r>
      <w:r w:rsidR="005C6F93">
        <w:t xml:space="preserve"> can encourage new low</w:t>
      </w:r>
      <w:r w:rsidR="005C6F93">
        <w:noBreakHyphen/>
      </w:r>
      <w:r>
        <w:t xml:space="preserve">emissions investment, a standard </w:t>
      </w:r>
      <w:r w:rsidR="000F0AF9">
        <w:t>implemented alongside</w:t>
      </w:r>
      <w:r w:rsidR="00C35D25">
        <w:t xml:space="preserve"> </w:t>
      </w:r>
      <w:r w:rsidR="00A64960">
        <w:t>it</w:t>
      </w:r>
      <w:r w:rsidR="00C35D25">
        <w:t xml:space="preserve"> </w:t>
      </w:r>
      <w:r>
        <w:t xml:space="preserve">may help increase confidence </w:t>
      </w:r>
      <w:r w:rsidRPr="00245ACA">
        <w:t>and reduc</w:t>
      </w:r>
      <w:r>
        <w:t xml:space="preserve">e </w:t>
      </w:r>
      <w:r w:rsidRPr="00245ACA">
        <w:t xml:space="preserve">risk (and potentially </w:t>
      </w:r>
      <w:r w:rsidR="000F0AF9">
        <w:t xml:space="preserve">reduce </w:t>
      </w:r>
      <w:r w:rsidRPr="00245ACA">
        <w:t>capital costs) to investors</w:t>
      </w:r>
      <w:r w:rsidR="00475D69">
        <w:t>,</w:t>
      </w:r>
      <w:r w:rsidRPr="00245ACA">
        <w:t xml:space="preserve"> </w:t>
      </w:r>
      <w:r>
        <w:t>with minimal extra regulatory burden</w:t>
      </w:r>
      <w:r w:rsidRPr="00245ACA">
        <w:t xml:space="preserve">, even if no investment in new </w:t>
      </w:r>
      <w:r>
        <w:t>high</w:t>
      </w:r>
      <w:r w:rsidR="00937279">
        <w:noBreakHyphen/>
      </w:r>
      <w:r w:rsidRPr="00245ACA">
        <w:t>emissions plants were planned</w:t>
      </w:r>
      <w:r>
        <w:t>.</w:t>
      </w:r>
      <w:r w:rsidR="009837B6">
        <w:rPr>
          <w:rStyle w:val="FootnoteReference"/>
        </w:rPr>
        <w:footnoteReference w:id="14"/>
      </w:r>
      <w:r>
        <w:t xml:space="preserve"> This may support long </w:t>
      </w:r>
      <w:r w:rsidR="006F129B">
        <w:t>term, capital heavy, low</w:t>
      </w:r>
      <w:r w:rsidR="006F129B">
        <w:noBreakHyphen/>
      </w:r>
      <w:r>
        <w:t>emissions investments made over the 2020s.</w:t>
      </w:r>
    </w:p>
    <w:p w:rsidR="00DF0192" w:rsidRDefault="00DF0192" w:rsidP="00DF0192">
      <w:pPr>
        <w:pStyle w:val="BodyText"/>
      </w:pPr>
      <w:r>
        <w:t>Standards for new generators have been implemented in several countries. Canada has an emissions standard for new and existing coal-fired generation, which effectively means no new coal could be built without CCS (</w:t>
      </w:r>
      <w:r w:rsidR="00BC2270">
        <w:t xml:space="preserve">Climate Change Authority based on </w:t>
      </w:r>
      <w:bookmarkStart w:id="636" w:name="_CTVP001d271c8ba7f584ccdbffcc2dde123a3a9"/>
      <w:r w:rsidR="0059109A">
        <w:t>Government of Canada 2015</w:t>
      </w:r>
      <w:bookmarkEnd w:id="636"/>
      <w:r>
        <w:t>). The United States has emissions standards for both new coal and baseload gas-fired generation—effectively permitting only coal-fired generators with CCS and efficient combined-cycle gas plants as baseload gas</w:t>
      </w:r>
      <w:r w:rsidR="00E0246B">
        <w:t xml:space="preserve"> </w:t>
      </w:r>
      <w:bookmarkStart w:id="637" w:name="_CTVP0013844752bfb8d484e9890e9eed278c1e7"/>
      <w:r w:rsidR="0059109A">
        <w:t>(Climate Change Authority based on US EPA 2015)</w:t>
      </w:r>
      <w:bookmarkEnd w:id="637"/>
      <w:r>
        <w:t>.</w:t>
      </w:r>
      <w:r>
        <w:rPr>
          <w:rStyle w:val="FootnoteReference"/>
        </w:rPr>
        <w:footnoteReference w:id="15"/>
      </w:r>
      <w:r>
        <w:t xml:space="preserve"> Recently, the International Energy Agency identified ‘p</w:t>
      </w:r>
      <w:r w:rsidRPr="001A745A">
        <w:t>rogressively reducing the use of the least-efficient coal-fired power generating plants</w:t>
      </w:r>
      <w:r>
        <w:t xml:space="preserve"> </w:t>
      </w:r>
      <w:r w:rsidRPr="001A745A">
        <w:t>and banning the construction of new ones</w:t>
      </w:r>
      <w:r>
        <w:t xml:space="preserve">’ as one of five energy sector actions that could help move global emissions from their current trajectory to one consistent with limiting warming to two degrees </w:t>
      </w:r>
      <w:bookmarkStart w:id="638" w:name="_CTVP0014724da2620344c6bb79fb6a8e012fc83"/>
      <w:r w:rsidR="00B053FC">
        <w:t>(IEA 2015b, pp. 68–69)</w:t>
      </w:r>
      <w:bookmarkEnd w:id="638"/>
      <w:r>
        <w:t>.</w:t>
      </w:r>
      <w:r>
        <w:rPr>
          <w:rStyle w:val="FootnoteReference"/>
        </w:rPr>
        <w:footnoteReference w:id="16"/>
      </w:r>
    </w:p>
    <w:p w:rsidR="00DF0192" w:rsidRDefault="00DF0192" w:rsidP="00DF0192">
      <w:pPr>
        <w:pStyle w:val="BodyText"/>
      </w:pPr>
      <w:r>
        <w:t>Standards can be difficult to set and adjust as technologies change. Even if a standard were technology-neutral</w:t>
      </w:r>
      <w:r w:rsidR="000F0AF9">
        <w:t xml:space="preserve"> (by for example referring to a given level of emissions intensity)</w:t>
      </w:r>
      <w:r>
        <w:t>, setting it requires consideration of the costs and benefits of setting it at different levels. The costs are a function of the expected costs of generation technologies; if these do not proceed as expected, the costs of the standard will be higher or lower than intended.</w:t>
      </w:r>
    </w:p>
    <w:p w:rsidR="00DF0192" w:rsidRDefault="00DF0192" w:rsidP="00DF0192">
      <w:pPr>
        <w:pStyle w:val="BodyText"/>
      </w:pPr>
      <w:r>
        <w:t xml:space="preserve">In addition, the level of any standard and its interactions with other electricity policies would require careful consideration. As discussed in Section </w:t>
      </w:r>
      <w:r w:rsidR="00CA762C">
        <w:t>5.1</w:t>
      </w:r>
      <w:r>
        <w:t xml:space="preserve">, a standard could simply reinforce outcomes driven by </w:t>
      </w:r>
      <w:r w:rsidR="005F4DA2">
        <w:t>a market mechanism</w:t>
      </w:r>
      <w:r>
        <w:t xml:space="preserve">, rather than change the outcome, but could still provide benefits if it increased confidence and helped ‘de-risk’ low-emissions investments. If the standard were set at a level that affected the choice of new plant, some relevant considerations would be: </w:t>
      </w:r>
    </w:p>
    <w:p w:rsidR="00DF0192" w:rsidRDefault="00DF0192" w:rsidP="00DF0192">
      <w:pPr>
        <w:pStyle w:val="ListBullet"/>
      </w:pPr>
      <w:r>
        <w:t>If a standard were set at a level that discouraged gas peaking generation, it would discourage gas plants that are used infrequently but valuable to the reliability of the electricity system as a whole.</w:t>
      </w:r>
    </w:p>
    <w:p w:rsidR="00DF0192" w:rsidRDefault="00DF0192" w:rsidP="00DF0192">
      <w:pPr>
        <w:pStyle w:val="ListBullet"/>
      </w:pPr>
      <w:r>
        <w:t>In some cases the standard might risk extending the life or encouraging e</w:t>
      </w:r>
      <w:r w:rsidR="00992C15">
        <w:t>xpansions of existing emissions</w:t>
      </w:r>
      <w:r w:rsidR="00992C15">
        <w:noBreakHyphen/>
      </w:r>
      <w:r>
        <w:t>intensive generators (for example, if new highly efficient but still emissions</w:t>
      </w:r>
      <w:r>
        <w:noBreakHyphen/>
        <w:t xml:space="preserve">intensive plant were prohibited by the standard). </w:t>
      </w:r>
    </w:p>
    <w:p w:rsidR="00DF0192" w:rsidRDefault="00CA762C" w:rsidP="00DF0192">
      <w:pPr>
        <w:pStyle w:val="BodyText"/>
      </w:pPr>
      <w:r>
        <w:t xml:space="preserve">Figure </w:t>
      </w:r>
      <w:r>
        <w:rPr>
          <w:noProof/>
        </w:rPr>
        <w:t>22</w:t>
      </w:r>
      <w:r w:rsidR="00DF0192">
        <w:t xml:space="preserve"> illustrates the emissions intensity of different fossil fuel technologies which would be affected by existing US and Canadian standards.</w:t>
      </w:r>
    </w:p>
    <w:p w:rsidR="00DF0192" w:rsidRDefault="00DF0192" w:rsidP="00DF0192">
      <w:pPr>
        <w:pStyle w:val="Caption"/>
      </w:pPr>
      <w:bookmarkStart w:id="639" w:name="_Ref443919808"/>
      <w:bookmarkStart w:id="640" w:name="_Toc444610076"/>
      <w:bookmarkStart w:id="641" w:name="_Toc447122275"/>
      <w:bookmarkStart w:id="642" w:name="_Toc447641390"/>
      <w:bookmarkStart w:id="643" w:name="_Toc460318053"/>
      <w:r>
        <w:lastRenderedPageBreak/>
        <w:t xml:space="preserve">Figure </w:t>
      </w:r>
      <w:r w:rsidR="00CA762C">
        <w:rPr>
          <w:noProof/>
        </w:rPr>
        <w:t>22</w:t>
      </w:r>
      <w:bookmarkEnd w:id="639"/>
      <w:r w:rsidR="00A6425D">
        <w:tab/>
      </w:r>
      <w:r>
        <w:t xml:space="preserve">Average emissions intensity of </w:t>
      </w:r>
      <w:bookmarkEnd w:id="640"/>
      <w:bookmarkEnd w:id="641"/>
      <w:r>
        <w:t>new generators</w:t>
      </w:r>
      <w:bookmarkEnd w:id="642"/>
      <w:r>
        <w:t>, by type</w:t>
      </w:r>
      <w:bookmarkEnd w:id="643"/>
    </w:p>
    <w:p w:rsidR="00DF0192" w:rsidRDefault="00DF0192" w:rsidP="00DF0192">
      <w:pPr>
        <w:pStyle w:val="BodyText"/>
      </w:pPr>
      <w:r w:rsidRPr="00366A21">
        <w:t xml:space="preserve"> </w:t>
      </w:r>
      <w:r w:rsidRPr="00BA456A">
        <w:rPr>
          <w:noProof/>
          <w:lang w:eastAsia="en-AU"/>
        </w:rPr>
        <w:drawing>
          <wp:inline distT="0" distB="0" distL="0" distR="0" wp14:anchorId="4512BDD2" wp14:editId="7B08FB2A">
            <wp:extent cx="6515100" cy="369243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1047" cy="3690139"/>
                    </a:xfrm>
                    <a:prstGeom prst="rect">
                      <a:avLst/>
                    </a:prstGeom>
                    <a:noFill/>
                    <a:ln>
                      <a:noFill/>
                    </a:ln>
                  </pic:spPr>
                </pic:pic>
              </a:graphicData>
            </a:graphic>
          </wp:inline>
        </w:drawing>
      </w:r>
    </w:p>
    <w:p w:rsidR="00DF0192" w:rsidRDefault="00DF0192" w:rsidP="00DF0192">
      <w:pPr>
        <w:pStyle w:val="TableNote"/>
      </w:pPr>
      <w:r w:rsidRPr="00C84661">
        <w:rPr>
          <w:b/>
        </w:rPr>
        <w:t xml:space="preserve">Note: </w:t>
      </w:r>
      <w:r>
        <w:t xml:space="preserve">Emissions intensity is </w:t>
      </w:r>
      <w:r w:rsidR="005C6DED">
        <w:t xml:space="preserve">calculated based on </w:t>
      </w:r>
      <w:r>
        <w:t>direct emissions from combustion of fuels in electricity generation. Emissions intensities</w:t>
      </w:r>
      <w:r w:rsidR="005C6DED">
        <w:t xml:space="preserve"> are</w:t>
      </w:r>
      <w:r>
        <w:t xml:space="preserve"> based on new plant; existing plants may have higher emissions intensities.</w:t>
      </w:r>
      <w:r w:rsidR="0095731C">
        <w:br/>
      </w:r>
      <w:r>
        <w:rPr>
          <w:b/>
        </w:rPr>
        <w:t>S</w:t>
      </w:r>
      <w:r w:rsidRPr="00DA4E62">
        <w:rPr>
          <w:b/>
        </w:rPr>
        <w:t>ource:</w:t>
      </w:r>
      <w:r>
        <w:t xml:space="preserve"> Climate Change Authority based on</w:t>
      </w:r>
      <w:r w:rsidR="00B933A5">
        <w:t xml:space="preserve"> </w:t>
      </w:r>
      <w:bookmarkStart w:id="644" w:name="_CTVP001857ece2d5fe144fdb0d792cad2f86dd4"/>
      <w:r w:rsidR="0059109A">
        <w:t>Government of Canada 2015</w:t>
      </w:r>
      <w:bookmarkEnd w:id="644"/>
      <w:r w:rsidR="00B933A5">
        <w:t xml:space="preserve">; </w:t>
      </w:r>
      <w:bookmarkStart w:id="645" w:name="_CTVP001706b21430fa14ee98711147ef55855ae"/>
      <w:r w:rsidR="0059109A">
        <w:t>US EPA 2015; APGT 2015</w:t>
      </w:r>
      <w:bookmarkEnd w:id="645"/>
      <w:r w:rsidR="00B933A5">
        <w:t>.</w:t>
      </w:r>
    </w:p>
    <w:p w:rsidR="00DF0192" w:rsidRDefault="00DF0192" w:rsidP="00DF0192">
      <w:pPr>
        <w:pStyle w:val="BodyText"/>
      </w:pPr>
      <w:r>
        <w:t>In the Australian context, emissions standards for new generators have been considered by both Commonwealth and state governme</w:t>
      </w:r>
      <w:r w:rsidR="00D479D2">
        <w:t>nts:</w:t>
      </w:r>
    </w:p>
    <w:p w:rsidR="00DF0192" w:rsidRDefault="00DF0192" w:rsidP="00DF0192">
      <w:pPr>
        <w:pStyle w:val="ListBullet"/>
      </w:pPr>
      <w:r>
        <w:t>Requirements that new coal</w:t>
      </w:r>
      <w:r>
        <w:noBreakHyphen/>
        <w:t>fired plants must be CCS</w:t>
      </w:r>
      <w:r>
        <w:noBreakHyphen/>
        <w:t xml:space="preserve">ready and be retrofitted after CCS became economically and technically viable were adopted and subsequently </w:t>
      </w:r>
      <w:r w:rsidR="009837B6">
        <w:t>set aside</w:t>
      </w:r>
      <w:r>
        <w:t xml:space="preserve"> by the Queensland and Western Australian governments </w:t>
      </w:r>
      <w:bookmarkStart w:id="646" w:name="_CTVP001d6524b52a5fb4bcd8737926abfd411fc"/>
      <w:r w:rsidR="0059109A">
        <w:t>(DRET 2010; Department of Parliamentary Services 2011)</w:t>
      </w:r>
      <w:bookmarkEnd w:id="646"/>
      <w:r>
        <w:t xml:space="preserve">. </w:t>
      </w:r>
    </w:p>
    <w:p w:rsidR="00DF0192" w:rsidRDefault="00DF0192" w:rsidP="00DF0192">
      <w:pPr>
        <w:pStyle w:val="ListBullet"/>
      </w:pPr>
      <w:r>
        <w:t>Plant</w:t>
      </w:r>
      <w:r>
        <w:noBreakHyphen/>
        <w:t xml:space="preserve">specific voluntary emissions standards were implemented and </w:t>
      </w:r>
      <w:r w:rsidR="009837B6">
        <w:t xml:space="preserve">set aside </w:t>
      </w:r>
      <w:r>
        <w:t xml:space="preserve">by the Commonwealth </w:t>
      </w:r>
      <w:r w:rsidR="00D479D2">
        <w:t>G</w:t>
      </w:r>
      <w:r>
        <w:t xml:space="preserve">overnment </w:t>
      </w:r>
      <w:bookmarkStart w:id="647" w:name="_CTVP001aac793b70d674346963524d63f1a9cc2"/>
      <w:r w:rsidR="0059109A">
        <w:t>(Australian Greenhouse Office 2000, 2006)</w:t>
      </w:r>
      <w:bookmarkEnd w:id="647"/>
      <w:r>
        <w:t>.</w:t>
      </w:r>
    </w:p>
    <w:p w:rsidR="00DF0192" w:rsidRDefault="00DF0192" w:rsidP="00DF0192">
      <w:pPr>
        <w:pStyle w:val="ListBullet"/>
      </w:pPr>
      <w:r>
        <w:t xml:space="preserve">Technology neutral emissions standards were considered by the Commonwealth and South Australian governments and </w:t>
      </w:r>
      <w:proofErr w:type="gramStart"/>
      <w:r>
        <w:t>a coal-specific emissions</w:t>
      </w:r>
      <w:proofErr w:type="gramEnd"/>
      <w:r>
        <w:t xml:space="preserve"> standard was considered by Victoria, but none of these were implemented </w:t>
      </w:r>
      <w:bookmarkStart w:id="648" w:name="_CTVP001eff229b8dcfe46a39df85538da73a59b"/>
      <w:r w:rsidR="0059109A">
        <w:t>(</w:t>
      </w:r>
      <w:proofErr w:type="spellStart"/>
      <w:r w:rsidR="0059109A">
        <w:t>RenewablesSA</w:t>
      </w:r>
      <w:proofErr w:type="spellEnd"/>
      <w:r w:rsidR="0059109A">
        <w:t> 2010; DRET 2010; Department of Parliamentary Services 2011)</w:t>
      </w:r>
      <w:bookmarkEnd w:id="648"/>
      <w:r>
        <w:t>.</w:t>
      </w:r>
    </w:p>
    <w:p w:rsidR="00BA455B" w:rsidRDefault="00DF0192" w:rsidP="00DF0192">
      <w:pPr>
        <w:pStyle w:val="BodyText"/>
        <w:sectPr w:rsidR="00BA455B" w:rsidSect="00457050">
          <w:footerReference w:type="default" r:id="rId48"/>
          <w:type w:val="continuous"/>
          <w:pgSz w:w="11907" w:h="16839" w:code="9"/>
          <w:pgMar w:top="1134" w:right="1134" w:bottom="1134" w:left="1134" w:header="720" w:footer="720" w:gutter="0"/>
          <w:cols w:space="720"/>
          <w:docGrid w:linePitch="360"/>
        </w:sectPr>
      </w:pPr>
      <w:r>
        <w:t>Several stakeholders, including AGL Energy, noted their support for an emissions intensity standard for new generators in their submissions to Report</w:t>
      </w:r>
      <w:r w:rsidR="00992C15">
        <w:t xml:space="preserve"> Two of the Special Review (</w:t>
      </w:r>
      <w:r>
        <w:t>Report Two submission, p. 3).</w:t>
      </w:r>
    </w:p>
    <w:p w:rsidR="0064778B" w:rsidRPr="00852C10" w:rsidRDefault="0064778B" w:rsidP="003345E9">
      <w:pPr>
        <w:pStyle w:val="AppendixHeading1"/>
      </w:pPr>
      <w:bookmarkStart w:id="649" w:name="_Toc457552089"/>
      <w:bookmarkStart w:id="650" w:name="_Toc459218539"/>
      <w:bookmarkStart w:id="651" w:name="_Toc457552091"/>
      <w:bookmarkStart w:id="652" w:name="_Toc459218541"/>
      <w:bookmarkStart w:id="653" w:name="_Toc457552092"/>
      <w:bookmarkStart w:id="654" w:name="_Toc459218542"/>
      <w:bookmarkStart w:id="655" w:name="_Toc435782945"/>
      <w:bookmarkStart w:id="656" w:name="_Toc436643893"/>
      <w:bookmarkStart w:id="657" w:name="_Toc436644188"/>
      <w:bookmarkStart w:id="658" w:name="_Ref446484884"/>
      <w:bookmarkStart w:id="659" w:name="_Toc448132712"/>
      <w:bookmarkStart w:id="660" w:name="_Toc448151772"/>
      <w:bookmarkStart w:id="661" w:name="_Toc448151840"/>
      <w:bookmarkStart w:id="662" w:name="_Ref448935515"/>
      <w:bookmarkStart w:id="663" w:name="_Toc460318009"/>
      <w:bookmarkEnd w:id="649"/>
      <w:bookmarkEnd w:id="650"/>
      <w:bookmarkEnd w:id="651"/>
      <w:bookmarkEnd w:id="652"/>
      <w:bookmarkEnd w:id="653"/>
      <w:bookmarkEnd w:id="654"/>
      <w:r w:rsidRPr="00852C10">
        <w:lastRenderedPageBreak/>
        <w:t>T</w:t>
      </w:r>
      <w:r>
        <w:t>erms of reference</w:t>
      </w:r>
      <w:bookmarkEnd w:id="655"/>
      <w:bookmarkEnd w:id="656"/>
      <w:bookmarkEnd w:id="657"/>
      <w:bookmarkEnd w:id="658"/>
      <w:bookmarkEnd w:id="659"/>
      <w:bookmarkEnd w:id="660"/>
      <w:bookmarkEnd w:id="661"/>
      <w:bookmarkEnd w:id="662"/>
      <w:bookmarkEnd w:id="663"/>
    </w:p>
    <w:p w:rsidR="0064778B" w:rsidRDefault="0064778B" w:rsidP="0064778B">
      <w:pPr>
        <w:pStyle w:val="BodyText"/>
        <w:rPr>
          <w:lang w:val="en-GB" w:eastAsia="en-AU"/>
        </w:rPr>
        <w:sectPr w:rsidR="0064778B" w:rsidSect="00BA455B">
          <w:footerReference w:type="default" r:id="rId49"/>
          <w:pgSz w:w="11907" w:h="16839" w:code="9"/>
          <w:pgMar w:top="1134" w:right="1134" w:bottom="1134" w:left="1134" w:header="720" w:footer="720" w:gutter="0"/>
          <w:cols w:space="720"/>
          <w:docGrid w:linePitch="360"/>
        </w:sectPr>
      </w:pPr>
      <w:r w:rsidRPr="00F412A0">
        <w:rPr>
          <w:noProof/>
          <w:lang w:eastAsia="en-AU"/>
        </w:rPr>
        <w:drawing>
          <wp:inline distT="0" distB="0" distL="0" distR="0" wp14:anchorId="2298628F" wp14:editId="4B09DBCB">
            <wp:extent cx="5421600" cy="7484400"/>
            <wp:effectExtent l="0" t="0" r="825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9232" t="6931" r="5723" b="4894"/>
                    <a:stretch/>
                  </pic:blipFill>
                  <pic:spPr bwMode="auto">
                    <a:xfrm>
                      <a:off x="0" y="0"/>
                      <a:ext cx="5421600" cy="7484400"/>
                    </a:xfrm>
                    <a:prstGeom prst="rect">
                      <a:avLst/>
                    </a:prstGeom>
                    <a:ln>
                      <a:noFill/>
                    </a:ln>
                    <a:extLst>
                      <a:ext uri="{53640926-AAD7-44D8-BBD7-CCE9431645EC}">
                        <a14:shadowObscured xmlns:a14="http://schemas.microsoft.com/office/drawing/2010/main"/>
                      </a:ext>
                    </a:extLst>
                  </pic:spPr>
                </pic:pic>
              </a:graphicData>
            </a:graphic>
          </wp:inline>
        </w:drawing>
      </w:r>
    </w:p>
    <w:p w:rsidR="00FC3BF3" w:rsidRPr="00CD564D" w:rsidRDefault="00FC3BF3" w:rsidP="00FC3BF3">
      <w:pPr>
        <w:pStyle w:val="AppendixHeading1"/>
        <w:numPr>
          <w:ilvl w:val="0"/>
          <w:numId w:val="41"/>
        </w:numPr>
        <w:ind w:left="2835" w:hanging="2835"/>
      </w:pPr>
      <w:bookmarkStart w:id="664" w:name="_Ref444608648"/>
      <w:bookmarkStart w:id="665" w:name="_Toc447099925"/>
      <w:bookmarkStart w:id="666" w:name="_Toc447641365"/>
      <w:bookmarkStart w:id="667" w:name="_Toc460318010"/>
      <w:r w:rsidRPr="00CD564D">
        <w:lastRenderedPageBreak/>
        <w:t>Framework for evaluati</w:t>
      </w:r>
      <w:r>
        <w:t>ng</w:t>
      </w:r>
      <w:r w:rsidRPr="00CD564D">
        <w:t xml:space="preserve"> electricity sector policies</w:t>
      </w:r>
      <w:bookmarkEnd w:id="664"/>
      <w:bookmarkEnd w:id="665"/>
      <w:bookmarkEnd w:id="666"/>
      <w:bookmarkEnd w:id="667"/>
    </w:p>
    <w:p w:rsidR="005546FD" w:rsidRDefault="00FC3BF3" w:rsidP="005546FD">
      <w:r>
        <w:t xml:space="preserve">In Report Two of the Special Review the Authority sought feedback on an evaluation framework to compare and assess emissions reduction policy options. That framework is based on the principles set out in the </w:t>
      </w:r>
      <w:r w:rsidRPr="00A55EE6">
        <w:rPr>
          <w:rStyle w:val="Textitalic"/>
        </w:rPr>
        <w:t>Climate Change Authority Act 2011</w:t>
      </w:r>
      <w:r>
        <w:t xml:space="preserve"> </w:t>
      </w:r>
      <w:r w:rsidR="00E96612">
        <w:t>(</w:t>
      </w:r>
      <w:proofErr w:type="spellStart"/>
      <w:r w:rsidR="00E96612">
        <w:t>Cth</w:t>
      </w:r>
      <w:proofErr w:type="spellEnd"/>
      <w:r w:rsidR="00E96612">
        <w:t xml:space="preserve">) </w:t>
      </w:r>
      <w:r>
        <w:t>and comprises the three key principles of cost</w:t>
      </w:r>
      <w:r w:rsidR="00CF02AB">
        <w:t xml:space="preserve"> </w:t>
      </w:r>
      <w:r>
        <w:t xml:space="preserve">effectiveness, environmental effectiveness and equity. </w:t>
      </w:r>
    </w:p>
    <w:p w:rsidR="00FC3BF3" w:rsidRDefault="00FC3BF3" w:rsidP="005546FD">
      <w:r>
        <w:t>The aspects of cost</w:t>
      </w:r>
      <w:r w:rsidR="00CF02AB">
        <w:t xml:space="preserve"> </w:t>
      </w:r>
      <w:r>
        <w:t>effectiveness, environmental effectiveness and equity the Authority considers particularly relevant to assessing electricity sector policy are:</w:t>
      </w:r>
    </w:p>
    <w:p w:rsidR="00FC3BF3" w:rsidRDefault="00FC3BF3" w:rsidP="00FC3BF3">
      <w:pPr>
        <w:pStyle w:val="ListBullet"/>
      </w:pPr>
      <w:r>
        <w:t>Cost effectiveness—flexibility</w:t>
      </w:r>
    </w:p>
    <w:p w:rsidR="00FC3BF3" w:rsidRDefault="00FC3BF3" w:rsidP="00FC3BF3">
      <w:pPr>
        <w:pStyle w:val="ListBullet2"/>
      </w:pPr>
      <w:r>
        <w:t>Can the policy be designed to use international units and/or domestic offsets for compliance purposes?</w:t>
      </w:r>
    </w:p>
    <w:p w:rsidR="00FC3BF3" w:rsidRDefault="00FC3BF3" w:rsidP="00FC3BF3">
      <w:pPr>
        <w:pStyle w:val="ListBullet2"/>
      </w:pPr>
      <w:r>
        <w:t>Can the policy be ‘fully linked’ with an emissions trading or other scheme internationally (that is, could units in either policy be surrendered in either scheme)?</w:t>
      </w:r>
    </w:p>
    <w:p w:rsidR="00FC3BF3" w:rsidRDefault="00FC3BF3" w:rsidP="00FC3BF3">
      <w:pPr>
        <w:pStyle w:val="ListBullet2"/>
      </w:pPr>
      <w:r>
        <w:t>Can it be scaled—adjusted up or down for the desired level of emissions reductions?</w:t>
      </w:r>
    </w:p>
    <w:p w:rsidR="00FC3BF3" w:rsidRDefault="00FC3BF3" w:rsidP="00FC3BF3">
      <w:pPr>
        <w:pStyle w:val="ListBullet2"/>
      </w:pPr>
      <w:r>
        <w:t>Can it cover sectors other than electricity if desired?</w:t>
      </w:r>
    </w:p>
    <w:p w:rsidR="00FC3BF3" w:rsidRDefault="00FC3BF3" w:rsidP="00E40CCE">
      <w:pPr>
        <w:pStyle w:val="ListBullet2"/>
      </w:pPr>
      <w:r>
        <w:t xml:space="preserve">Can it adjust to unexpected external changes, for example in technology availability or cost or electricity demand? </w:t>
      </w:r>
    </w:p>
    <w:p w:rsidR="00FC3BF3" w:rsidRDefault="00FC3BF3" w:rsidP="00FC3BF3">
      <w:pPr>
        <w:pStyle w:val="ListBullet"/>
      </w:pPr>
      <w:r>
        <w:t>Cost effectiveness—efficiency and administration</w:t>
      </w:r>
    </w:p>
    <w:p w:rsidR="00FC3BF3" w:rsidRDefault="00FC3BF3" w:rsidP="00FC3BF3">
      <w:pPr>
        <w:pStyle w:val="ListBullet2"/>
      </w:pPr>
      <w:r>
        <w:t xml:space="preserve">What is the cost of the policy to the community as a whole, overall and per unit of emissions reduced? </w:t>
      </w:r>
    </w:p>
    <w:p w:rsidR="00FC3BF3" w:rsidRDefault="00FC3BF3" w:rsidP="00FC3BF3">
      <w:pPr>
        <w:pStyle w:val="ListBullet2"/>
      </w:pPr>
      <w:r>
        <w:t>Is the policy administratively straightforward to implement?</w:t>
      </w:r>
    </w:p>
    <w:p w:rsidR="00FC3BF3" w:rsidRDefault="00FC3BF3" w:rsidP="00FC3BF3">
      <w:pPr>
        <w:pStyle w:val="ListBullet2"/>
      </w:pPr>
      <w:r>
        <w:t xml:space="preserve">How large is the </w:t>
      </w:r>
      <w:r w:rsidRPr="00F34114">
        <w:t>compliance cost</w:t>
      </w:r>
      <w:r>
        <w:t xml:space="preserve"> due to the policy</w:t>
      </w:r>
      <w:r w:rsidRPr="00F34114">
        <w:t>?</w:t>
      </w:r>
    </w:p>
    <w:p w:rsidR="00FC3BF3" w:rsidRDefault="00FC3BF3" w:rsidP="00FC3BF3">
      <w:pPr>
        <w:pStyle w:val="ListBullet2"/>
      </w:pPr>
      <w:r>
        <w:t>How does the policy affect sectors producing substitutes for electricity?</w:t>
      </w:r>
    </w:p>
    <w:p w:rsidR="00FC3BF3" w:rsidRDefault="00FC3BF3" w:rsidP="00FC3BF3">
      <w:pPr>
        <w:pStyle w:val="ListBullet2"/>
      </w:pPr>
      <w:r>
        <w:t>How large are the ‘indirect’ costs of the policy outside the electricity sector?</w:t>
      </w:r>
    </w:p>
    <w:p w:rsidR="00FC3BF3" w:rsidRDefault="00FC3BF3" w:rsidP="00FC3BF3">
      <w:pPr>
        <w:pStyle w:val="ListBullet2"/>
      </w:pPr>
      <w:r>
        <w:t>Is the policy consistent with management of risk in the market, for example using tools such as forward contracts?</w:t>
      </w:r>
    </w:p>
    <w:p w:rsidR="00FC3BF3" w:rsidRDefault="00FC3BF3" w:rsidP="00FC3BF3">
      <w:pPr>
        <w:pStyle w:val="ListBullet2"/>
      </w:pPr>
      <w:r>
        <w:t xml:space="preserve">How would investments made under the policy be affected if </w:t>
      </w:r>
      <w:r w:rsidRPr="00846BAF">
        <w:t xml:space="preserve">the policy </w:t>
      </w:r>
      <w:r>
        <w:t xml:space="preserve">were </w:t>
      </w:r>
      <w:r w:rsidRPr="00846BAF">
        <w:t>abolished?</w:t>
      </w:r>
    </w:p>
    <w:p w:rsidR="00FC3BF3" w:rsidRDefault="00FC3BF3" w:rsidP="00FC3BF3">
      <w:pPr>
        <w:pStyle w:val="ListBullet2"/>
      </w:pPr>
      <w:r w:rsidRPr="006C7F13">
        <w:t>Is it consistent with efficient market operation in relation to</w:t>
      </w:r>
      <w:r>
        <w:t xml:space="preserve"> market dispatch, entry, and exit and customer reliability?</w:t>
      </w:r>
    </w:p>
    <w:p w:rsidR="00FC3BF3" w:rsidRDefault="00FC3BF3" w:rsidP="00FC3BF3">
      <w:pPr>
        <w:pStyle w:val="ListBullet"/>
      </w:pPr>
      <w:r>
        <w:t>Environmental effectiveness</w:t>
      </w:r>
    </w:p>
    <w:p w:rsidR="00FC3BF3" w:rsidRDefault="00FC3BF3" w:rsidP="00FC3BF3">
      <w:pPr>
        <w:pStyle w:val="ListBullet2"/>
      </w:pPr>
      <w:r>
        <w:t>How do emissions and emissions intensity change under the policy?</w:t>
      </w:r>
    </w:p>
    <w:p w:rsidR="00FC3BF3" w:rsidRDefault="00FC3BF3" w:rsidP="00FC3BF3">
      <w:pPr>
        <w:pStyle w:val="ListBullet2"/>
      </w:pPr>
      <w:r>
        <w:t xml:space="preserve">Does it </w:t>
      </w:r>
      <w:r w:rsidRPr="00B663C0">
        <w:t xml:space="preserve">achieve </w:t>
      </w:r>
      <w:r>
        <w:t xml:space="preserve">the </w:t>
      </w:r>
      <w:r w:rsidRPr="00B663C0">
        <w:t>desired emissions reductions with certainty?</w:t>
      </w:r>
    </w:p>
    <w:p w:rsidR="00FC3BF3" w:rsidRDefault="00FC3BF3" w:rsidP="00F3778C">
      <w:pPr>
        <w:pStyle w:val="ListBullet"/>
        <w:keepNext/>
        <w:keepLines/>
      </w:pPr>
      <w:r>
        <w:lastRenderedPageBreak/>
        <w:t>Equity</w:t>
      </w:r>
    </w:p>
    <w:p w:rsidR="00FC3BF3" w:rsidRPr="00A972BF" w:rsidRDefault="00FC3BF3" w:rsidP="00F3778C">
      <w:pPr>
        <w:pStyle w:val="ListBullet2"/>
        <w:keepNext/>
        <w:keepLines/>
        <w:rPr>
          <w:szCs w:val="20"/>
        </w:rPr>
      </w:pPr>
      <w:r w:rsidRPr="00A972BF">
        <w:rPr>
          <w:szCs w:val="20"/>
        </w:rPr>
        <w:t xml:space="preserve">What is the distribution of the costs and benefits of the policy, for example on household electricity bills, and profits of incumbent generators? </w:t>
      </w:r>
    </w:p>
    <w:p w:rsidR="003E33D2" w:rsidRDefault="00FC3BF3" w:rsidP="00F3778C">
      <w:pPr>
        <w:pStyle w:val="ListBullet2"/>
        <w:keepNext/>
        <w:keepLines/>
        <w:rPr>
          <w:szCs w:val="20"/>
        </w:rPr>
        <w:sectPr w:rsidR="003E33D2" w:rsidSect="007B50DF">
          <w:headerReference w:type="even" r:id="rId51"/>
          <w:headerReference w:type="default" r:id="rId52"/>
          <w:footerReference w:type="even" r:id="rId53"/>
          <w:footerReference w:type="default" r:id="rId54"/>
          <w:headerReference w:type="first" r:id="rId55"/>
          <w:pgSz w:w="11907" w:h="16839" w:code="9"/>
          <w:pgMar w:top="1134" w:right="1134" w:bottom="1134" w:left="1134" w:header="720" w:footer="720" w:gutter="0"/>
          <w:cols w:space="720"/>
          <w:docGrid w:linePitch="360"/>
        </w:sectPr>
      </w:pPr>
      <w:r w:rsidRPr="00B84917">
        <w:rPr>
          <w:szCs w:val="20"/>
        </w:rPr>
        <w:t>Does the policy create or consu</w:t>
      </w:r>
      <w:r>
        <w:rPr>
          <w:szCs w:val="20"/>
        </w:rPr>
        <w:t>me revenue (before assistance)?</w:t>
      </w:r>
    </w:p>
    <w:p w:rsidR="002526EE" w:rsidRPr="00791B03" w:rsidRDefault="002526EE" w:rsidP="003345E9">
      <w:pPr>
        <w:pStyle w:val="AppendixHeading1"/>
        <w:ind w:left="2835" w:hanging="2835"/>
      </w:pPr>
      <w:bookmarkStart w:id="668" w:name="_Toc444610064"/>
      <w:bookmarkStart w:id="669" w:name="_Toc447181755"/>
      <w:bookmarkStart w:id="670" w:name="_Toc448132714"/>
      <w:bookmarkStart w:id="671" w:name="_Toc448151774"/>
      <w:bookmarkStart w:id="672" w:name="_Toc448151842"/>
      <w:bookmarkStart w:id="673" w:name="_Ref448935268"/>
      <w:bookmarkStart w:id="674" w:name="_Ref448935545"/>
      <w:bookmarkStart w:id="675" w:name="_Ref449005832"/>
      <w:bookmarkStart w:id="676" w:name="_Toc460318011"/>
      <w:bookmarkStart w:id="677" w:name="_Ref442781582"/>
      <w:r w:rsidRPr="00791B03">
        <w:lastRenderedPageBreak/>
        <w:t>Modelling commissioned for this review</w:t>
      </w:r>
      <w:bookmarkEnd w:id="668"/>
      <w:bookmarkEnd w:id="669"/>
      <w:bookmarkEnd w:id="670"/>
      <w:bookmarkEnd w:id="671"/>
      <w:bookmarkEnd w:id="672"/>
      <w:bookmarkEnd w:id="673"/>
      <w:bookmarkEnd w:id="674"/>
      <w:bookmarkEnd w:id="675"/>
      <w:bookmarkEnd w:id="676"/>
    </w:p>
    <w:p w:rsidR="000D337F" w:rsidRDefault="000D337F" w:rsidP="000D337F">
      <w:pPr>
        <w:pStyle w:val="AppendixHeading2"/>
      </w:pPr>
      <w:bookmarkStart w:id="678" w:name="_Ref443380479"/>
      <w:bookmarkStart w:id="679" w:name="_Toc448151775"/>
      <w:bookmarkStart w:id="680" w:name="_Toc448151843"/>
      <w:bookmarkStart w:id="681" w:name="_Toc460318012"/>
      <w:bookmarkStart w:id="682" w:name="_Ref442778232"/>
      <w:bookmarkStart w:id="683" w:name="_Ref444009694"/>
      <w:bookmarkEnd w:id="677"/>
      <w:r>
        <w:t>Electricity sector modelling</w:t>
      </w:r>
      <w:bookmarkEnd w:id="678"/>
      <w:bookmarkEnd w:id="679"/>
      <w:bookmarkEnd w:id="680"/>
      <w:bookmarkEnd w:id="681"/>
    </w:p>
    <w:p w:rsidR="00022F06" w:rsidRPr="0058193B" w:rsidRDefault="00022F06" w:rsidP="00022F06">
      <w:pPr>
        <w:pStyle w:val="AppendixHeading3"/>
        <w:rPr>
          <w:lang w:val="en-GB"/>
        </w:rPr>
      </w:pPr>
      <w:bookmarkStart w:id="684" w:name="_Toc460318013"/>
      <w:r w:rsidRPr="0058193B">
        <w:rPr>
          <w:lang w:val="en-GB"/>
        </w:rPr>
        <w:t>Modelling approach</w:t>
      </w:r>
      <w:bookmarkEnd w:id="684"/>
    </w:p>
    <w:p w:rsidR="00022F06" w:rsidRDefault="00022F06" w:rsidP="00022F06">
      <w:pPr>
        <w:pStyle w:val="BodyText"/>
      </w:pPr>
      <w:r>
        <w:t xml:space="preserve">This section provides an overview of the electricity sector modelling the Authority commissioned Jacobs to undertake </w:t>
      </w:r>
      <w:r w:rsidR="00A45D45">
        <w:t>to</w:t>
      </w:r>
      <w:r w:rsidR="00A970B1" w:rsidRPr="0058193B">
        <w:t xml:space="preserve"> help </w:t>
      </w:r>
      <w:r w:rsidR="00A970B1">
        <w:t>inform the Authority’s policy recommendations in the Special Review</w:t>
      </w:r>
      <w:r>
        <w:t>. Jacobs’ full modelling report is available on the Authority’s website.</w:t>
      </w:r>
    </w:p>
    <w:p w:rsidR="00022F06" w:rsidRDefault="00022F06" w:rsidP="00022F06">
      <w:pPr>
        <w:pStyle w:val="BodyText"/>
      </w:pPr>
      <w:r>
        <w:t>T</w:t>
      </w:r>
      <w:r w:rsidRPr="0058193B">
        <w:t>o facilitate a like-for-like comparison of policies, the modelling constrains each policy scenario to achieve the same cumulative emissions</w:t>
      </w:r>
      <w:r>
        <w:t xml:space="preserve"> over 2020–2050, and uses common input assumptions</w:t>
      </w:r>
      <w:r w:rsidRPr="0058193B">
        <w:t xml:space="preserve">. </w:t>
      </w:r>
      <w:r>
        <w:t>In the seven core scenarios, t</w:t>
      </w:r>
      <w:r w:rsidRPr="0058193B">
        <w:t xml:space="preserve">he emissions </w:t>
      </w:r>
      <w:r>
        <w:t>budget</w:t>
      </w:r>
      <w:r w:rsidRPr="0058193B">
        <w:t xml:space="preserve"> was set at a level consistent with the world taking action to limit global </w:t>
      </w:r>
      <w:r>
        <w:t>warming to no more than 2 </w:t>
      </w:r>
      <w:r w:rsidRPr="0058193B">
        <w:t xml:space="preserve">degrees. </w:t>
      </w:r>
      <w:r>
        <w:t>A weaker emissions budget (consistent with 3 degrees) was examined as part of the sensitivity analysis.</w:t>
      </w:r>
      <w:r w:rsidR="00FF6283">
        <w:t xml:space="preserve"> </w:t>
      </w:r>
      <w:r w:rsidR="00FF6283" w:rsidRPr="006362CB">
        <w:t>This scenario is included merely for the purpose of testing model sensitivity and does not reflect the Authority’s endorsement of a three degree temperature increase as a policy objective</w:t>
      </w:r>
      <w:r w:rsidR="00FF6283" w:rsidRPr="0071383F">
        <w:t>.</w:t>
      </w:r>
    </w:p>
    <w:p w:rsidR="00022F06" w:rsidRDefault="00022F06" w:rsidP="00022F06">
      <w:pPr>
        <w:pStyle w:val="BodyText"/>
      </w:pPr>
      <w:r w:rsidRPr="0058193B">
        <w:t>The modelling covers the National Electricity Market (NEM) and the Wholesale Electricity Market (WEM)</w:t>
      </w:r>
      <w:r>
        <w:t xml:space="preserve"> </w:t>
      </w:r>
      <w:r w:rsidRPr="0058193B">
        <w:t xml:space="preserve">of Western Australia which currently make up about </w:t>
      </w:r>
      <w:r>
        <w:t>94</w:t>
      </w:r>
      <w:r w:rsidRPr="0058193B">
        <w:t> per cent of Australia’s electricity demand</w:t>
      </w:r>
      <w:r>
        <w:t xml:space="preserve"> </w:t>
      </w:r>
      <w:bookmarkStart w:id="685" w:name="_CTVP001e06b6e7bb99e41678804d57de6697ab4"/>
      <w:r w:rsidR="0059109A">
        <w:t>(AECOM 2013, p. 4)</w:t>
      </w:r>
      <w:bookmarkEnd w:id="685"/>
      <w:r w:rsidRPr="0058193B">
        <w:t>.</w:t>
      </w:r>
      <w:r>
        <w:t xml:space="preserve"> </w:t>
      </w:r>
      <w:r w:rsidRPr="008C71B8">
        <w:t>Section 1.3</w:t>
      </w:r>
      <w:r>
        <w:t xml:space="preserve"> of Jacobs’ Modelling Report </w:t>
      </w:r>
      <w:bookmarkStart w:id="686" w:name="_CTVP001e070cbe5e6314084a5da73bb219b795c"/>
      <w:r w:rsidR="0059109A">
        <w:t>(Jacobs 2016c)</w:t>
      </w:r>
      <w:bookmarkEnd w:id="686"/>
      <w:r>
        <w:t xml:space="preserve"> provides further details on the modelling approach.</w:t>
      </w:r>
    </w:p>
    <w:p w:rsidR="00022F06" w:rsidRDefault="00022F06" w:rsidP="00022F06">
      <w:pPr>
        <w:pStyle w:val="ListBullet"/>
        <w:numPr>
          <w:ilvl w:val="0"/>
          <w:numId w:val="0"/>
        </w:numPr>
      </w:pPr>
      <w:r w:rsidRPr="00676E85">
        <w:t>It is important to note that the modelling does not aim to predict future outcomes; rather</w:t>
      </w:r>
      <w:r>
        <w:t xml:space="preserve"> it is intended to provide high</w:t>
      </w:r>
      <w:r>
        <w:noBreakHyphen/>
      </w:r>
      <w:r w:rsidRPr="00676E85">
        <w:t xml:space="preserve">level insights to inform </w:t>
      </w:r>
      <w:r>
        <w:t>policy</w:t>
      </w:r>
      <w:r w:rsidRPr="00676E85">
        <w:t xml:space="preserve"> choice</w:t>
      </w:r>
      <w:r>
        <w:t xml:space="preserve">. To do this, </w:t>
      </w:r>
      <w:r w:rsidR="00D479D2">
        <w:t xml:space="preserve">the </w:t>
      </w:r>
      <w:r>
        <w:t>modelling makes a range of assumptions and simplifications. Some assumptions omit features that are important for short-term outcomes in the electricity sector, but are small in absolute terms over the longer time horizons that are the focus of this work, so excluding them does not materially affect the comparative projections. Some other assumptions, such as the level of electricity demand, and the availability and costs of electricity generation technologies, are important for the results. In these cases, the impact of varying the assumption is explo</w:t>
      </w:r>
      <w:r w:rsidR="00D479D2">
        <w:t>red through sensitivity analysis</w:t>
      </w:r>
      <w:r>
        <w:t>. In general, the level of uncertainty around the projections increases over the modelling horizon. Jacobs’ modelling is ‘partial’ rather than ‘general’ equilibrium, so it does not incorporate the second</w:t>
      </w:r>
      <w:r>
        <w:noBreakHyphen/>
        <w:t>round or ‘indirect’ effects</w:t>
      </w:r>
      <w:r>
        <w:rPr>
          <w:rStyle w:val="FootnoteReference"/>
        </w:rPr>
        <w:footnoteReference w:id="17"/>
      </w:r>
      <w:r>
        <w:t xml:space="preserve"> of these policies on the wider economy. These effects </w:t>
      </w:r>
      <w:r w:rsidR="00BA455B">
        <w:t>were considered</w:t>
      </w:r>
      <w:r>
        <w:t xml:space="preserve"> </w:t>
      </w:r>
      <w:r w:rsidRPr="000A7472">
        <w:t xml:space="preserve">for </w:t>
      </w:r>
      <w:r>
        <w:t>two</w:t>
      </w:r>
      <w:r w:rsidRPr="000A7472">
        <w:t xml:space="preserve"> scenarios</w:t>
      </w:r>
      <w:r>
        <w:t>—see Section </w:t>
      </w:r>
      <w:r w:rsidR="00CA762C">
        <w:t>3.3</w:t>
      </w:r>
      <w:r>
        <w:t xml:space="preserve"> and </w:t>
      </w:r>
      <w:r w:rsidR="00CA762C">
        <w:t>Appendix C.3</w:t>
      </w:r>
      <w:r>
        <w:t xml:space="preserve"> of this </w:t>
      </w:r>
      <w:r w:rsidR="00AD11F0">
        <w:t>report</w:t>
      </w:r>
      <w:r>
        <w:t xml:space="preserve">. </w:t>
      </w:r>
      <w:r w:rsidRPr="008C71B8">
        <w:t>Section</w:t>
      </w:r>
      <w:r>
        <w:t> </w:t>
      </w:r>
      <w:r w:rsidRPr="008C71B8">
        <w:t>1.4</w:t>
      </w:r>
      <w:r>
        <w:t xml:space="preserve"> of Jacobs’ modelling report </w:t>
      </w:r>
      <w:bookmarkStart w:id="687" w:name="_CTVP0017e976a63edce499cb5d2e4f9550d14f9"/>
      <w:r w:rsidR="0059109A">
        <w:t>(Jacobs 2016c)</w:t>
      </w:r>
      <w:bookmarkEnd w:id="687"/>
      <w:r>
        <w:t xml:space="preserve"> provides further guidance on interpreting the modelling.</w:t>
      </w:r>
    </w:p>
    <w:p w:rsidR="00022F06" w:rsidRDefault="00022F06" w:rsidP="00022F06">
      <w:pPr>
        <w:pStyle w:val="BodyText"/>
      </w:pPr>
      <w:r w:rsidRPr="0058193B">
        <w:t>The proposed policies, modelling assumptions and approach were released for public feedback in the</w:t>
      </w:r>
      <w:r>
        <w:t xml:space="preserve"> May 2015</w:t>
      </w:r>
      <w:r w:rsidRPr="0058193B">
        <w:t xml:space="preserve"> </w:t>
      </w:r>
      <w:r>
        <w:t>c</w:t>
      </w:r>
      <w:r w:rsidRPr="0058193B">
        <w:t xml:space="preserve">onsultation </w:t>
      </w:r>
      <w:r>
        <w:t>p</w:t>
      </w:r>
      <w:r w:rsidRPr="0058193B">
        <w:t>aper</w:t>
      </w:r>
      <w:r>
        <w:t xml:space="preserve"> </w:t>
      </w:r>
      <w:proofErr w:type="gramStart"/>
      <w:r w:rsidRPr="00947B69">
        <w:rPr>
          <w:i/>
        </w:rPr>
        <w:t>Modelling</w:t>
      </w:r>
      <w:proofErr w:type="gramEnd"/>
      <w:r w:rsidRPr="00947B69">
        <w:rPr>
          <w:i/>
        </w:rPr>
        <w:t xml:space="preserve"> illustrative electricity sector emissions reduction policies</w:t>
      </w:r>
      <w:r>
        <w:rPr>
          <w:i/>
        </w:rPr>
        <w:t xml:space="preserve"> </w:t>
      </w:r>
      <w:bookmarkStart w:id="688" w:name="_CTVP001c40580f8424a470e8e1b342d626e102d"/>
      <w:r w:rsidR="0059109A">
        <w:t>(Jacobs 2015)</w:t>
      </w:r>
      <w:bookmarkEnd w:id="688"/>
      <w:r w:rsidRPr="0058193B">
        <w:t>, which was published on the Authority’s website.</w:t>
      </w:r>
    </w:p>
    <w:p w:rsidR="00022F06" w:rsidRDefault="00022F06" w:rsidP="00022F06">
      <w:pPr>
        <w:pStyle w:val="AppendixHeading3"/>
      </w:pPr>
      <w:bookmarkStart w:id="689" w:name="_Toc460318014"/>
      <w:r>
        <w:lastRenderedPageBreak/>
        <w:t>Scenarios and sensitivities</w:t>
      </w:r>
      <w:bookmarkEnd w:id="689"/>
    </w:p>
    <w:p w:rsidR="00022F06" w:rsidRPr="0049636A" w:rsidRDefault="00022F06" w:rsidP="00022F06">
      <w:pPr>
        <w:pStyle w:val="BodyText"/>
      </w:pPr>
      <w:r>
        <w:t>Jacobs modelled seven</w:t>
      </w:r>
      <w:r w:rsidRPr="00340A54">
        <w:t xml:space="preserve"> </w:t>
      </w:r>
      <w:r>
        <w:t>individual policy scenarios</w:t>
      </w:r>
      <w:r w:rsidRPr="00340A54">
        <w:t xml:space="preserve"> </w:t>
      </w:r>
      <w:r>
        <w:t xml:space="preserve">and a reference case. </w:t>
      </w:r>
      <w:r w:rsidR="00CA762C">
        <w:t xml:space="preserve">Table </w:t>
      </w:r>
      <w:r w:rsidR="00CA762C">
        <w:rPr>
          <w:noProof/>
        </w:rPr>
        <w:t>3</w:t>
      </w:r>
      <w:r w:rsidRPr="00340A54">
        <w:t xml:space="preserve"> </w:t>
      </w:r>
      <w:r>
        <w:t xml:space="preserve">in </w:t>
      </w:r>
      <w:r w:rsidR="00CA762C">
        <w:t>Chapter 3</w:t>
      </w:r>
      <w:r>
        <w:t xml:space="preserve"> explains these policies in more detail.</w:t>
      </w:r>
      <w:r w:rsidRPr="00340A54">
        <w:t xml:space="preserve"> </w:t>
      </w:r>
      <w:r>
        <w:t>These policies are</w:t>
      </w:r>
      <w:r w:rsidRPr="00340A54">
        <w:t xml:space="preserve"> broadly representative of those proposed and discussed</w:t>
      </w:r>
      <w:r>
        <w:t xml:space="preserve"> for the sector</w:t>
      </w:r>
      <w:r w:rsidRPr="00340A54">
        <w:t xml:space="preserve"> in recent years.</w:t>
      </w:r>
    </w:p>
    <w:p w:rsidR="00022F06" w:rsidRPr="0049636A" w:rsidRDefault="00022F06" w:rsidP="00022F06">
      <w:pPr>
        <w:pStyle w:val="BodyText"/>
      </w:pPr>
      <w:r w:rsidRPr="00340A54">
        <w:t>The policy scenarios were compared to a reference case</w:t>
      </w:r>
      <w:r>
        <w:t xml:space="preserve"> which incorporates the current Renewable Energy Target (both</w:t>
      </w:r>
      <w:r w:rsidR="00D479D2">
        <w:t xml:space="preserve"> the</w:t>
      </w:r>
      <w:r>
        <w:t xml:space="preserve"> Large-scale Renewable Energy Target (LRET) and Small-scale Renewable Energy Scheme (SRES))</w:t>
      </w:r>
      <w:r w:rsidRPr="00340A54">
        <w:t xml:space="preserve"> </w:t>
      </w:r>
      <w:r>
        <w:t>and state-based policies affecting the sector</w:t>
      </w:r>
      <w:r w:rsidR="00A6551E">
        <w:t xml:space="preserve"> (current at the time of modelling)</w:t>
      </w:r>
      <w:r>
        <w:t>.</w:t>
      </w:r>
      <w:r w:rsidR="00A6551E">
        <w:rPr>
          <w:rStyle w:val="FootnoteReference"/>
        </w:rPr>
        <w:footnoteReference w:id="18"/>
      </w:r>
      <w:r>
        <w:t xml:space="preserve"> It is important to note that the reference case is not a projection of the sector under a ‘business as usual’ future, but designed so that differences between the reference and policy cases are due to the policies, rather than the policies and other features. To achieve this, both the reference case and policy cases assume strong global action to reduce emissions, with the reference case assuming no new policies in the Australian electricity sector. </w:t>
      </w:r>
      <w:r w:rsidRPr="00340A54">
        <w:t>Each policy scenario:</w:t>
      </w:r>
    </w:p>
    <w:p w:rsidR="00022F06" w:rsidRPr="00340A54" w:rsidRDefault="00F3778C" w:rsidP="00022F06">
      <w:pPr>
        <w:pStyle w:val="ListBullet"/>
      </w:pPr>
      <w:proofErr w:type="gramStart"/>
      <w:r>
        <w:t>a</w:t>
      </w:r>
      <w:r w:rsidR="00022F06">
        <w:t>ssumes</w:t>
      </w:r>
      <w:proofErr w:type="gramEnd"/>
      <w:r w:rsidR="00022F06">
        <w:t xml:space="preserve"> policies are announced in 2017–18 and start in 2019–20, so results match the reference case to 2018–19, but deviate thereafter. In practice, reaction and build times may be longer than presumed as investors and stakeholders consider the uncertainties, and labour and reso</w:t>
      </w:r>
      <w:r w:rsidR="00D479D2">
        <w:t>urce availability may constrain</w:t>
      </w:r>
      <w:r w:rsidR="00022F06">
        <w:t xml:space="preserve"> h</w:t>
      </w:r>
      <w:r>
        <w:t>ow quickly new builds can occur.</w:t>
      </w:r>
    </w:p>
    <w:p w:rsidR="00022F06" w:rsidRPr="00340A54" w:rsidRDefault="00F3778C" w:rsidP="00022F06">
      <w:pPr>
        <w:pStyle w:val="ListBullet"/>
      </w:pPr>
      <w:proofErr w:type="gramStart"/>
      <w:r>
        <w:t>l</w:t>
      </w:r>
      <w:r w:rsidR="00022F06" w:rsidRPr="00340A54">
        <w:t>ike</w:t>
      </w:r>
      <w:proofErr w:type="gramEnd"/>
      <w:r w:rsidR="00022F06" w:rsidRPr="00340A54">
        <w:t xml:space="preserve"> the reference case</w:t>
      </w:r>
      <w:r w:rsidR="00022F06">
        <w:t>,</w:t>
      </w:r>
      <w:r w:rsidR="00022F06" w:rsidRPr="00340A54">
        <w:t xml:space="preserve"> includes the </w:t>
      </w:r>
      <w:r w:rsidR="00022F06">
        <w:t xml:space="preserve">current </w:t>
      </w:r>
      <w:r w:rsidR="00022F06" w:rsidRPr="00340A54">
        <w:t>LRET and SRES</w:t>
      </w:r>
      <w:r>
        <w:t xml:space="preserve"> trajectories from 2020 to 2030.</w:t>
      </w:r>
    </w:p>
    <w:p w:rsidR="00022F06" w:rsidRPr="00340A54" w:rsidRDefault="00F3778C" w:rsidP="00022F06">
      <w:pPr>
        <w:pStyle w:val="ListBullet"/>
      </w:pPr>
      <w:proofErr w:type="gramStart"/>
      <w:r>
        <w:t>a</w:t>
      </w:r>
      <w:r w:rsidR="00022F06">
        <w:t>ssumes</w:t>
      </w:r>
      <w:proofErr w:type="gramEnd"/>
      <w:r w:rsidR="00022F06">
        <w:t xml:space="preserve"> all prospective zero</w:t>
      </w:r>
      <w:r w:rsidR="00022F06">
        <w:noBreakHyphen/>
        <w:t xml:space="preserve"> and low</w:t>
      </w:r>
      <w:r w:rsidR="00022F06">
        <w:noBreakHyphen/>
      </w:r>
      <w:r w:rsidR="00022F06" w:rsidRPr="00340A54">
        <w:t xml:space="preserve">emissions technologies—including nuclear—are available to achieve the emissions </w:t>
      </w:r>
      <w:r>
        <w:t>budget.</w:t>
      </w:r>
    </w:p>
    <w:p w:rsidR="00022F06" w:rsidRDefault="00F3778C" w:rsidP="00022F06">
      <w:pPr>
        <w:pStyle w:val="ListBullet"/>
      </w:pPr>
      <w:proofErr w:type="gramStart"/>
      <w:r>
        <w:t>e</w:t>
      </w:r>
      <w:r w:rsidR="00022F06" w:rsidRPr="00340A54">
        <w:t>xcludes</w:t>
      </w:r>
      <w:proofErr w:type="gramEnd"/>
      <w:r w:rsidR="00022F06" w:rsidRPr="00340A54">
        <w:t xml:space="preserve"> the sector from the Emissions Reduction Fund’s safeguard </w:t>
      </w:r>
      <w:r w:rsidR="00022F06">
        <w:t xml:space="preserve">and crediting </w:t>
      </w:r>
      <w:r w:rsidR="00022F06" w:rsidRPr="00340A54">
        <w:t>mechanism</w:t>
      </w:r>
      <w:r w:rsidR="00022F06">
        <w:t>s.</w:t>
      </w:r>
    </w:p>
    <w:p w:rsidR="00022F06" w:rsidRPr="00226B01" w:rsidRDefault="00F3778C" w:rsidP="00022F06">
      <w:pPr>
        <w:pStyle w:val="ListBullet"/>
        <w:rPr>
          <w:lang w:val="en-GB" w:eastAsia="en-AU"/>
        </w:rPr>
      </w:pPr>
      <w:proofErr w:type="gramStart"/>
      <w:r>
        <w:t>o</w:t>
      </w:r>
      <w:r w:rsidR="00022F06">
        <w:t>mits</w:t>
      </w:r>
      <w:proofErr w:type="gramEnd"/>
      <w:r w:rsidR="00022F06">
        <w:t xml:space="preserve"> the use of offsets from other sectors</w:t>
      </w:r>
      <w:r w:rsidR="00A45D45">
        <w:t>,</w:t>
      </w:r>
      <w:r w:rsidR="00022F06">
        <w:t xml:space="preserve"> or international </w:t>
      </w:r>
      <w:r w:rsidR="00C15F2C">
        <w:t>permits or credits</w:t>
      </w:r>
      <w:r w:rsidR="00022F06">
        <w:t xml:space="preserve"> in meeting the emission budget for electricity generation. The ability to surrender such units can reduce compliance costs and is an important potential design feature of some of the policies analysed. However, if offsets or international </w:t>
      </w:r>
      <w:r w:rsidR="00C15F2C">
        <w:t xml:space="preserve">permits or credits </w:t>
      </w:r>
      <w:r w:rsidR="00022F06">
        <w:t>were included in the modelling, the results could be dominated by expected future offset or unit prices and would be less informative about the relative effects of the policies themselves. The economy-wide modelling (</w:t>
      </w:r>
      <w:r w:rsidR="00CA762C">
        <w:t>Appendix C.3</w:t>
      </w:r>
      <w:r w:rsidR="00022F06">
        <w:t xml:space="preserve">) incorporates some use of international </w:t>
      </w:r>
      <w:r w:rsidR="00727EA5">
        <w:t>permits or credits</w:t>
      </w:r>
      <w:r w:rsidR="00022F06">
        <w:t>.</w:t>
      </w:r>
    </w:p>
    <w:p w:rsidR="00022F06" w:rsidRDefault="00F3778C" w:rsidP="00022F06">
      <w:pPr>
        <w:pStyle w:val="ListBullet"/>
      </w:pPr>
      <w:proofErr w:type="gramStart"/>
      <w:r>
        <w:t>g</w:t>
      </w:r>
      <w:r w:rsidR="00022F06">
        <w:t>enerally</w:t>
      </w:r>
      <w:proofErr w:type="gramEnd"/>
      <w:r w:rsidR="00022F06">
        <w:t xml:space="preserve"> applies</w:t>
      </w:r>
      <w:r w:rsidR="00022F06" w:rsidRPr="00340A54">
        <w:t xml:space="preserve"> the same design for policy features such </w:t>
      </w:r>
      <w:r w:rsidR="00022F06">
        <w:t xml:space="preserve">as </w:t>
      </w:r>
      <w:r w:rsidR="00022F06" w:rsidRPr="00340A54">
        <w:t>coverage thresholds, limits on banking and borrowing of permits, and so on</w:t>
      </w:r>
      <w:r w:rsidR="00022F06">
        <w:t xml:space="preserve"> (specific design features are in </w:t>
      </w:r>
      <w:r w:rsidR="00CA762C">
        <w:t xml:space="preserve">Table </w:t>
      </w:r>
      <w:r w:rsidR="00CA762C">
        <w:rPr>
          <w:noProof/>
        </w:rPr>
        <w:t>8</w:t>
      </w:r>
      <w:r w:rsidR="00022F06">
        <w:t>)</w:t>
      </w:r>
      <w:r w:rsidR="00022F06" w:rsidRPr="00340A54">
        <w:t xml:space="preserve">. This helps ensure that differences in </w:t>
      </w:r>
      <w:r w:rsidR="00D479D2">
        <w:t>results</w:t>
      </w:r>
      <w:r w:rsidR="00022F06" w:rsidRPr="00340A54">
        <w:t xml:space="preserve"> are driven by material differences between the policies</w:t>
      </w:r>
      <w:r w:rsidR="00022F06">
        <w:t>.</w:t>
      </w:r>
    </w:p>
    <w:p w:rsidR="00022F06" w:rsidRPr="00340A54" w:rsidRDefault="00F3778C" w:rsidP="00022F06">
      <w:pPr>
        <w:pStyle w:val="ListBullet"/>
      </w:pPr>
      <w:proofErr w:type="gramStart"/>
      <w:r>
        <w:t>i</w:t>
      </w:r>
      <w:r w:rsidR="00022F06">
        <w:t>s</w:t>
      </w:r>
      <w:proofErr w:type="gramEnd"/>
      <w:r w:rsidR="00022F06">
        <w:t xml:space="preserve"> tested to ensure it meets current standards for electricity system reliability. Jacobs subjected modelled plant entry to current NEM and WEM output</w:t>
      </w:r>
      <w:r w:rsidR="00022F06" w:rsidRPr="00226B01">
        <w:noBreakHyphen/>
        <w:t xml:space="preserve">based </w:t>
      </w:r>
      <w:r w:rsidR="00022F06">
        <w:t xml:space="preserve">probabilistic </w:t>
      </w:r>
      <w:r w:rsidR="00022F06" w:rsidRPr="00226B01">
        <w:t xml:space="preserve">reliability </w:t>
      </w:r>
      <w:r w:rsidR="00022F06">
        <w:t>standards, as well as conducting an additional deterministic test.</w:t>
      </w:r>
    </w:p>
    <w:p w:rsidR="00022F06" w:rsidRDefault="00022F06" w:rsidP="00947B69">
      <w:r>
        <w:t xml:space="preserve">Jacobs also tested the performance of combinations and the robustness of individual policies to changes in key assumptions. </w:t>
      </w:r>
      <w:r w:rsidR="00CA762C">
        <w:t xml:space="preserve">Table </w:t>
      </w:r>
      <w:r w:rsidR="00CA762C">
        <w:rPr>
          <w:noProof/>
        </w:rPr>
        <w:t>7</w:t>
      </w:r>
      <w:r>
        <w:t xml:space="preserve"> sets out the key questions explored and the policy scenarios investigated in each case. </w:t>
      </w:r>
      <w:r w:rsidRPr="00DD10D2">
        <w:t>As with all of the modelled scenarios, the sensitivities have been chosen to assist in comparing the performance of policies only and should not be interpreted as policies that the Authority would recommend.</w:t>
      </w:r>
    </w:p>
    <w:p w:rsidR="00022F06" w:rsidRDefault="00022F06" w:rsidP="00022F06">
      <w:pPr>
        <w:pStyle w:val="BodyText"/>
      </w:pPr>
      <w:r>
        <w:lastRenderedPageBreak/>
        <w:t>Further details on the scenarios and sensitivities are available in S</w:t>
      </w:r>
      <w:r w:rsidR="005546FD">
        <w:t>ections </w:t>
      </w:r>
      <w:r w:rsidRPr="008C71B8">
        <w:t>2.2 and</w:t>
      </w:r>
      <w:r>
        <w:t> </w:t>
      </w:r>
      <w:r w:rsidR="005546FD">
        <w:t>2.3</w:t>
      </w:r>
      <w:r>
        <w:t xml:space="preserve"> of Jacobs’ Modelling Report </w:t>
      </w:r>
      <w:bookmarkStart w:id="690" w:name="_CTVP00118eac1eb240c43bab7f9bb143b2c6e45"/>
      <w:r w:rsidR="0059109A">
        <w:t>(Jacobs 2016c)</w:t>
      </w:r>
      <w:bookmarkEnd w:id="690"/>
      <w:r>
        <w:t>.</w:t>
      </w:r>
    </w:p>
    <w:p w:rsidR="00022F06" w:rsidRDefault="00022F06" w:rsidP="00022F06">
      <w:pPr>
        <w:pStyle w:val="Caption"/>
      </w:pPr>
      <w:bookmarkStart w:id="691" w:name="_Ref442787096"/>
      <w:bookmarkStart w:id="692" w:name="_Toc443999231"/>
      <w:bookmarkStart w:id="693" w:name="_Toc444162837"/>
      <w:bookmarkStart w:id="694" w:name="_Toc444610089"/>
      <w:bookmarkStart w:id="695" w:name="_Toc447122292"/>
      <w:bookmarkStart w:id="696" w:name="_Toc447641414"/>
      <w:bookmarkStart w:id="697" w:name="_Ref457839930"/>
      <w:bookmarkStart w:id="698" w:name="_Toc460318075"/>
      <w:r>
        <w:t xml:space="preserve">Table </w:t>
      </w:r>
      <w:r w:rsidR="00CA762C">
        <w:rPr>
          <w:noProof/>
        </w:rPr>
        <w:t>7</w:t>
      </w:r>
      <w:bookmarkEnd w:id="691"/>
      <w:r w:rsidR="00A6425D">
        <w:tab/>
      </w:r>
      <w:r>
        <w:t xml:space="preserve">Relationship between modelling questions, sensitivities and </w:t>
      </w:r>
      <w:bookmarkEnd w:id="692"/>
      <w:r>
        <w:t>policies</w:t>
      </w:r>
      <w:bookmarkEnd w:id="693"/>
      <w:bookmarkEnd w:id="694"/>
      <w:bookmarkEnd w:id="695"/>
      <w:bookmarkEnd w:id="696"/>
      <w:bookmarkEnd w:id="697"/>
      <w:bookmarkEnd w:id="698"/>
    </w:p>
    <w:tbl>
      <w:tblPr>
        <w:tblStyle w:val="CCATable"/>
        <w:tblW w:w="10036" w:type="dxa"/>
        <w:tblLook w:val="04A0" w:firstRow="1" w:lastRow="0" w:firstColumn="1" w:lastColumn="0" w:noHBand="0" w:noVBand="1"/>
      </w:tblPr>
      <w:tblGrid>
        <w:gridCol w:w="2235"/>
        <w:gridCol w:w="1559"/>
        <w:gridCol w:w="1559"/>
        <w:gridCol w:w="4683"/>
      </w:tblGrid>
      <w:tr w:rsidR="00022F06" w:rsidRPr="00954D16" w:rsidTr="00CE6667">
        <w:trPr>
          <w:cnfStyle w:val="100000000000" w:firstRow="1" w:lastRow="0" w:firstColumn="0" w:lastColumn="0" w:oddVBand="0" w:evenVBand="0" w:oddHBand="0" w:evenHBand="0" w:firstRowFirstColumn="0" w:firstRowLastColumn="0" w:lastRowFirstColumn="0" w:lastRowLastColumn="0"/>
          <w:trHeight w:val="32"/>
        </w:trPr>
        <w:tc>
          <w:tcPr>
            <w:tcW w:w="2235" w:type="dxa"/>
          </w:tcPr>
          <w:p w:rsidR="00022F06" w:rsidRPr="005520DA" w:rsidRDefault="00022F06" w:rsidP="00CE6667">
            <w:pPr>
              <w:pStyle w:val="TableHeading"/>
            </w:pPr>
            <w:r w:rsidRPr="005520DA">
              <w:t>Questions</w:t>
            </w:r>
          </w:p>
        </w:tc>
        <w:tc>
          <w:tcPr>
            <w:tcW w:w="1559" w:type="dxa"/>
          </w:tcPr>
          <w:p w:rsidR="00022F06" w:rsidRPr="005520DA" w:rsidDel="00963448" w:rsidRDefault="00022F06" w:rsidP="00CE6667">
            <w:pPr>
              <w:pStyle w:val="TableHeading"/>
            </w:pPr>
            <w:r w:rsidRPr="005520DA">
              <w:t>Explore through</w:t>
            </w:r>
          </w:p>
        </w:tc>
        <w:tc>
          <w:tcPr>
            <w:tcW w:w="1559" w:type="dxa"/>
          </w:tcPr>
          <w:p w:rsidR="00022F06" w:rsidRPr="005520DA" w:rsidRDefault="00022F06" w:rsidP="00CE6667">
            <w:pPr>
              <w:pStyle w:val="TableHeading"/>
            </w:pPr>
            <w:r w:rsidRPr="005520DA">
              <w:t>Scenarios</w:t>
            </w:r>
          </w:p>
        </w:tc>
        <w:tc>
          <w:tcPr>
            <w:tcW w:w="4683" w:type="dxa"/>
          </w:tcPr>
          <w:p w:rsidR="00022F06" w:rsidRPr="005520DA" w:rsidRDefault="00022F06" w:rsidP="00CE6667">
            <w:pPr>
              <w:pStyle w:val="TableHeading"/>
            </w:pPr>
            <w:r w:rsidRPr="005520DA">
              <w:t>Key assumptions and design</w:t>
            </w:r>
          </w:p>
        </w:tc>
      </w:tr>
      <w:tr w:rsidR="00022F06" w:rsidTr="00CE6667">
        <w:trPr>
          <w:cnfStyle w:val="000000100000" w:firstRow="0" w:lastRow="0" w:firstColumn="0" w:lastColumn="0" w:oddVBand="0" w:evenVBand="0" w:oddHBand="1" w:evenHBand="0" w:firstRowFirstColumn="0" w:firstRowLastColumn="0" w:lastRowFirstColumn="0" w:lastRowLastColumn="0"/>
          <w:trHeight w:val="32"/>
        </w:trPr>
        <w:tc>
          <w:tcPr>
            <w:tcW w:w="2235" w:type="dxa"/>
          </w:tcPr>
          <w:p w:rsidR="00022F06" w:rsidRPr="005520DA" w:rsidRDefault="00022F06" w:rsidP="00CE6667">
            <w:pPr>
              <w:pStyle w:val="TableText"/>
              <w:rPr>
                <w:b/>
              </w:rPr>
            </w:pPr>
            <w:r w:rsidRPr="005520DA">
              <w:t>How do individual policies compare on key metrics when meeting the same cumulative emissions budget?</w:t>
            </w:r>
          </w:p>
        </w:tc>
        <w:tc>
          <w:tcPr>
            <w:tcW w:w="1559" w:type="dxa"/>
          </w:tcPr>
          <w:p w:rsidR="00022F06" w:rsidRPr="005520DA" w:rsidRDefault="00022F06" w:rsidP="00CE6667">
            <w:pPr>
              <w:pStyle w:val="TableText"/>
            </w:pPr>
            <w:r>
              <w:t>Core scenarios: m</w:t>
            </w:r>
            <w:r w:rsidRPr="005520DA">
              <w:t xml:space="preserve">odelling each policy separately with common inputs and </w:t>
            </w:r>
            <w:r>
              <w:t xml:space="preserve">a </w:t>
            </w:r>
            <w:r w:rsidRPr="005520DA">
              <w:t xml:space="preserve">common emissions </w:t>
            </w:r>
            <w:r>
              <w:t>budget</w:t>
            </w:r>
          </w:p>
        </w:tc>
        <w:tc>
          <w:tcPr>
            <w:tcW w:w="1559" w:type="dxa"/>
          </w:tcPr>
          <w:p w:rsidR="00022F06" w:rsidRPr="005520DA" w:rsidRDefault="00022F06" w:rsidP="00CE6667">
            <w:pPr>
              <w:pStyle w:val="TableText"/>
            </w:pPr>
            <w:r w:rsidRPr="005520DA">
              <w:t>All</w:t>
            </w:r>
          </w:p>
          <w:p w:rsidR="00022F06" w:rsidRPr="005520DA" w:rsidRDefault="00022F06" w:rsidP="00CE6667">
            <w:pPr>
              <w:pStyle w:val="TableText"/>
            </w:pPr>
          </w:p>
        </w:tc>
        <w:tc>
          <w:tcPr>
            <w:tcW w:w="4683" w:type="dxa"/>
          </w:tcPr>
          <w:p w:rsidR="00022F06" w:rsidRDefault="00022F06" w:rsidP="00CE6667">
            <w:pPr>
              <w:pStyle w:val="TableText"/>
            </w:pPr>
            <w:r w:rsidRPr="005520DA">
              <w:t>Strong global action</w:t>
            </w:r>
            <w:r>
              <w:t>, affecting fuel prices and technology learning rates (2 degrees)</w:t>
            </w:r>
          </w:p>
          <w:p w:rsidR="00022F06" w:rsidRPr="005520DA" w:rsidRDefault="00022F06" w:rsidP="00CE6667">
            <w:pPr>
              <w:pStyle w:val="TableText"/>
            </w:pPr>
            <w:r w:rsidRPr="005520DA">
              <w:t>Policies calibrated to meet</w:t>
            </w:r>
            <w:r>
              <w:t xml:space="preserve"> 2 degree</w:t>
            </w:r>
            <w:r w:rsidRPr="005520DA">
              <w:t xml:space="preserve"> emissions </w:t>
            </w:r>
            <w:r>
              <w:t>budget</w:t>
            </w:r>
            <w:r w:rsidRPr="005520DA">
              <w:t xml:space="preserve"> </w:t>
            </w:r>
          </w:p>
          <w:p w:rsidR="00022F06" w:rsidRPr="005520DA" w:rsidRDefault="00022F06" w:rsidP="00CE6667">
            <w:pPr>
              <w:pStyle w:val="TableText"/>
            </w:pPr>
            <w:r w:rsidRPr="005520DA">
              <w:t>Technology availability (constant across all scenarios except technology sensitivity)</w:t>
            </w:r>
            <w:r>
              <w:t>:</w:t>
            </w:r>
            <w:r w:rsidRPr="005520DA">
              <w:t xml:space="preserve"> </w:t>
            </w:r>
          </w:p>
          <w:p w:rsidR="00022F06" w:rsidRPr="005520DA" w:rsidRDefault="00022F06" w:rsidP="00F3778C">
            <w:pPr>
              <w:pStyle w:val="TableListBullet"/>
            </w:pPr>
            <w:r w:rsidRPr="005520DA">
              <w:t>CCS and geothermal can be deployed from 2030</w:t>
            </w:r>
          </w:p>
          <w:p w:rsidR="00022F06" w:rsidRPr="005520DA" w:rsidRDefault="00022F06" w:rsidP="00F3778C">
            <w:pPr>
              <w:pStyle w:val="TableListBullet"/>
            </w:pPr>
            <w:r w:rsidRPr="005520DA">
              <w:t>Nuclear can be deployed from 2035</w:t>
            </w:r>
          </w:p>
        </w:tc>
      </w:tr>
      <w:tr w:rsidR="00022F06" w:rsidTr="00CE6667">
        <w:trPr>
          <w:trHeight w:val="32"/>
        </w:trPr>
        <w:tc>
          <w:tcPr>
            <w:tcW w:w="2235" w:type="dxa"/>
          </w:tcPr>
          <w:p w:rsidR="00022F06" w:rsidRPr="005520DA" w:rsidRDefault="00022F06" w:rsidP="00CE6667">
            <w:pPr>
              <w:pStyle w:val="TableText"/>
            </w:pPr>
            <w:r w:rsidRPr="005520DA">
              <w:t xml:space="preserve">Will combinations of policies perform better than individual policies? </w:t>
            </w:r>
          </w:p>
        </w:tc>
        <w:tc>
          <w:tcPr>
            <w:tcW w:w="1559" w:type="dxa"/>
          </w:tcPr>
          <w:p w:rsidR="00022F06" w:rsidRDefault="00022F06" w:rsidP="00CE6667">
            <w:pPr>
              <w:pStyle w:val="TableText"/>
            </w:pPr>
            <w:r w:rsidRPr="005520DA">
              <w:t>Policy combinations</w:t>
            </w:r>
          </w:p>
        </w:tc>
        <w:tc>
          <w:tcPr>
            <w:tcW w:w="1559" w:type="dxa"/>
          </w:tcPr>
          <w:p w:rsidR="00022F06" w:rsidRPr="005520DA" w:rsidRDefault="00022F06" w:rsidP="00CE6667">
            <w:pPr>
              <w:pStyle w:val="TableText"/>
            </w:pPr>
            <w:r>
              <w:t>Cap and trade</w:t>
            </w:r>
            <w:r w:rsidRPr="005520DA">
              <w:t xml:space="preserve"> and low emissions target</w:t>
            </w:r>
          </w:p>
          <w:p w:rsidR="00022F06" w:rsidRPr="005520DA" w:rsidRDefault="00022F06" w:rsidP="00CE6667">
            <w:pPr>
              <w:pStyle w:val="TableText"/>
            </w:pPr>
            <w:r>
              <w:t>Cap and trade</w:t>
            </w:r>
            <w:r w:rsidRPr="005520DA">
              <w:t xml:space="preserve"> and regulated closures</w:t>
            </w:r>
          </w:p>
          <w:p w:rsidR="00022F06" w:rsidRPr="005520DA" w:rsidRDefault="00022F06" w:rsidP="00CE6667">
            <w:pPr>
              <w:pStyle w:val="TableText"/>
            </w:pPr>
            <w:r w:rsidRPr="005520DA">
              <w:t>Regulated closures and low emissions target</w:t>
            </w:r>
          </w:p>
          <w:p w:rsidR="00022F06" w:rsidRPr="005520DA" w:rsidRDefault="00022F06" w:rsidP="00CE6667">
            <w:pPr>
              <w:pStyle w:val="TableText"/>
            </w:pPr>
          </w:p>
        </w:tc>
        <w:tc>
          <w:tcPr>
            <w:tcW w:w="4683" w:type="dxa"/>
          </w:tcPr>
          <w:p w:rsidR="00022F06" w:rsidRPr="005520DA" w:rsidRDefault="00022F06" w:rsidP="00CE6667">
            <w:pPr>
              <w:pStyle w:val="TableText"/>
            </w:pPr>
            <w:r w:rsidRPr="005520DA">
              <w:t>Strong global action</w:t>
            </w:r>
            <w:r>
              <w:t xml:space="preserve"> affecting fuel prices and technology learning rates (2 degrees)</w:t>
            </w:r>
          </w:p>
          <w:p w:rsidR="00022F06" w:rsidRDefault="00022F06" w:rsidP="00CE6667">
            <w:pPr>
              <w:pStyle w:val="TableText"/>
            </w:pPr>
            <w:r w:rsidRPr="005520DA">
              <w:t xml:space="preserve">The first policy in each combination is fixed; the other varies so the combination meets the </w:t>
            </w:r>
            <w:r>
              <w:t xml:space="preserve">2 degree </w:t>
            </w:r>
            <w:r w:rsidRPr="005520DA">
              <w:t xml:space="preserve">emissions </w:t>
            </w:r>
            <w:r>
              <w:t>budget</w:t>
            </w:r>
            <w:r w:rsidRPr="005520DA">
              <w:t xml:space="preserve">. </w:t>
            </w:r>
          </w:p>
          <w:p w:rsidR="00022F06" w:rsidRPr="005520DA" w:rsidRDefault="00022F06" w:rsidP="00CE6667">
            <w:pPr>
              <w:pStyle w:val="TableText"/>
            </w:pPr>
            <w:r w:rsidRPr="005520DA">
              <w:t>When fixed:</w:t>
            </w:r>
          </w:p>
          <w:p w:rsidR="00022F06" w:rsidRPr="005520DA" w:rsidRDefault="00022F06" w:rsidP="00F3778C">
            <w:pPr>
              <w:pStyle w:val="TableListBullet"/>
            </w:pPr>
            <w:r w:rsidRPr="005520DA">
              <w:t>Carbon price consistent with likely chance of 3 degrees warming</w:t>
            </w:r>
          </w:p>
          <w:p w:rsidR="00022F06" w:rsidRPr="005520DA" w:rsidRDefault="00022F06" w:rsidP="00F3778C">
            <w:pPr>
              <w:pStyle w:val="TableListBullet"/>
            </w:pPr>
            <w:r w:rsidRPr="005520DA">
              <w:t>Regulated closures of all coal capacity by 2030 (regulated closures limited to coal-fired generators)</w:t>
            </w:r>
          </w:p>
        </w:tc>
      </w:tr>
      <w:tr w:rsidR="00022F06" w:rsidTr="00CE6667">
        <w:trPr>
          <w:cnfStyle w:val="000000100000" w:firstRow="0" w:lastRow="0" w:firstColumn="0" w:lastColumn="0" w:oddVBand="0" w:evenVBand="0" w:oddHBand="1" w:evenHBand="0" w:firstRowFirstColumn="0" w:firstRowLastColumn="0" w:lastRowFirstColumn="0" w:lastRowLastColumn="0"/>
          <w:trHeight w:val="32"/>
        </w:trPr>
        <w:tc>
          <w:tcPr>
            <w:tcW w:w="2235" w:type="dxa"/>
          </w:tcPr>
          <w:p w:rsidR="00022F06" w:rsidRPr="005520DA" w:rsidRDefault="00022F06" w:rsidP="00CE6667">
            <w:pPr>
              <w:pStyle w:val="TableText"/>
              <w:rPr>
                <w:b/>
              </w:rPr>
            </w:pPr>
            <w:r w:rsidRPr="005520DA">
              <w:t>Does a large shift to distributed generation and storage change the relative performance of policies? If actual electricity demand is lower than projected, does this change the relative performance of policies?</w:t>
            </w:r>
          </w:p>
        </w:tc>
        <w:tc>
          <w:tcPr>
            <w:tcW w:w="1559" w:type="dxa"/>
          </w:tcPr>
          <w:p w:rsidR="00A45D45" w:rsidRDefault="00022F06" w:rsidP="00BC2270">
            <w:pPr>
              <w:pStyle w:val="TableText"/>
            </w:pPr>
            <w:r>
              <w:t xml:space="preserve">Sensitivity: </w:t>
            </w:r>
          </w:p>
          <w:p w:rsidR="00022F06" w:rsidRPr="005520DA" w:rsidRDefault="00022F06" w:rsidP="00BC2270">
            <w:pPr>
              <w:pStyle w:val="TableText"/>
            </w:pPr>
            <w:r>
              <w:t>low demand</w:t>
            </w:r>
            <w:r w:rsidR="003224FA">
              <w:t xml:space="preserve"> </w:t>
            </w:r>
            <w:r w:rsidRPr="005520DA">
              <w:t>(higher penetr</w:t>
            </w:r>
            <w:r>
              <w:t xml:space="preserve">ation of PV and storage; lower underlying </w:t>
            </w:r>
            <w:r w:rsidRPr="005520DA">
              <w:t xml:space="preserve">electricity </w:t>
            </w:r>
            <w:r w:rsidR="00BC2270">
              <w:t>demand</w:t>
            </w:r>
            <w:r>
              <w:t>)</w:t>
            </w:r>
          </w:p>
        </w:tc>
        <w:tc>
          <w:tcPr>
            <w:tcW w:w="1559" w:type="dxa"/>
          </w:tcPr>
          <w:p w:rsidR="00022F06" w:rsidRPr="005520DA" w:rsidRDefault="00022F06" w:rsidP="00CE6667">
            <w:pPr>
              <w:pStyle w:val="TableText"/>
            </w:pPr>
            <w:r w:rsidRPr="005520DA">
              <w:t>Reference case</w:t>
            </w:r>
          </w:p>
          <w:p w:rsidR="00022F06" w:rsidRPr="005520DA" w:rsidRDefault="00022F06" w:rsidP="00CE6667">
            <w:pPr>
              <w:pStyle w:val="TableText"/>
            </w:pPr>
            <w:r>
              <w:t>Cap and trade</w:t>
            </w:r>
          </w:p>
          <w:p w:rsidR="00022F06" w:rsidRPr="005520DA" w:rsidRDefault="00022F06" w:rsidP="00CE6667">
            <w:pPr>
              <w:pStyle w:val="TableText"/>
            </w:pPr>
            <w:r w:rsidRPr="005520DA">
              <w:t>Low emissions target (planned but not run: LET targets exceed electricity demand)</w:t>
            </w:r>
          </w:p>
        </w:tc>
        <w:tc>
          <w:tcPr>
            <w:tcW w:w="4683" w:type="dxa"/>
          </w:tcPr>
          <w:p w:rsidR="00022F06" w:rsidRPr="005520DA" w:rsidRDefault="00022F06" w:rsidP="00CE6667">
            <w:pPr>
              <w:pStyle w:val="TableText"/>
            </w:pPr>
            <w:r w:rsidRPr="005520DA">
              <w:t>Strong global action</w:t>
            </w:r>
            <w:r>
              <w:t>, affecting fuel prices and technology learning rates (2 degrees)</w:t>
            </w:r>
          </w:p>
          <w:p w:rsidR="00022F06" w:rsidRPr="005520DA" w:rsidRDefault="00022F06" w:rsidP="00CE6667">
            <w:pPr>
              <w:pStyle w:val="TableText"/>
            </w:pPr>
            <w:r w:rsidRPr="005520DA">
              <w:t>Uses policy parameters from</w:t>
            </w:r>
            <w:r>
              <w:t xml:space="preserve"> the core modelling scenarios</w:t>
            </w:r>
            <w:r w:rsidR="00562BFB">
              <w:t xml:space="preserve"> (that is, policy parameters</w:t>
            </w:r>
            <w:r w:rsidRPr="005520DA">
              <w:t xml:space="preserve"> are an input not an output as per most other runs)</w:t>
            </w:r>
          </w:p>
          <w:p w:rsidR="00022F06" w:rsidRPr="005520DA" w:rsidRDefault="00022F06" w:rsidP="00CE6667">
            <w:pPr>
              <w:pStyle w:val="TableText"/>
            </w:pPr>
            <w:r w:rsidRPr="005520DA">
              <w:t xml:space="preserve">Lower electricity demand sourced from AEMO and IMO </w:t>
            </w:r>
          </w:p>
          <w:p w:rsidR="00022F06" w:rsidRPr="005520DA" w:rsidRDefault="00022F06" w:rsidP="00CE6667">
            <w:pPr>
              <w:pStyle w:val="TableText"/>
            </w:pPr>
            <w:r w:rsidRPr="005520DA">
              <w:t>Faster reductions in battery storage costs</w:t>
            </w:r>
          </w:p>
          <w:p w:rsidR="00022F06" w:rsidRPr="005520DA" w:rsidRDefault="00022F06" w:rsidP="00CE6667">
            <w:pPr>
              <w:pStyle w:val="TableText"/>
            </w:pPr>
            <w:r w:rsidRPr="005520DA">
              <w:t>Relaxed upper bounds on share of households</w:t>
            </w:r>
            <w:r>
              <w:t xml:space="preserve"> and businesses that can install PV</w:t>
            </w:r>
          </w:p>
        </w:tc>
      </w:tr>
      <w:tr w:rsidR="00022F06" w:rsidTr="00CE6667">
        <w:trPr>
          <w:trHeight w:val="32"/>
        </w:trPr>
        <w:tc>
          <w:tcPr>
            <w:tcW w:w="2235" w:type="dxa"/>
          </w:tcPr>
          <w:p w:rsidR="00022F06" w:rsidRPr="005520DA" w:rsidRDefault="00022F06" w:rsidP="00CE6667">
            <w:pPr>
              <w:pStyle w:val="TableText"/>
              <w:rPr>
                <w:b/>
              </w:rPr>
            </w:pPr>
            <w:r w:rsidRPr="005520DA">
              <w:t>If actual electricity demand is higher than projected, does this change the relative performance of policies?</w:t>
            </w:r>
          </w:p>
        </w:tc>
        <w:tc>
          <w:tcPr>
            <w:tcW w:w="1559" w:type="dxa"/>
          </w:tcPr>
          <w:p w:rsidR="00022F06" w:rsidRDefault="00022F06" w:rsidP="00CE6667">
            <w:pPr>
              <w:pStyle w:val="TableText"/>
            </w:pPr>
            <w:r>
              <w:t xml:space="preserve">Sensitivity: </w:t>
            </w:r>
          </w:p>
          <w:p w:rsidR="00022F06" w:rsidRPr="005520DA" w:rsidRDefault="00022F06" w:rsidP="00CE6667">
            <w:pPr>
              <w:pStyle w:val="TableText"/>
            </w:pPr>
            <w:r>
              <w:t>h</w:t>
            </w:r>
            <w:r w:rsidRPr="005520DA">
              <w:t>igh electricity demand</w:t>
            </w:r>
            <w:r>
              <w:t xml:space="preserve"> (electrification of other sectors and increased penetration of electric vehicles)</w:t>
            </w:r>
          </w:p>
        </w:tc>
        <w:tc>
          <w:tcPr>
            <w:tcW w:w="1559" w:type="dxa"/>
          </w:tcPr>
          <w:p w:rsidR="00022F06" w:rsidRPr="005520DA" w:rsidRDefault="00022F06" w:rsidP="00CE6667">
            <w:pPr>
              <w:pStyle w:val="TableText"/>
            </w:pPr>
            <w:r w:rsidRPr="005520DA">
              <w:t>Reference case</w:t>
            </w:r>
          </w:p>
          <w:p w:rsidR="00022F06" w:rsidRPr="005520DA" w:rsidRDefault="00022F06" w:rsidP="00CE6667">
            <w:pPr>
              <w:pStyle w:val="TableText"/>
            </w:pPr>
            <w:r w:rsidRPr="005520DA">
              <w:t>Ca</w:t>
            </w:r>
            <w:r>
              <w:t>p and trade</w:t>
            </w:r>
          </w:p>
          <w:p w:rsidR="00022F06" w:rsidRPr="005520DA" w:rsidRDefault="00022F06" w:rsidP="00CE6667">
            <w:pPr>
              <w:pStyle w:val="TableText"/>
            </w:pPr>
            <w:r w:rsidRPr="005520DA">
              <w:t>Low emissions target</w:t>
            </w:r>
          </w:p>
        </w:tc>
        <w:tc>
          <w:tcPr>
            <w:tcW w:w="4683" w:type="dxa"/>
          </w:tcPr>
          <w:p w:rsidR="00022F06" w:rsidRPr="005520DA" w:rsidRDefault="00022F06" w:rsidP="00CE6667">
            <w:pPr>
              <w:pStyle w:val="TableText"/>
            </w:pPr>
            <w:r w:rsidRPr="005520DA">
              <w:t>Strong global action</w:t>
            </w:r>
            <w:r>
              <w:t>, affecting fuel prices and technology learning rates (2 degrees)</w:t>
            </w:r>
          </w:p>
          <w:p w:rsidR="00022F06" w:rsidRPr="005520DA" w:rsidRDefault="00022F06" w:rsidP="00CE6667">
            <w:pPr>
              <w:pStyle w:val="TableText"/>
            </w:pPr>
            <w:r w:rsidRPr="005520DA">
              <w:t xml:space="preserve">Uses policy parameters from </w:t>
            </w:r>
            <w:r>
              <w:t>the core modelling scenarios</w:t>
            </w:r>
            <w:r w:rsidRPr="005520DA">
              <w:t xml:space="preserve"> (that is, polic</w:t>
            </w:r>
            <w:r w:rsidR="00562BFB">
              <w:t>y parameters</w:t>
            </w:r>
            <w:r w:rsidRPr="005520DA">
              <w:t xml:space="preserve"> are an input not an output as per most other runs)</w:t>
            </w:r>
          </w:p>
          <w:p w:rsidR="00022F06" w:rsidRPr="005520DA" w:rsidRDefault="00022F06" w:rsidP="00CE6667">
            <w:pPr>
              <w:pStyle w:val="TableText"/>
            </w:pPr>
            <w:r w:rsidRPr="005520DA">
              <w:t>High electricity demand based on</w:t>
            </w:r>
            <w:r>
              <w:t xml:space="preserve"> </w:t>
            </w:r>
            <w:bookmarkStart w:id="699" w:name="_CTVP001c3f33d8e48484302a3713773d6f8cf7b"/>
            <w:proofErr w:type="spellStart"/>
            <w:r w:rsidR="0045376D">
              <w:t>ClimateWorks</w:t>
            </w:r>
            <w:proofErr w:type="spellEnd"/>
            <w:r w:rsidR="0045376D">
              <w:t xml:space="preserve"> Australia et al.</w:t>
            </w:r>
            <w:bookmarkEnd w:id="699"/>
            <w:r>
              <w:t xml:space="preserve"> </w:t>
            </w:r>
            <w:bookmarkStart w:id="700" w:name="_CTVP0015182f70849174e84b5bff9411dc4907b"/>
            <w:r w:rsidR="0059109A">
              <w:t>(2014)</w:t>
            </w:r>
            <w:bookmarkEnd w:id="700"/>
            <w:r>
              <w:t xml:space="preserve"> for NEM and </w:t>
            </w:r>
            <w:bookmarkStart w:id="701" w:name="_CTVP0016a9e1dd506ce47dab884213f454da176"/>
            <w:r w:rsidR="0059109A">
              <w:t>Independent Market Operator</w:t>
            </w:r>
            <w:bookmarkEnd w:id="701"/>
            <w:r>
              <w:t xml:space="preserve"> </w:t>
            </w:r>
            <w:bookmarkStart w:id="702" w:name="_CTVP0018d11226843b04374a7ef28c585be06e4"/>
            <w:r w:rsidR="0059109A">
              <w:t>(2015)</w:t>
            </w:r>
            <w:bookmarkEnd w:id="702"/>
            <w:r>
              <w:t xml:space="preserve"> high demand scenario</w:t>
            </w:r>
            <w:r w:rsidRPr="005520DA">
              <w:t xml:space="preserve"> </w:t>
            </w:r>
            <w:r>
              <w:t xml:space="preserve">for the </w:t>
            </w:r>
            <w:r w:rsidRPr="005520DA">
              <w:t>WEM</w:t>
            </w:r>
            <w:r w:rsidRPr="005520DA">
              <w:rPr>
                <w:vertAlign w:val="superscript"/>
              </w:rPr>
              <w:t xml:space="preserve"> </w:t>
            </w:r>
            <w:r w:rsidRPr="005520DA">
              <w:t xml:space="preserve"> </w:t>
            </w:r>
          </w:p>
        </w:tc>
      </w:tr>
      <w:tr w:rsidR="00022F06" w:rsidTr="00CE6667">
        <w:trPr>
          <w:cnfStyle w:val="000000100000" w:firstRow="0" w:lastRow="0" w:firstColumn="0" w:lastColumn="0" w:oddVBand="0" w:evenVBand="0" w:oddHBand="1" w:evenHBand="0" w:firstRowFirstColumn="0" w:firstRowLastColumn="0" w:lastRowFirstColumn="0" w:lastRowLastColumn="0"/>
          <w:trHeight w:val="32"/>
        </w:trPr>
        <w:tc>
          <w:tcPr>
            <w:tcW w:w="2235" w:type="dxa"/>
          </w:tcPr>
          <w:p w:rsidR="00022F06" w:rsidRPr="005520DA" w:rsidRDefault="00022F06" w:rsidP="00CE6667">
            <w:pPr>
              <w:pStyle w:val="TableText"/>
              <w:rPr>
                <w:b/>
              </w:rPr>
            </w:pPr>
            <w:proofErr w:type="gramStart"/>
            <w:r w:rsidRPr="005520DA">
              <w:t>Does</w:t>
            </w:r>
            <w:proofErr w:type="gramEnd"/>
            <w:r w:rsidRPr="005520DA">
              <w:t xml:space="preserve"> changing costs and/or availability of key large-scale technologies change the relative performance of policies?</w:t>
            </w:r>
          </w:p>
        </w:tc>
        <w:tc>
          <w:tcPr>
            <w:tcW w:w="1559" w:type="dxa"/>
          </w:tcPr>
          <w:p w:rsidR="00022F06" w:rsidRDefault="00022F06" w:rsidP="00CE6667">
            <w:pPr>
              <w:pStyle w:val="TableText"/>
            </w:pPr>
            <w:r>
              <w:t>Sensitivity:</w:t>
            </w:r>
          </w:p>
          <w:p w:rsidR="00022F06" w:rsidRPr="005520DA" w:rsidRDefault="00022F06" w:rsidP="00CE6667">
            <w:pPr>
              <w:pStyle w:val="TableText"/>
            </w:pPr>
            <w:r>
              <w:t>t</w:t>
            </w:r>
            <w:r w:rsidRPr="005520DA">
              <w:t>echnology sensitivit</w:t>
            </w:r>
            <w:r>
              <w:t>y</w:t>
            </w:r>
          </w:p>
        </w:tc>
        <w:tc>
          <w:tcPr>
            <w:tcW w:w="1559" w:type="dxa"/>
          </w:tcPr>
          <w:p w:rsidR="00022F06" w:rsidRPr="005520DA" w:rsidRDefault="00022F06" w:rsidP="00CE6667">
            <w:pPr>
              <w:pStyle w:val="TableText"/>
            </w:pPr>
            <w:r w:rsidRPr="005520DA">
              <w:t>Reference case</w:t>
            </w:r>
          </w:p>
          <w:p w:rsidR="00022F06" w:rsidRDefault="00022F06" w:rsidP="00CE6667">
            <w:pPr>
              <w:pStyle w:val="TableText"/>
            </w:pPr>
            <w:r>
              <w:t>Cap and trade</w:t>
            </w:r>
          </w:p>
          <w:p w:rsidR="00022F06" w:rsidRPr="005520DA" w:rsidRDefault="00022F06" w:rsidP="00CE6667">
            <w:pPr>
              <w:pStyle w:val="TableText"/>
            </w:pPr>
            <w:r w:rsidRPr="005520DA">
              <w:t>Low emissions target</w:t>
            </w:r>
          </w:p>
          <w:p w:rsidR="00022F06" w:rsidRPr="005520DA" w:rsidRDefault="00022F06" w:rsidP="00CE6667">
            <w:pPr>
              <w:pStyle w:val="TableText"/>
            </w:pPr>
            <w:r w:rsidRPr="005520DA">
              <w:t>Renewable energy target</w:t>
            </w:r>
          </w:p>
        </w:tc>
        <w:tc>
          <w:tcPr>
            <w:tcW w:w="4683" w:type="dxa"/>
          </w:tcPr>
          <w:p w:rsidR="00022F06" w:rsidRPr="005520DA" w:rsidRDefault="00022F06" w:rsidP="00CE6667">
            <w:pPr>
              <w:pStyle w:val="TableText"/>
            </w:pPr>
            <w:r w:rsidRPr="005520DA">
              <w:t>Strong global action</w:t>
            </w:r>
            <w:r>
              <w:t>, affecting fuel prices and technology learning rates (2 degrees)</w:t>
            </w:r>
          </w:p>
          <w:p w:rsidR="00022F06" w:rsidRPr="005520DA" w:rsidRDefault="00022F06" w:rsidP="00CE6667">
            <w:pPr>
              <w:pStyle w:val="TableText"/>
            </w:pPr>
            <w:r w:rsidRPr="005520DA">
              <w:t>Policies calibrated to meet</w:t>
            </w:r>
            <w:r>
              <w:t xml:space="preserve"> 2 degree</w:t>
            </w:r>
            <w:r w:rsidRPr="005520DA">
              <w:t xml:space="preserve"> emissions </w:t>
            </w:r>
            <w:r>
              <w:t>budget</w:t>
            </w:r>
          </w:p>
          <w:p w:rsidR="00022F06" w:rsidRPr="005520DA" w:rsidRDefault="00022F06" w:rsidP="00CE6667">
            <w:pPr>
              <w:pStyle w:val="TableText"/>
            </w:pPr>
            <w:r w:rsidRPr="005520DA">
              <w:t xml:space="preserve">No nuclear, CCS or geothermal deployment </w:t>
            </w:r>
          </w:p>
          <w:p w:rsidR="00022F06" w:rsidRPr="005520DA" w:rsidRDefault="00022F06" w:rsidP="00CE6667">
            <w:pPr>
              <w:pStyle w:val="TableText"/>
            </w:pPr>
            <w:r w:rsidRPr="005520DA">
              <w:t>Faster reductions in battery storage costs</w:t>
            </w:r>
          </w:p>
        </w:tc>
      </w:tr>
      <w:tr w:rsidR="00022F06" w:rsidTr="00CE6667">
        <w:trPr>
          <w:trHeight w:val="32"/>
        </w:trPr>
        <w:tc>
          <w:tcPr>
            <w:tcW w:w="2235" w:type="dxa"/>
          </w:tcPr>
          <w:p w:rsidR="00022F06" w:rsidRPr="005520DA" w:rsidRDefault="00022F06" w:rsidP="00CE6667">
            <w:pPr>
              <w:pStyle w:val="TableText"/>
            </w:pPr>
            <w:r w:rsidRPr="005520DA">
              <w:t>Would less ambitious emissions targets change the relative performance of policies?</w:t>
            </w:r>
          </w:p>
        </w:tc>
        <w:tc>
          <w:tcPr>
            <w:tcW w:w="1559" w:type="dxa"/>
          </w:tcPr>
          <w:p w:rsidR="00022F06" w:rsidRDefault="00022F06" w:rsidP="00CE6667">
            <w:pPr>
              <w:pStyle w:val="TableText"/>
            </w:pPr>
            <w:r>
              <w:t>Sensitivity:</w:t>
            </w:r>
          </w:p>
          <w:p w:rsidR="00022F06" w:rsidRDefault="00022F06" w:rsidP="00CE6667">
            <w:pPr>
              <w:pStyle w:val="TableText"/>
            </w:pPr>
            <w:r>
              <w:t>w</w:t>
            </w:r>
            <w:r w:rsidRPr="005520DA">
              <w:t xml:space="preserve">eaker emissions </w:t>
            </w:r>
            <w:r>
              <w:t>budget</w:t>
            </w:r>
          </w:p>
        </w:tc>
        <w:tc>
          <w:tcPr>
            <w:tcW w:w="1559" w:type="dxa"/>
          </w:tcPr>
          <w:p w:rsidR="00022F06" w:rsidRPr="005520DA" w:rsidRDefault="00022F06" w:rsidP="00CE6667">
            <w:pPr>
              <w:pStyle w:val="TableText"/>
            </w:pPr>
            <w:r w:rsidRPr="005520DA">
              <w:t>All</w:t>
            </w:r>
          </w:p>
        </w:tc>
        <w:tc>
          <w:tcPr>
            <w:tcW w:w="4683" w:type="dxa"/>
          </w:tcPr>
          <w:p w:rsidR="00022F06" w:rsidRPr="005520DA" w:rsidRDefault="00022F06" w:rsidP="00CE6667">
            <w:pPr>
              <w:pStyle w:val="TableText"/>
            </w:pPr>
            <w:r w:rsidRPr="005520DA">
              <w:t>Weaker global action</w:t>
            </w:r>
            <w:r>
              <w:t>, affecting fuel prices and technology learning rates (3 degrees)</w:t>
            </w:r>
            <w:r>
              <w:rPr>
                <w:rStyle w:val="FootnoteReference"/>
              </w:rPr>
              <w:t xml:space="preserve"> </w:t>
            </w:r>
            <w:r>
              <w:rPr>
                <w:rStyle w:val="FootnoteReference"/>
              </w:rPr>
              <w:footnoteReference w:id="19"/>
            </w:r>
          </w:p>
          <w:p w:rsidR="00022F06" w:rsidRPr="005520DA" w:rsidRDefault="00022F06" w:rsidP="00CE6667">
            <w:pPr>
              <w:pStyle w:val="TableText"/>
            </w:pPr>
            <w:r w:rsidRPr="005520DA">
              <w:t xml:space="preserve">Policies calibrated to meet </w:t>
            </w:r>
            <w:r>
              <w:t xml:space="preserve">3 degree </w:t>
            </w:r>
            <w:r w:rsidRPr="005520DA">
              <w:t xml:space="preserve">emissions </w:t>
            </w:r>
            <w:r>
              <w:t>budget</w:t>
            </w:r>
          </w:p>
        </w:tc>
      </w:tr>
    </w:tbl>
    <w:p w:rsidR="00022F06" w:rsidRPr="0095731C" w:rsidRDefault="00022F06" w:rsidP="0095731C">
      <w:pPr>
        <w:pStyle w:val="TableNote"/>
      </w:pPr>
      <w:r w:rsidRPr="00A45D45">
        <w:rPr>
          <w:b/>
        </w:rPr>
        <w:t>Source:</w:t>
      </w:r>
      <w:r w:rsidRPr="0095731C">
        <w:t xml:space="preserve"> Climate Change Authority</w:t>
      </w:r>
      <w:r w:rsidR="0095731C">
        <w:t>.</w:t>
      </w:r>
    </w:p>
    <w:p w:rsidR="00022F06" w:rsidRDefault="00022F06" w:rsidP="00022F06">
      <w:pPr>
        <w:pStyle w:val="AppendixHeading3"/>
      </w:pPr>
      <w:bookmarkStart w:id="703" w:name="_Toc460318015"/>
      <w:r>
        <w:lastRenderedPageBreak/>
        <w:t>Key inputs and assumptions</w:t>
      </w:r>
      <w:bookmarkEnd w:id="703"/>
    </w:p>
    <w:p w:rsidR="00022F06" w:rsidRDefault="00CA762C" w:rsidP="00022F06">
      <w:pPr>
        <w:pStyle w:val="BodyText"/>
      </w:pPr>
      <w:r>
        <w:t xml:space="preserve">Table </w:t>
      </w:r>
      <w:r>
        <w:rPr>
          <w:noProof/>
        </w:rPr>
        <w:t>8</w:t>
      </w:r>
      <w:r w:rsidR="00022F06">
        <w:rPr>
          <w:lang w:val="en-GB" w:eastAsia="en-AU"/>
        </w:rPr>
        <w:t xml:space="preserve"> provides an overview of the key modelling assumptions. Another standard assumption adopted in the modelling is that investors have ‘perfect</w:t>
      </w:r>
      <w:r w:rsidR="003112AC">
        <w:rPr>
          <w:lang w:val="en-GB" w:eastAsia="en-AU"/>
        </w:rPr>
        <w:t xml:space="preserve"> foresight’. T</w:t>
      </w:r>
      <w:r w:rsidR="00022F06">
        <w:rPr>
          <w:lang w:val="en-GB" w:eastAsia="en-AU"/>
        </w:rPr>
        <w:t>hat is</w:t>
      </w:r>
      <w:r w:rsidR="003112AC">
        <w:rPr>
          <w:lang w:val="en-GB" w:eastAsia="en-AU"/>
        </w:rPr>
        <w:t>,</w:t>
      </w:r>
      <w:r w:rsidR="00022F06">
        <w:rPr>
          <w:lang w:val="en-GB" w:eastAsia="en-AU"/>
        </w:rPr>
        <w:t xml:space="preserve"> the future paths of all variables are known with certainty</w:t>
      </w:r>
      <w:r w:rsidR="00022F06">
        <w:t xml:space="preserve">. Investment decisions, for example, are made with complete knowledge of future fuel and capital costs. The impacts of uncertainty on policy choice are considered through sensitivities and the Authority’s qualitative evaluation. </w:t>
      </w:r>
    </w:p>
    <w:p w:rsidR="00022F06" w:rsidRDefault="00022F06" w:rsidP="00022F06">
      <w:pPr>
        <w:pStyle w:val="BodyText"/>
        <w:rPr>
          <w:lang w:val="en-GB" w:eastAsia="en-AU"/>
        </w:rPr>
      </w:pPr>
      <w:r>
        <w:rPr>
          <w:lang w:val="en-GB" w:eastAsia="en-AU"/>
        </w:rPr>
        <w:t>For further details on the model</w:t>
      </w:r>
      <w:r w:rsidR="005546FD">
        <w:rPr>
          <w:lang w:val="en-GB" w:eastAsia="en-AU"/>
        </w:rPr>
        <w:t xml:space="preserve">ling assumptions see Appendix C of </w:t>
      </w:r>
      <w:r>
        <w:rPr>
          <w:lang w:val="en-GB" w:eastAsia="en-AU"/>
        </w:rPr>
        <w:t>Jacobs</w:t>
      </w:r>
      <w:r w:rsidR="00562BFB">
        <w:rPr>
          <w:lang w:val="en-GB" w:eastAsia="en-AU"/>
        </w:rPr>
        <w:t>’</w:t>
      </w:r>
      <w:r>
        <w:rPr>
          <w:lang w:val="en-GB" w:eastAsia="en-AU"/>
        </w:rPr>
        <w:t xml:space="preserve"> modelling report </w:t>
      </w:r>
      <w:bookmarkStart w:id="704" w:name="_CTVP00166d74f30e64c4670b0339b86ddce6bd3"/>
      <w:r w:rsidR="0059109A">
        <w:rPr>
          <w:lang w:val="en-GB" w:eastAsia="en-AU"/>
        </w:rPr>
        <w:t>(Jacobs 2016c)</w:t>
      </w:r>
      <w:bookmarkEnd w:id="704"/>
      <w:r>
        <w:rPr>
          <w:lang w:val="en-GB" w:eastAsia="en-AU"/>
        </w:rPr>
        <w:t xml:space="preserve">. </w:t>
      </w:r>
    </w:p>
    <w:p w:rsidR="00022F06" w:rsidRDefault="00022F06" w:rsidP="00022F06">
      <w:pPr>
        <w:pStyle w:val="Caption"/>
      </w:pPr>
      <w:bookmarkStart w:id="705" w:name="_Ref442964770"/>
      <w:bookmarkStart w:id="706" w:name="_Toc443999232"/>
      <w:bookmarkStart w:id="707" w:name="_Toc444162838"/>
      <w:bookmarkStart w:id="708" w:name="_Toc444610090"/>
      <w:bookmarkStart w:id="709" w:name="_Toc447122293"/>
      <w:bookmarkStart w:id="710" w:name="_Toc447641415"/>
      <w:bookmarkStart w:id="711" w:name="_Toc460318076"/>
      <w:r>
        <w:t xml:space="preserve">Table </w:t>
      </w:r>
      <w:r w:rsidR="00CA762C">
        <w:rPr>
          <w:noProof/>
        </w:rPr>
        <w:t>8</w:t>
      </w:r>
      <w:bookmarkEnd w:id="705"/>
      <w:r w:rsidR="00A6425D">
        <w:tab/>
      </w:r>
      <w:r>
        <w:t>Key modelling assumptions</w:t>
      </w:r>
      <w:bookmarkEnd w:id="706"/>
      <w:bookmarkEnd w:id="707"/>
      <w:bookmarkEnd w:id="708"/>
      <w:r>
        <w:t xml:space="preserve"> for core scenarios</w:t>
      </w:r>
      <w:bookmarkEnd w:id="709"/>
      <w:bookmarkEnd w:id="710"/>
      <w:bookmarkEnd w:id="711"/>
    </w:p>
    <w:tbl>
      <w:tblPr>
        <w:tblStyle w:val="CCATable"/>
        <w:tblW w:w="0" w:type="auto"/>
        <w:tblLook w:val="04A0" w:firstRow="1" w:lastRow="0" w:firstColumn="1" w:lastColumn="0" w:noHBand="0" w:noVBand="1"/>
      </w:tblPr>
      <w:tblGrid>
        <w:gridCol w:w="2376"/>
        <w:gridCol w:w="7479"/>
      </w:tblGrid>
      <w:tr w:rsidR="00022F06" w:rsidTr="00CE6667">
        <w:trPr>
          <w:cnfStyle w:val="100000000000" w:firstRow="1" w:lastRow="0" w:firstColumn="0" w:lastColumn="0" w:oddVBand="0" w:evenVBand="0" w:oddHBand="0" w:evenHBand="0" w:firstRowFirstColumn="0" w:firstRowLastColumn="0" w:lastRowFirstColumn="0" w:lastRowLastColumn="0"/>
        </w:trPr>
        <w:tc>
          <w:tcPr>
            <w:tcW w:w="2376" w:type="dxa"/>
          </w:tcPr>
          <w:p w:rsidR="00022F06" w:rsidRDefault="00022F06" w:rsidP="00CE6667">
            <w:pPr>
              <w:pStyle w:val="TableHeading"/>
              <w:jc w:val="center"/>
              <w:rPr>
                <w:lang w:val="en-GB"/>
              </w:rPr>
            </w:pPr>
            <w:r>
              <w:rPr>
                <w:lang w:val="en-GB"/>
              </w:rPr>
              <w:t>Modelling assumption</w:t>
            </w:r>
          </w:p>
        </w:tc>
        <w:tc>
          <w:tcPr>
            <w:tcW w:w="7479" w:type="dxa"/>
          </w:tcPr>
          <w:p w:rsidR="00022F06" w:rsidRDefault="00022F06" w:rsidP="00CE6667">
            <w:pPr>
              <w:pStyle w:val="TableHeading"/>
              <w:jc w:val="center"/>
              <w:rPr>
                <w:lang w:val="en-GB"/>
              </w:rPr>
            </w:pPr>
            <w:r>
              <w:rPr>
                <w:lang w:val="en-GB"/>
              </w:rPr>
              <w:t>Description</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9855" w:type="dxa"/>
            <w:gridSpan w:val="2"/>
          </w:tcPr>
          <w:p w:rsidR="00022F06" w:rsidRPr="00226B01" w:rsidRDefault="00022F06" w:rsidP="00CE6667">
            <w:pPr>
              <w:pStyle w:val="TableText"/>
              <w:jc w:val="center"/>
              <w:rPr>
                <w:b/>
              </w:rPr>
            </w:pPr>
            <w:r w:rsidRPr="00226B01">
              <w:rPr>
                <w:b/>
              </w:rPr>
              <w:t>Gener</w:t>
            </w:r>
            <w:r>
              <w:rPr>
                <w:b/>
              </w:rPr>
              <w:t>al</w:t>
            </w:r>
            <w:r w:rsidRPr="00226B01">
              <w:rPr>
                <w:b/>
              </w:rPr>
              <w:t xml:space="preserve"> assumptions</w:t>
            </w:r>
          </w:p>
        </w:tc>
      </w:tr>
      <w:tr w:rsidR="00022F06" w:rsidTr="00CE6667">
        <w:tc>
          <w:tcPr>
            <w:tcW w:w="2376" w:type="dxa"/>
          </w:tcPr>
          <w:p w:rsidR="00022F06" w:rsidRDefault="00022F06" w:rsidP="00CE6667">
            <w:pPr>
              <w:pStyle w:val="TableText"/>
              <w:rPr>
                <w:lang w:val="en-GB"/>
              </w:rPr>
            </w:pPr>
            <w:r>
              <w:rPr>
                <w:lang w:val="en-GB"/>
              </w:rPr>
              <w:t>Emissions budget</w:t>
            </w:r>
          </w:p>
        </w:tc>
        <w:tc>
          <w:tcPr>
            <w:tcW w:w="7479" w:type="dxa"/>
          </w:tcPr>
          <w:p w:rsidR="00022F06" w:rsidRDefault="00022F06" w:rsidP="00CE6667">
            <w:pPr>
              <w:pStyle w:val="TableText"/>
              <w:rPr>
                <w:lang w:val="en-GB"/>
              </w:rPr>
            </w:pPr>
            <w:r w:rsidRPr="00340A54">
              <w:t>In order to facilitate a like-for-like comparison of pol</w:t>
            </w:r>
            <w:r>
              <w:t>icies, the modelling constrains</w:t>
            </w:r>
            <w:r w:rsidRPr="00340A54">
              <w:t xml:space="preserve"> each policy scenario to achieve the same cumulative emissions</w:t>
            </w:r>
            <w:r>
              <w:t xml:space="preserve"> over 2020–</w:t>
            </w:r>
            <w:r w:rsidR="00562BFB">
              <w:t>20</w:t>
            </w:r>
            <w:r>
              <w:t>50</w:t>
            </w:r>
            <w:r w:rsidRPr="00340A54">
              <w:t>.</w:t>
            </w:r>
            <w:r>
              <w:t xml:space="preserve"> The emissions budget is set at a level consistent with the world taking action to limit </w:t>
            </w:r>
            <w:r w:rsidRPr="00340A54">
              <w:t>global warming to no more than 2 degrees</w:t>
            </w:r>
            <w:r>
              <w:t>, and covers both direct (emissions from combustion of fuels in electricity generation) and indirect emissions (emitted during processing and supply of fuel to power stations</w:t>
            </w:r>
            <w:r w:rsidRPr="00C82CDB">
              <w:t>)</w:t>
            </w:r>
            <w:r>
              <w:t>.</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2376" w:type="dxa"/>
          </w:tcPr>
          <w:p w:rsidR="00022F06" w:rsidRDefault="00022F06" w:rsidP="00CE6667">
            <w:pPr>
              <w:pStyle w:val="TableText"/>
              <w:rPr>
                <w:lang w:val="en-GB"/>
              </w:rPr>
            </w:pPr>
            <w:r>
              <w:rPr>
                <w:lang w:val="en-GB"/>
              </w:rPr>
              <w:t>Electricity demand</w:t>
            </w:r>
          </w:p>
        </w:tc>
        <w:tc>
          <w:tcPr>
            <w:tcW w:w="7479" w:type="dxa"/>
          </w:tcPr>
          <w:p w:rsidR="00022F06" w:rsidRDefault="00022F06" w:rsidP="00CE6667">
            <w:pPr>
              <w:pStyle w:val="TableText"/>
              <w:rPr>
                <w:lang w:val="en-GB"/>
              </w:rPr>
            </w:pPr>
            <w:r w:rsidRPr="00340A54">
              <w:t>The core electricity demand projection for the modelling</w:t>
            </w:r>
            <w:r>
              <w:t xml:space="preserve"> </w:t>
            </w:r>
            <w:r w:rsidRPr="00340A54">
              <w:t>is based on the series from the Departme</w:t>
            </w:r>
            <w:r>
              <w:t>nt of the Environment’s 2014–</w:t>
            </w:r>
            <w:r w:rsidRPr="00340A54">
              <w:t>15 emission projections</w:t>
            </w:r>
            <w:r>
              <w:t xml:space="preserve"> </w:t>
            </w:r>
            <w:bookmarkStart w:id="712" w:name="_CTVP001d6ce9cdd242749edb2ca3846fe658d27"/>
            <w:r w:rsidR="0059109A">
              <w:t>(DoE 2015a)</w:t>
            </w:r>
            <w:bookmarkEnd w:id="712"/>
            <w:r w:rsidRPr="00340A54">
              <w:t xml:space="preserve">. These official projections use a total electricity demand series developed by </w:t>
            </w:r>
            <w:bookmarkStart w:id="713" w:name="_CTVP0015951e4c4317644f59a600a1fe0ef75b9"/>
            <w:proofErr w:type="spellStart"/>
            <w:r w:rsidR="0059109A">
              <w:t>pitt&amp;sherry</w:t>
            </w:r>
            <w:bookmarkEnd w:id="713"/>
            <w:proofErr w:type="spellEnd"/>
            <w:r>
              <w:t xml:space="preserve"> </w:t>
            </w:r>
            <w:bookmarkStart w:id="714" w:name="_CTVP00152312412f3454c488dcf3a3abfe352b2"/>
            <w:r w:rsidR="0059109A">
              <w:t>(2015)</w:t>
            </w:r>
            <w:bookmarkEnd w:id="714"/>
            <w:r w:rsidR="00E25ADB">
              <w:t xml:space="preserve"> </w:t>
            </w:r>
            <w:r w:rsidR="00E25ADB" w:rsidRPr="00340A54">
              <w:t>and</w:t>
            </w:r>
            <w:r w:rsidR="00E25ADB">
              <w:t xml:space="preserve"> </w:t>
            </w:r>
            <w:bookmarkStart w:id="715" w:name="_CTVP001fe11fcb608794537800ececa54d73d72"/>
            <w:r w:rsidR="0059109A">
              <w:t>ACIL Allen Consulting</w:t>
            </w:r>
            <w:bookmarkEnd w:id="715"/>
            <w:r>
              <w:t xml:space="preserve"> </w:t>
            </w:r>
            <w:bookmarkStart w:id="716" w:name="_CTVP00148e8f61d275042fbabdb11cfc1240a28"/>
            <w:r w:rsidR="0059109A">
              <w:t>(2015)</w:t>
            </w:r>
            <w:bookmarkEnd w:id="716"/>
            <w:r w:rsidRPr="00340A54">
              <w:t xml:space="preserve">. </w:t>
            </w:r>
          </w:p>
        </w:tc>
      </w:tr>
      <w:tr w:rsidR="00022F06" w:rsidTr="00CE6667">
        <w:tc>
          <w:tcPr>
            <w:tcW w:w="2376" w:type="dxa"/>
          </w:tcPr>
          <w:p w:rsidR="00022F06" w:rsidRDefault="00022F06" w:rsidP="00CE6667">
            <w:pPr>
              <w:pStyle w:val="TableText"/>
              <w:rPr>
                <w:lang w:val="en-GB"/>
              </w:rPr>
            </w:pPr>
            <w:r>
              <w:rPr>
                <w:lang w:val="en-GB"/>
              </w:rPr>
              <w:t>Commodity prices (coal and gas) and technology costs</w:t>
            </w:r>
          </w:p>
        </w:tc>
        <w:tc>
          <w:tcPr>
            <w:tcW w:w="7479" w:type="dxa"/>
          </w:tcPr>
          <w:p w:rsidR="00022F06" w:rsidRDefault="00022F06" w:rsidP="00CE6667">
            <w:pPr>
              <w:pStyle w:val="TableText"/>
              <w:rPr>
                <w:lang w:val="en-GB"/>
              </w:rPr>
            </w:pPr>
            <w:r w:rsidRPr="00397E8E">
              <w:t xml:space="preserve">From 2020, </w:t>
            </w:r>
            <w:r>
              <w:t>commodity prices and technology costs based on consistent backdrop</w:t>
            </w:r>
            <w:r w:rsidRPr="00397E8E">
              <w:t xml:space="preserve"> involving concerted global action to </w:t>
            </w:r>
            <w:r>
              <w:t xml:space="preserve">limit global warming to no more than 2 degrees. </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9855" w:type="dxa"/>
            <w:gridSpan w:val="2"/>
          </w:tcPr>
          <w:p w:rsidR="00022F06" w:rsidRPr="00226B01" w:rsidRDefault="00022F06" w:rsidP="00CE6667">
            <w:pPr>
              <w:pStyle w:val="TableText"/>
              <w:jc w:val="center"/>
              <w:rPr>
                <w:b/>
              </w:rPr>
            </w:pPr>
            <w:r w:rsidRPr="00226B01">
              <w:rPr>
                <w:b/>
              </w:rPr>
              <w:t>Policy</w:t>
            </w:r>
            <w:r>
              <w:rPr>
                <w:b/>
              </w:rPr>
              <w:noBreakHyphen/>
            </w:r>
            <w:r w:rsidRPr="00226B01">
              <w:rPr>
                <w:b/>
              </w:rPr>
              <w:t>specific assumptions</w:t>
            </w:r>
          </w:p>
        </w:tc>
      </w:tr>
      <w:tr w:rsidR="00022F06" w:rsidTr="00CE6667">
        <w:tc>
          <w:tcPr>
            <w:tcW w:w="2376" w:type="dxa"/>
          </w:tcPr>
          <w:p w:rsidR="00022F06" w:rsidRDefault="00022F06" w:rsidP="00CE6667">
            <w:pPr>
              <w:pStyle w:val="TableText"/>
              <w:rPr>
                <w:lang w:val="en-GB"/>
              </w:rPr>
            </w:pPr>
            <w:r>
              <w:rPr>
                <w:lang w:val="en-GB"/>
              </w:rPr>
              <w:t>Cap and trade</w:t>
            </w:r>
          </w:p>
        </w:tc>
        <w:tc>
          <w:tcPr>
            <w:tcW w:w="7479" w:type="dxa"/>
          </w:tcPr>
          <w:p w:rsidR="00022F06" w:rsidRPr="00397E8E" w:rsidRDefault="00022F06" w:rsidP="00562BFB">
            <w:pPr>
              <w:pStyle w:val="TableText"/>
            </w:pPr>
            <w:r>
              <w:t>Applies to all generators, full auctioning of permits, no banking or borrowing of permits.</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2376" w:type="dxa"/>
          </w:tcPr>
          <w:p w:rsidR="00022F06" w:rsidRDefault="00022F06" w:rsidP="00CE6667">
            <w:pPr>
              <w:pStyle w:val="TableText"/>
              <w:rPr>
                <w:lang w:val="en-GB"/>
              </w:rPr>
            </w:pPr>
            <w:r>
              <w:rPr>
                <w:lang w:val="en-GB"/>
              </w:rPr>
              <w:t>Emissions intensity scheme</w:t>
            </w:r>
          </w:p>
        </w:tc>
        <w:tc>
          <w:tcPr>
            <w:tcW w:w="7479" w:type="dxa"/>
          </w:tcPr>
          <w:p w:rsidR="00022F06" w:rsidRPr="00397E8E" w:rsidRDefault="00022F06" w:rsidP="00CE6667">
            <w:pPr>
              <w:pStyle w:val="TableText"/>
            </w:pPr>
            <w:r>
              <w:t xml:space="preserve">Applies to all generators, emissions intensity baseline declines linearly from 2020, unlimited banking of permits, </w:t>
            </w:r>
            <w:proofErr w:type="gramStart"/>
            <w:r>
              <w:t>borrowing</w:t>
            </w:r>
            <w:proofErr w:type="gramEnd"/>
            <w:r>
              <w:t xml:space="preserve"> limit of 10 per cent of permits.</w:t>
            </w:r>
          </w:p>
        </w:tc>
      </w:tr>
      <w:tr w:rsidR="00022F06" w:rsidTr="00CE6667">
        <w:tc>
          <w:tcPr>
            <w:tcW w:w="2376" w:type="dxa"/>
          </w:tcPr>
          <w:p w:rsidR="00022F06" w:rsidRDefault="00022F06" w:rsidP="00CE6667">
            <w:pPr>
              <w:pStyle w:val="TableText"/>
              <w:rPr>
                <w:lang w:val="en-GB"/>
              </w:rPr>
            </w:pPr>
            <w:r>
              <w:rPr>
                <w:lang w:val="en-GB"/>
              </w:rPr>
              <w:t>Renewable energy target</w:t>
            </w:r>
          </w:p>
        </w:tc>
        <w:tc>
          <w:tcPr>
            <w:tcW w:w="7479" w:type="dxa"/>
          </w:tcPr>
          <w:p w:rsidR="00022F06" w:rsidRPr="00397E8E" w:rsidRDefault="00022F06" w:rsidP="00CE6667">
            <w:pPr>
              <w:pStyle w:val="TableText"/>
            </w:pPr>
            <w:r>
              <w:t>Eligibility limited to new large-scale renewable generators and brownf</w:t>
            </w:r>
            <w:r w:rsidR="00562BFB">
              <w:t>ield projects on existing sites. N</w:t>
            </w:r>
            <w:r>
              <w:t>ew LRET trajectory additional to the existing LRET.</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2376" w:type="dxa"/>
          </w:tcPr>
          <w:p w:rsidR="00022F06" w:rsidRDefault="00022F06" w:rsidP="00CE6667">
            <w:pPr>
              <w:pStyle w:val="TableText"/>
              <w:rPr>
                <w:lang w:val="en-GB"/>
              </w:rPr>
            </w:pPr>
            <w:r>
              <w:rPr>
                <w:lang w:val="en-GB"/>
              </w:rPr>
              <w:t>Low emissions target</w:t>
            </w:r>
          </w:p>
        </w:tc>
        <w:tc>
          <w:tcPr>
            <w:tcW w:w="7479" w:type="dxa"/>
          </w:tcPr>
          <w:p w:rsidR="00022F06" w:rsidRPr="00397E8E" w:rsidRDefault="00022F06" w:rsidP="00CE6667">
            <w:pPr>
              <w:pStyle w:val="TableText"/>
            </w:pPr>
            <w:r>
              <w:t>Eligibility includes all generators with emissions below 0.6 t</w:t>
            </w:r>
            <w:r w:rsidR="00F52919">
              <w:t> </w:t>
            </w:r>
            <w:r>
              <w:t>CO</w:t>
            </w:r>
            <w:r w:rsidRPr="00226B01">
              <w:rPr>
                <w:vertAlign w:val="subscript"/>
              </w:rPr>
              <w:t>2</w:t>
            </w:r>
            <w:r>
              <w:t>-e/MWh (the baseline). Eligible generators with above-zero emissions earn partial certificates in proportion to their emissions int</w:t>
            </w:r>
            <w:r w:rsidR="00562BFB">
              <w:t>ensity relative to the baseline.</w:t>
            </w:r>
            <w:r>
              <w:t xml:space="preserve"> Target additional to the existing LRET. </w:t>
            </w:r>
          </w:p>
        </w:tc>
      </w:tr>
      <w:tr w:rsidR="00022F06" w:rsidTr="00CE6667">
        <w:tc>
          <w:tcPr>
            <w:tcW w:w="2376" w:type="dxa"/>
          </w:tcPr>
          <w:p w:rsidR="00022F06" w:rsidRDefault="00022F06" w:rsidP="00CE6667">
            <w:pPr>
              <w:pStyle w:val="TableText"/>
              <w:rPr>
                <w:lang w:val="en-GB"/>
              </w:rPr>
            </w:pPr>
            <w:r>
              <w:rPr>
                <w:lang w:val="en-GB"/>
              </w:rPr>
              <w:t>Contracts for difference</w:t>
            </w:r>
          </w:p>
        </w:tc>
        <w:tc>
          <w:tcPr>
            <w:tcW w:w="7479" w:type="dxa"/>
          </w:tcPr>
          <w:p w:rsidR="00022F06" w:rsidRPr="00397E8E" w:rsidRDefault="00022F06" w:rsidP="00562BFB">
            <w:pPr>
              <w:pStyle w:val="TableText"/>
            </w:pPr>
            <w:r>
              <w:t>Eligibility limited to new renewables, new fossils with</w:t>
            </w:r>
            <w:r w:rsidR="00562BFB">
              <w:t xml:space="preserve"> CCS, CCS retrofits and nuclear. Twenty</w:t>
            </w:r>
            <w:r>
              <w:t xml:space="preserve"> </w:t>
            </w:r>
            <w:r w:rsidR="00562BFB">
              <w:t>year contracts;</w:t>
            </w:r>
            <w:r>
              <w:t xml:space="preserve"> tariff payed through an energy</w:t>
            </w:r>
            <w:r>
              <w:noBreakHyphen/>
              <w:t>based customer levy.</w:t>
            </w:r>
          </w:p>
        </w:tc>
      </w:tr>
      <w:tr w:rsidR="00022F06" w:rsidTr="00CE6667">
        <w:trPr>
          <w:cnfStyle w:val="000000100000" w:firstRow="0" w:lastRow="0" w:firstColumn="0" w:lastColumn="0" w:oddVBand="0" w:evenVBand="0" w:oddHBand="1" w:evenHBand="0" w:firstRowFirstColumn="0" w:firstRowLastColumn="0" w:lastRowFirstColumn="0" w:lastRowLastColumn="0"/>
        </w:trPr>
        <w:tc>
          <w:tcPr>
            <w:tcW w:w="2376" w:type="dxa"/>
          </w:tcPr>
          <w:p w:rsidR="00022F06" w:rsidRDefault="00022F06" w:rsidP="00CE6667">
            <w:pPr>
              <w:pStyle w:val="TableText"/>
              <w:rPr>
                <w:lang w:val="en-GB"/>
              </w:rPr>
            </w:pPr>
            <w:r>
              <w:rPr>
                <w:lang w:val="en-GB"/>
              </w:rPr>
              <w:t>Regulated closure</w:t>
            </w:r>
            <w:r w:rsidR="00A82A29">
              <w:rPr>
                <w:lang w:val="en-GB"/>
              </w:rPr>
              <w:t>s</w:t>
            </w:r>
          </w:p>
        </w:tc>
        <w:tc>
          <w:tcPr>
            <w:tcW w:w="7479" w:type="dxa"/>
          </w:tcPr>
          <w:p w:rsidR="00022F06" w:rsidRPr="00397E8E" w:rsidRDefault="00022F06" w:rsidP="00CE6667">
            <w:pPr>
              <w:pStyle w:val="TableText"/>
            </w:pPr>
            <w:r>
              <w:t>Applies to coal</w:t>
            </w:r>
            <w:r>
              <w:noBreakHyphen/>
              <w:t>fired and gas generators. Aged</w:t>
            </w:r>
            <w:r>
              <w:noBreakHyphen/>
              <w:t xml:space="preserve">based closure of coal generators that do not undergo CCS retrofit. Gas generators subject to </w:t>
            </w:r>
            <w:r w:rsidR="00562BFB">
              <w:t xml:space="preserve">an annual </w:t>
            </w:r>
            <w:r>
              <w:t>emissions limit of 2,200 t</w:t>
            </w:r>
            <w:r w:rsidR="00F52919">
              <w:t> </w:t>
            </w:r>
            <w:r>
              <w:t>CO</w:t>
            </w:r>
            <w:r w:rsidRPr="00226B01">
              <w:rPr>
                <w:vertAlign w:val="subscript"/>
              </w:rPr>
              <w:t>2</w:t>
            </w:r>
            <w:r w:rsidR="00562BFB">
              <w:t>-e/MW capacity. N</w:t>
            </w:r>
            <w:r>
              <w:t>o new coal without CCS.</w:t>
            </w:r>
          </w:p>
        </w:tc>
      </w:tr>
      <w:tr w:rsidR="00022F06" w:rsidTr="00CE6667">
        <w:tc>
          <w:tcPr>
            <w:tcW w:w="2376" w:type="dxa"/>
          </w:tcPr>
          <w:p w:rsidR="00022F06" w:rsidRDefault="00022F06" w:rsidP="00CE6667">
            <w:pPr>
              <w:pStyle w:val="TableText"/>
              <w:rPr>
                <w:lang w:val="en-GB"/>
              </w:rPr>
            </w:pPr>
            <w:r>
              <w:rPr>
                <w:lang w:val="en-GB"/>
              </w:rPr>
              <w:t>Absolute baselines</w:t>
            </w:r>
          </w:p>
        </w:tc>
        <w:tc>
          <w:tcPr>
            <w:tcW w:w="7479" w:type="dxa"/>
          </w:tcPr>
          <w:p w:rsidR="00022F06" w:rsidRPr="00397E8E" w:rsidRDefault="00562BFB" w:rsidP="00562BFB">
            <w:pPr>
              <w:pStyle w:val="TableText"/>
            </w:pPr>
            <w:r>
              <w:t>Applies to all generators</w:t>
            </w:r>
            <w:r w:rsidR="00022F06">
              <w:t xml:space="preserve"> with a</w:t>
            </w:r>
            <w:r>
              <w:t>bove average emissions intensities. N</w:t>
            </w:r>
            <w:r w:rsidR="00022F06">
              <w:t>o new coal or gas without CCS.</w:t>
            </w:r>
          </w:p>
        </w:tc>
      </w:tr>
    </w:tbl>
    <w:p w:rsidR="00022F06" w:rsidRDefault="00022F06" w:rsidP="00022F06">
      <w:pPr>
        <w:pStyle w:val="TableNote"/>
        <w:rPr>
          <w:lang w:val="en-GB"/>
        </w:rPr>
      </w:pPr>
      <w:r w:rsidRPr="002128D6">
        <w:rPr>
          <w:b/>
          <w:lang w:val="en-GB"/>
        </w:rPr>
        <w:t>Source:</w:t>
      </w:r>
      <w:r>
        <w:rPr>
          <w:lang w:val="en-GB"/>
        </w:rPr>
        <w:t xml:space="preserve"> Climate Change Authority.</w:t>
      </w:r>
    </w:p>
    <w:p w:rsidR="00022F06" w:rsidRDefault="00022F06" w:rsidP="00022F06">
      <w:pPr>
        <w:pStyle w:val="AppendixHeading3"/>
      </w:pPr>
      <w:bookmarkStart w:id="717" w:name="_Toc460318016"/>
      <w:r>
        <w:t>Technology costs</w:t>
      </w:r>
      <w:bookmarkEnd w:id="717"/>
    </w:p>
    <w:p w:rsidR="00022F06" w:rsidRDefault="00022F06" w:rsidP="00022F06">
      <w:pPr>
        <w:pStyle w:val="BodyText"/>
      </w:pPr>
      <w:r>
        <w:t xml:space="preserve">This section compares Jacobs’ technology costs with those from two other recent studies: </w:t>
      </w:r>
    </w:p>
    <w:p w:rsidR="00022F06" w:rsidRDefault="003224FA" w:rsidP="00022F06">
      <w:pPr>
        <w:pStyle w:val="BodyText"/>
        <w:numPr>
          <w:ilvl w:val="0"/>
          <w:numId w:val="37"/>
        </w:numPr>
      </w:pPr>
      <w:r>
        <w:t>T</w:t>
      </w:r>
      <w:r w:rsidR="00022F06">
        <w:t xml:space="preserve">he Australian Power Generation Technology (APGT) </w:t>
      </w:r>
      <w:r w:rsidR="00022F06" w:rsidRPr="009D0F88">
        <w:t xml:space="preserve">study steered by CO2CRC, CSIRO, Australian Renewable Energy Agency, Australian Government: Department of Industry and Science, and </w:t>
      </w:r>
      <w:proofErr w:type="spellStart"/>
      <w:r w:rsidR="00022F06" w:rsidRPr="009D0F88">
        <w:t>Anlec</w:t>
      </w:r>
      <w:proofErr w:type="spellEnd"/>
      <w:r w:rsidR="00022F06" w:rsidRPr="009D0F88">
        <w:t xml:space="preserve"> R&amp;D using</w:t>
      </w:r>
      <w:r w:rsidR="00022F06" w:rsidRPr="00F46C0D">
        <w:rPr>
          <w:color w:val="000000" w:themeColor="text1"/>
        </w:rPr>
        <w:t xml:space="preserve"> </w:t>
      </w:r>
      <w:r w:rsidR="00022F06">
        <w:t>consultants including the Electric Power Research Institute</w:t>
      </w:r>
      <w:r>
        <w:t>.</w:t>
      </w:r>
      <w:r w:rsidR="00022F06">
        <w:t xml:space="preserve"> </w:t>
      </w:r>
    </w:p>
    <w:p w:rsidR="00022F06" w:rsidRDefault="003224FA" w:rsidP="00022F06">
      <w:pPr>
        <w:pStyle w:val="BodyText"/>
        <w:numPr>
          <w:ilvl w:val="0"/>
          <w:numId w:val="37"/>
        </w:numPr>
      </w:pPr>
      <w:r>
        <w:lastRenderedPageBreak/>
        <w:t>M</w:t>
      </w:r>
      <w:r w:rsidR="00022F06">
        <w:t xml:space="preserve">odelling for South Australia’s Nuclear Fuel Cycle Royal Commission conducted by Ernst &amp; Young (EY). </w:t>
      </w:r>
    </w:p>
    <w:p w:rsidR="00022F06" w:rsidRDefault="00CA762C" w:rsidP="00022F06">
      <w:pPr>
        <w:pStyle w:val="BodyText"/>
      </w:pPr>
      <w:r>
        <w:t xml:space="preserve">Figure </w:t>
      </w:r>
      <w:r>
        <w:rPr>
          <w:noProof/>
        </w:rPr>
        <w:t>23</w:t>
      </w:r>
      <w:r w:rsidR="00022F06">
        <w:t xml:space="preserve"> compares selected capital costs for technologies in both 2015 and 2030 across all three studies. Capital costs for all technologies—except for nuclear—</w:t>
      </w:r>
      <w:r w:rsidR="00562BFB">
        <w:t xml:space="preserve">are projected to </w:t>
      </w:r>
      <w:r w:rsidR="00022F06">
        <w:t xml:space="preserve">fall in real terms over time due to ‘learning by doing’ as installed capacity increases; learning rates are slower with mature technologies. The capital costs across all three studies are broadly similar with the exception of nuclear, brown coal and large-scale solar generators. </w:t>
      </w:r>
    </w:p>
    <w:p w:rsidR="00022F06" w:rsidRDefault="00022F06" w:rsidP="00022F06">
      <w:pPr>
        <w:pStyle w:val="ListBullet"/>
      </w:pPr>
      <w:r>
        <w:t xml:space="preserve">Relative to Jacobs, the 2015 capital cost of a brown coal plant is around 20 per cent lower in the APGT and EY studies. </w:t>
      </w:r>
    </w:p>
    <w:p w:rsidR="00022F06" w:rsidRDefault="00022F06" w:rsidP="00022F06">
      <w:pPr>
        <w:pStyle w:val="ListBullet"/>
      </w:pPr>
      <w:r>
        <w:t xml:space="preserve">Jacobs’ nuclear capital costs were about half that suggested by the APGT study; nuclear costs in the EY study are midway between the two. Further discussion of Jacobs’ nuclear cost assumptions is in </w:t>
      </w:r>
      <w:r w:rsidRPr="008C71B8">
        <w:t>Appendix C.4.6</w:t>
      </w:r>
      <w:r>
        <w:t xml:space="preserve"> of Jacobs’ modelling report </w:t>
      </w:r>
      <w:bookmarkStart w:id="718" w:name="_CTVP0018cce77dd56684fe1aaf6424d2d8fbbe0"/>
      <w:r w:rsidR="0059109A">
        <w:t>(Jacobs 2016c)</w:t>
      </w:r>
      <w:bookmarkEnd w:id="718"/>
      <w:r>
        <w:t xml:space="preserve">. </w:t>
      </w:r>
    </w:p>
    <w:p w:rsidR="00022F06" w:rsidRPr="00732010" w:rsidRDefault="00022F06" w:rsidP="00022F06">
      <w:pPr>
        <w:pStyle w:val="ListBullet"/>
      </w:pPr>
      <w:r>
        <w:t>Jacobs’ capital costs for large-scale solar are around 25 per cent higher in 2015 and around 50 per cent higher in 2030 than the APGT and EY studies.</w:t>
      </w:r>
    </w:p>
    <w:p w:rsidR="00022F06" w:rsidRDefault="00022F06" w:rsidP="00022F06">
      <w:pPr>
        <w:pStyle w:val="Caption"/>
      </w:pPr>
      <w:bookmarkStart w:id="719" w:name="_Ref445201990"/>
      <w:bookmarkStart w:id="720" w:name="_Toc447641391"/>
      <w:bookmarkStart w:id="721" w:name="_Toc460318054"/>
      <w:bookmarkStart w:id="722" w:name="_Toc447122276"/>
      <w:r>
        <w:t xml:space="preserve">Figure </w:t>
      </w:r>
      <w:r w:rsidR="00CA762C">
        <w:rPr>
          <w:noProof/>
        </w:rPr>
        <w:t>23</w:t>
      </w:r>
      <w:bookmarkEnd w:id="719"/>
      <w:r w:rsidR="00A6425D">
        <w:tab/>
      </w:r>
      <w:r>
        <w:t>Technology capital cost comparison</w:t>
      </w:r>
      <w:bookmarkEnd w:id="720"/>
      <w:bookmarkEnd w:id="721"/>
      <w:r>
        <w:t xml:space="preserve"> </w:t>
      </w:r>
      <w:bookmarkEnd w:id="722"/>
    </w:p>
    <w:p w:rsidR="00022F06" w:rsidRPr="00034755" w:rsidRDefault="00974E3E" w:rsidP="00022F06">
      <w:pPr>
        <w:pStyle w:val="BodyText"/>
      </w:pPr>
      <w:r w:rsidRPr="00974E3E">
        <w:rPr>
          <w:noProof/>
          <w:lang w:eastAsia="en-AU"/>
        </w:rPr>
        <w:t xml:space="preserve"> </w:t>
      </w:r>
      <w:r w:rsidR="0007527F" w:rsidRPr="0007527F">
        <w:rPr>
          <w:noProof/>
          <w:lang w:eastAsia="en-AU"/>
        </w:rPr>
        <w:drawing>
          <wp:inline distT="0" distB="0" distL="0" distR="0" wp14:anchorId="5441DE66" wp14:editId="7DFDDF38">
            <wp:extent cx="6120765" cy="249389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493893"/>
                    </a:xfrm>
                    <a:prstGeom prst="rect">
                      <a:avLst/>
                    </a:prstGeom>
                    <a:noFill/>
                    <a:ln>
                      <a:noFill/>
                    </a:ln>
                  </pic:spPr>
                </pic:pic>
              </a:graphicData>
            </a:graphic>
          </wp:inline>
        </w:drawing>
      </w:r>
    </w:p>
    <w:p w:rsidR="00022F06" w:rsidRDefault="00022F06" w:rsidP="00022F06">
      <w:pPr>
        <w:pStyle w:val="TableNote"/>
        <w:rPr>
          <w:lang w:val="en-GB"/>
        </w:rPr>
      </w:pPr>
      <w:r>
        <w:rPr>
          <w:b/>
        </w:rPr>
        <w:t xml:space="preserve">Note: </w:t>
      </w:r>
      <w:r w:rsidRPr="00226B01">
        <w:t>All studie</w:t>
      </w:r>
      <w:r w:rsidRPr="00CE210E">
        <w:t>s adopt costs consistent with 2 degrees</w:t>
      </w:r>
      <w:r>
        <w:t xml:space="preserve"> global action scenario.</w:t>
      </w:r>
      <w:r w:rsidR="00974E3E" w:rsidRPr="00974E3E">
        <w:t xml:space="preserve"> </w:t>
      </w:r>
      <w:r w:rsidR="00974E3E">
        <w:t>In addition to the capital costs above, the EY report also publishes overnight capital costs for</w:t>
      </w:r>
      <w:r w:rsidR="00D96407">
        <w:t xml:space="preserve"> nuclear that include</w:t>
      </w:r>
      <w:r w:rsidR="00974E3E">
        <w:t xml:space="preserve"> project development and licensing costs.</w:t>
      </w:r>
      <w:r>
        <w:br/>
      </w:r>
      <w:r w:rsidRPr="00226B01">
        <w:rPr>
          <w:b/>
        </w:rPr>
        <w:t xml:space="preserve">Source: </w:t>
      </w:r>
      <w:r>
        <w:rPr>
          <w:lang w:val="en-GB"/>
        </w:rPr>
        <w:t xml:space="preserve">Climate Change Authority based on </w:t>
      </w:r>
      <w:bookmarkStart w:id="723" w:name="_CTVP001406c3a7f45e64087b1b25a1b37b6bf3b"/>
      <w:r w:rsidR="0059109A">
        <w:rPr>
          <w:lang w:val="en-GB"/>
        </w:rPr>
        <w:t>APGT 2015; Jacobs 2016c; Ernst &amp; Young 2016</w:t>
      </w:r>
      <w:bookmarkEnd w:id="723"/>
      <w:r w:rsidR="005546FD">
        <w:rPr>
          <w:lang w:val="en-GB"/>
        </w:rPr>
        <w:t>.</w:t>
      </w:r>
    </w:p>
    <w:p w:rsidR="00022F06" w:rsidRDefault="00022F06" w:rsidP="00022F06">
      <w:pPr>
        <w:pStyle w:val="AppendixHeading3"/>
      </w:pPr>
      <w:bookmarkStart w:id="724" w:name="_Toc460318017"/>
      <w:r>
        <w:t>Key estimated impacts</w:t>
      </w:r>
      <w:bookmarkEnd w:id="724"/>
    </w:p>
    <w:p w:rsidR="00022F06" w:rsidRDefault="00022F06" w:rsidP="00022F06">
      <w:pPr>
        <w:pStyle w:val="BodyText"/>
      </w:pPr>
      <w:r>
        <w:t xml:space="preserve">The following section summarises the key estimated impacts of the different policy scenarios on: </w:t>
      </w:r>
    </w:p>
    <w:p w:rsidR="00022F06" w:rsidRDefault="00022F06" w:rsidP="00022F06">
      <w:pPr>
        <w:pStyle w:val="ListBullet"/>
      </w:pPr>
      <w:r>
        <w:t xml:space="preserve">share of generation by technology type </w:t>
      </w:r>
    </w:p>
    <w:p w:rsidR="00022F06" w:rsidRDefault="00022F06" w:rsidP="00022F06">
      <w:pPr>
        <w:pStyle w:val="ListBullet"/>
      </w:pPr>
      <w:r>
        <w:t xml:space="preserve">emissions from the electricity sector </w:t>
      </w:r>
    </w:p>
    <w:p w:rsidR="00022F06" w:rsidRDefault="00022F06" w:rsidP="00022F06">
      <w:pPr>
        <w:pStyle w:val="ListBullet"/>
      </w:pPr>
      <w:r>
        <w:t xml:space="preserve">wholesale and retail electricity prices, and household </w:t>
      </w:r>
      <w:r w:rsidR="000A19C1">
        <w:t>spending</w:t>
      </w:r>
      <w:r>
        <w:t xml:space="preserve"> </w:t>
      </w:r>
    </w:p>
    <w:p w:rsidR="00022F06" w:rsidRDefault="00022F06" w:rsidP="00022F06">
      <w:pPr>
        <w:pStyle w:val="ListBullet"/>
      </w:pPr>
      <w:r>
        <w:t xml:space="preserve">generator profits </w:t>
      </w:r>
    </w:p>
    <w:p w:rsidR="00022F06" w:rsidRDefault="00022F06" w:rsidP="00022F06">
      <w:pPr>
        <w:pStyle w:val="ListBullet"/>
      </w:pPr>
      <w:proofErr w:type="gramStart"/>
      <w:r>
        <w:t>cost</w:t>
      </w:r>
      <w:proofErr w:type="gramEnd"/>
      <w:r>
        <w:t xml:space="preserve"> to society, including resource costs and cost of abatement.</w:t>
      </w:r>
    </w:p>
    <w:p w:rsidR="00022F06" w:rsidRDefault="00022F06" w:rsidP="00022F06">
      <w:pPr>
        <w:pStyle w:val="BodyText"/>
        <w:rPr>
          <w:lang w:val="en-GB" w:eastAsia="en-AU"/>
        </w:rPr>
      </w:pPr>
      <w:r>
        <w:rPr>
          <w:lang w:val="en-GB" w:eastAsia="en-AU"/>
        </w:rPr>
        <w:t xml:space="preserve">This summary compares results of the individual policies under the </w:t>
      </w:r>
      <w:r w:rsidR="003224FA">
        <w:rPr>
          <w:lang w:val="en-GB" w:eastAsia="en-AU"/>
        </w:rPr>
        <w:t>2</w:t>
      </w:r>
      <w:r>
        <w:rPr>
          <w:lang w:val="en-GB" w:eastAsia="en-AU"/>
        </w:rPr>
        <w:t xml:space="preserve"> degrees emissions budget. The complete set of modelling results—including policy combinations and sensitivities—are available in Jacobs’ modelling report. </w:t>
      </w:r>
    </w:p>
    <w:p w:rsidR="00022F06" w:rsidRDefault="00022F06" w:rsidP="00022F06">
      <w:pPr>
        <w:pStyle w:val="BodyText"/>
        <w:rPr>
          <w:lang w:val="en-GB" w:eastAsia="en-AU"/>
        </w:rPr>
      </w:pPr>
      <w:r>
        <w:rPr>
          <w:lang w:val="en-GB" w:eastAsia="en-AU"/>
        </w:rPr>
        <w:lastRenderedPageBreak/>
        <w:t xml:space="preserve">The seven policy scenarios </w:t>
      </w:r>
      <w:r>
        <w:t>may be classified into three broad categories</w:t>
      </w:r>
      <w:r>
        <w:rPr>
          <w:lang w:val="en-GB" w:eastAsia="en-AU"/>
        </w:rPr>
        <w:t>:</w:t>
      </w:r>
    </w:p>
    <w:p w:rsidR="00022F06" w:rsidRDefault="00C10CAE" w:rsidP="00022F06">
      <w:pPr>
        <w:pStyle w:val="ListBullet"/>
      </w:pPr>
      <w:r>
        <w:t>‘</w:t>
      </w:r>
      <w:proofErr w:type="gramStart"/>
      <w:r>
        <w:t>market</w:t>
      </w:r>
      <w:proofErr w:type="gramEnd"/>
      <w:r>
        <w:t xml:space="preserve"> mechanisms’</w:t>
      </w:r>
      <w:r w:rsidR="00022F06">
        <w:t>—cap and trade and the emissions intensity schemes. These policies put a price on emissions to change the relative price of high</w:t>
      </w:r>
      <w:r w:rsidR="006F129B">
        <w:noBreakHyphen/>
        <w:t xml:space="preserve"> and low</w:t>
      </w:r>
      <w:r w:rsidR="006F129B">
        <w:noBreakHyphen/>
      </w:r>
      <w:r w:rsidR="00022F06">
        <w:t>emissions generation.</w:t>
      </w:r>
    </w:p>
    <w:p w:rsidR="00022F06" w:rsidRDefault="00022F06" w:rsidP="00022F06">
      <w:pPr>
        <w:pStyle w:val="ListBullet"/>
      </w:pPr>
      <w:proofErr w:type="gramStart"/>
      <w:r>
        <w:t>the</w:t>
      </w:r>
      <w:proofErr w:type="gramEnd"/>
      <w:r>
        <w:t xml:space="preserve"> ‘technology pull’ policies—RET, low emissions target and contracts for difference. These policies change the generation mix by s</w:t>
      </w:r>
      <w:r w:rsidR="006F129B">
        <w:t>ubsidising renewable and/or low</w:t>
      </w:r>
      <w:r w:rsidR="006F129B">
        <w:noBreakHyphen/>
      </w:r>
      <w:r>
        <w:t>emissions generation.</w:t>
      </w:r>
    </w:p>
    <w:p w:rsidR="00022F06" w:rsidRPr="00B427BC" w:rsidRDefault="00022F06" w:rsidP="00022F06">
      <w:pPr>
        <w:pStyle w:val="ListBullet"/>
        <w:rPr>
          <w:lang w:val="en-GB" w:eastAsia="en-AU"/>
        </w:rPr>
      </w:pPr>
      <w:proofErr w:type="gramStart"/>
      <w:r>
        <w:t>the</w:t>
      </w:r>
      <w:proofErr w:type="gramEnd"/>
      <w:r>
        <w:t xml:space="preserve"> ‘regulatory’ policies—regulated closures and absolute baselines. These policies change the generation m</w:t>
      </w:r>
      <w:r w:rsidR="00937279">
        <w:t>ix by reducing output from high</w:t>
      </w:r>
      <w:r w:rsidR="00937279">
        <w:noBreakHyphen/>
      </w:r>
      <w:r>
        <w:t>emission</w:t>
      </w:r>
      <w:r w:rsidR="00562BFB">
        <w:t>s</w:t>
      </w:r>
      <w:r>
        <w:t xml:space="preserve"> generators through regulation.</w:t>
      </w:r>
    </w:p>
    <w:p w:rsidR="00022F06" w:rsidRDefault="00022F06" w:rsidP="00022F06">
      <w:pPr>
        <w:pStyle w:val="AppendixHeading3"/>
      </w:pPr>
      <w:bookmarkStart w:id="725" w:name="_Toc460318018"/>
      <w:r>
        <w:t>Generation mix</w:t>
      </w:r>
      <w:bookmarkEnd w:id="725"/>
    </w:p>
    <w:p w:rsidR="00022F06" w:rsidRDefault="00022F06" w:rsidP="00022F06">
      <w:pPr>
        <w:pStyle w:val="BodyText"/>
      </w:pPr>
      <w:r>
        <w:t xml:space="preserve">Meeting the </w:t>
      </w:r>
      <w:r w:rsidR="003224FA">
        <w:t>2</w:t>
      </w:r>
      <w:r>
        <w:t xml:space="preserve"> degrees emissions budget causes large changes in the mix of generating plants in Australia (</w:t>
      </w:r>
      <w:r w:rsidR="00CA762C">
        <w:t xml:space="preserve">Table </w:t>
      </w:r>
      <w:r w:rsidR="00CA762C">
        <w:rPr>
          <w:noProof/>
        </w:rPr>
        <w:t>9</w:t>
      </w:r>
      <w:r>
        <w:t>). In the reference case, which assumes no new climate policies, coal</w:t>
      </w:r>
      <w:r>
        <w:noBreakHyphen/>
        <w:t>fired power remains the dominant source of generation. In the policy scenarios, however, coal generation and capacity is projected to reduce rapidly, reaching near zero between 2025 and 2040</w:t>
      </w:r>
      <w:r w:rsidR="003112AC">
        <w:t xml:space="preserve"> (depending on the policy scenario)</w:t>
      </w:r>
      <w:r>
        <w:t xml:space="preserve">. </w:t>
      </w:r>
    </w:p>
    <w:p w:rsidR="00022F06" w:rsidRDefault="00022F06" w:rsidP="00022F06">
      <w:pPr>
        <w:pStyle w:val="Caption"/>
      </w:pPr>
      <w:bookmarkStart w:id="726" w:name="_Ref443034722"/>
      <w:bookmarkStart w:id="727" w:name="_Toc443999233"/>
      <w:bookmarkStart w:id="728" w:name="_Toc444162839"/>
      <w:bookmarkStart w:id="729" w:name="_Toc444610091"/>
      <w:bookmarkStart w:id="730" w:name="_Toc447122294"/>
      <w:bookmarkStart w:id="731" w:name="_Toc447641416"/>
      <w:bookmarkStart w:id="732" w:name="_Toc460318077"/>
      <w:r>
        <w:t xml:space="preserve">Table </w:t>
      </w:r>
      <w:r w:rsidR="00CA762C">
        <w:rPr>
          <w:noProof/>
        </w:rPr>
        <w:t>9</w:t>
      </w:r>
      <w:bookmarkEnd w:id="726"/>
      <w:r w:rsidR="00A6425D">
        <w:tab/>
      </w:r>
      <w:r>
        <w:t>Share of generation by technology type</w:t>
      </w:r>
      <w:bookmarkEnd w:id="727"/>
      <w:bookmarkEnd w:id="728"/>
      <w:bookmarkEnd w:id="729"/>
      <w:bookmarkEnd w:id="730"/>
      <w:bookmarkEnd w:id="731"/>
      <w:r>
        <w:t>, 2 degrees, 2030 and 2050</w:t>
      </w:r>
      <w:bookmarkEnd w:id="732"/>
    </w:p>
    <w:tbl>
      <w:tblPr>
        <w:tblStyle w:val="CCATable"/>
        <w:tblW w:w="10207" w:type="dxa"/>
        <w:tblLook w:val="04A0" w:firstRow="1" w:lastRow="0" w:firstColumn="1" w:lastColumn="0" w:noHBand="0" w:noVBand="1"/>
      </w:tblPr>
      <w:tblGrid>
        <w:gridCol w:w="1668"/>
        <w:gridCol w:w="992"/>
        <w:gridCol w:w="897"/>
        <w:gridCol w:w="1263"/>
        <w:gridCol w:w="1147"/>
        <w:gridCol w:w="992"/>
        <w:gridCol w:w="897"/>
        <w:gridCol w:w="1263"/>
        <w:gridCol w:w="1088"/>
      </w:tblGrid>
      <w:tr w:rsidR="00022F06" w:rsidRPr="00C1684C" w:rsidTr="00CE6667">
        <w:trPr>
          <w:cnfStyle w:val="100000000000" w:firstRow="1" w:lastRow="0" w:firstColumn="0" w:lastColumn="0" w:oddVBand="0" w:evenVBand="0" w:oddHBand="0" w:evenHBand="0" w:firstRowFirstColumn="0" w:firstRowLastColumn="0" w:lastRowFirstColumn="0" w:lastRowLastColumn="0"/>
          <w:trHeight w:val="300"/>
        </w:trPr>
        <w:tc>
          <w:tcPr>
            <w:tcW w:w="1668" w:type="dxa"/>
            <w:vMerge w:val="restart"/>
            <w:noWrap/>
            <w:hideMark/>
          </w:tcPr>
          <w:p w:rsidR="00022F06" w:rsidRPr="00C1684C" w:rsidRDefault="00022F06" w:rsidP="00CE6667">
            <w:pPr>
              <w:pStyle w:val="TableHeading"/>
            </w:pPr>
            <w:r>
              <w:t>Scenario</w:t>
            </w:r>
          </w:p>
        </w:tc>
        <w:tc>
          <w:tcPr>
            <w:tcW w:w="4299" w:type="dxa"/>
            <w:gridSpan w:val="4"/>
            <w:noWrap/>
            <w:hideMark/>
          </w:tcPr>
          <w:p w:rsidR="00022F06" w:rsidRPr="00C1684C" w:rsidRDefault="00022F06" w:rsidP="00CE6667">
            <w:pPr>
              <w:pStyle w:val="TableHeading"/>
              <w:jc w:val="center"/>
            </w:pPr>
            <w:r w:rsidRPr="00C1684C">
              <w:t>2030</w:t>
            </w:r>
          </w:p>
        </w:tc>
        <w:tc>
          <w:tcPr>
            <w:tcW w:w="4240" w:type="dxa"/>
            <w:gridSpan w:val="4"/>
            <w:noWrap/>
            <w:hideMark/>
          </w:tcPr>
          <w:p w:rsidR="00022F06" w:rsidRPr="00C1684C" w:rsidRDefault="00022F06" w:rsidP="00CE6667">
            <w:pPr>
              <w:pStyle w:val="TableHeading"/>
              <w:jc w:val="center"/>
            </w:pPr>
            <w:r w:rsidRPr="00C1684C">
              <w:t>2050</w:t>
            </w:r>
          </w:p>
        </w:tc>
      </w:tr>
      <w:tr w:rsidR="00022F06" w:rsidRPr="00C1684C" w:rsidTr="00CE6667">
        <w:trPr>
          <w:cnfStyle w:val="000000100000" w:firstRow="0" w:lastRow="0" w:firstColumn="0" w:lastColumn="0" w:oddVBand="0" w:evenVBand="0" w:oddHBand="1" w:evenHBand="0" w:firstRowFirstColumn="0" w:firstRowLastColumn="0" w:lastRowFirstColumn="0" w:lastRowLastColumn="0"/>
          <w:trHeight w:val="300"/>
        </w:trPr>
        <w:tc>
          <w:tcPr>
            <w:tcW w:w="1668" w:type="dxa"/>
            <w:vMerge/>
            <w:noWrap/>
            <w:hideMark/>
          </w:tcPr>
          <w:p w:rsidR="00022F06" w:rsidRPr="00C1684C" w:rsidRDefault="00022F06" w:rsidP="00CE6667">
            <w:pPr>
              <w:pStyle w:val="TableHeading"/>
            </w:pPr>
          </w:p>
        </w:tc>
        <w:tc>
          <w:tcPr>
            <w:tcW w:w="992" w:type="dxa"/>
            <w:shd w:val="clear" w:color="auto" w:fill="797B7E" w:themeFill="accent1"/>
            <w:noWrap/>
            <w:hideMark/>
          </w:tcPr>
          <w:p w:rsidR="00022F06" w:rsidRPr="00C1684C" w:rsidRDefault="00022F06" w:rsidP="00CE6667">
            <w:pPr>
              <w:pStyle w:val="TableHeading"/>
            </w:pPr>
            <w:r w:rsidRPr="00C1684C">
              <w:t>Coal</w:t>
            </w:r>
          </w:p>
        </w:tc>
        <w:tc>
          <w:tcPr>
            <w:tcW w:w="897" w:type="dxa"/>
            <w:shd w:val="clear" w:color="auto" w:fill="797B7E" w:themeFill="accent1"/>
            <w:noWrap/>
            <w:hideMark/>
          </w:tcPr>
          <w:p w:rsidR="00022F06" w:rsidRPr="00C1684C" w:rsidRDefault="00022F06" w:rsidP="00CE6667">
            <w:pPr>
              <w:pStyle w:val="TableHeading"/>
            </w:pPr>
            <w:r w:rsidRPr="00C1684C">
              <w:t>Gas</w:t>
            </w:r>
          </w:p>
        </w:tc>
        <w:tc>
          <w:tcPr>
            <w:tcW w:w="1263" w:type="dxa"/>
            <w:shd w:val="clear" w:color="auto" w:fill="797B7E" w:themeFill="accent1"/>
            <w:noWrap/>
            <w:hideMark/>
          </w:tcPr>
          <w:p w:rsidR="00022F06" w:rsidRPr="00C1684C" w:rsidRDefault="00022F06" w:rsidP="00CE6667">
            <w:pPr>
              <w:pStyle w:val="TableHeading"/>
            </w:pPr>
            <w:r w:rsidRPr="00C1684C">
              <w:t>Renewable</w:t>
            </w:r>
          </w:p>
        </w:tc>
        <w:tc>
          <w:tcPr>
            <w:tcW w:w="1147" w:type="dxa"/>
            <w:shd w:val="clear" w:color="auto" w:fill="797B7E" w:themeFill="accent1"/>
            <w:noWrap/>
            <w:hideMark/>
          </w:tcPr>
          <w:p w:rsidR="00022F06" w:rsidRPr="00C1684C" w:rsidRDefault="00022F06" w:rsidP="00CE6667">
            <w:pPr>
              <w:pStyle w:val="TableHeading"/>
            </w:pPr>
            <w:r w:rsidRPr="00C1684C">
              <w:t>Other low emission</w:t>
            </w:r>
          </w:p>
        </w:tc>
        <w:tc>
          <w:tcPr>
            <w:tcW w:w="992" w:type="dxa"/>
            <w:shd w:val="clear" w:color="auto" w:fill="797B7E" w:themeFill="accent1"/>
            <w:noWrap/>
            <w:hideMark/>
          </w:tcPr>
          <w:p w:rsidR="00022F06" w:rsidRPr="00C1684C" w:rsidRDefault="00022F06" w:rsidP="00CE6667">
            <w:pPr>
              <w:pStyle w:val="TableHeading"/>
            </w:pPr>
            <w:r w:rsidRPr="00C1684C">
              <w:t>Coal</w:t>
            </w:r>
          </w:p>
        </w:tc>
        <w:tc>
          <w:tcPr>
            <w:tcW w:w="897" w:type="dxa"/>
            <w:shd w:val="clear" w:color="auto" w:fill="797B7E" w:themeFill="accent1"/>
            <w:noWrap/>
            <w:hideMark/>
          </w:tcPr>
          <w:p w:rsidR="00022F06" w:rsidRPr="00C1684C" w:rsidRDefault="00022F06" w:rsidP="00CE6667">
            <w:pPr>
              <w:pStyle w:val="TableHeading"/>
            </w:pPr>
            <w:r w:rsidRPr="00C1684C">
              <w:t>Gas</w:t>
            </w:r>
          </w:p>
        </w:tc>
        <w:tc>
          <w:tcPr>
            <w:tcW w:w="1263" w:type="dxa"/>
            <w:shd w:val="clear" w:color="auto" w:fill="797B7E" w:themeFill="accent1"/>
            <w:noWrap/>
            <w:hideMark/>
          </w:tcPr>
          <w:p w:rsidR="00022F06" w:rsidRPr="00C1684C" w:rsidRDefault="00022F06" w:rsidP="00CE6667">
            <w:pPr>
              <w:pStyle w:val="TableHeading"/>
            </w:pPr>
            <w:r w:rsidRPr="00C1684C">
              <w:t>Renewable</w:t>
            </w:r>
          </w:p>
        </w:tc>
        <w:tc>
          <w:tcPr>
            <w:tcW w:w="1088" w:type="dxa"/>
            <w:shd w:val="clear" w:color="auto" w:fill="797B7E" w:themeFill="accent1"/>
            <w:noWrap/>
            <w:hideMark/>
          </w:tcPr>
          <w:p w:rsidR="00022F06" w:rsidRPr="00C1684C" w:rsidRDefault="00022F06" w:rsidP="00CE6667">
            <w:pPr>
              <w:pStyle w:val="TableHeading"/>
            </w:pPr>
            <w:r w:rsidRPr="00C1684C">
              <w:t>Other low emission</w:t>
            </w:r>
          </w:p>
        </w:tc>
      </w:tr>
      <w:tr w:rsidR="00022F06" w:rsidRPr="00C1684C" w:rsidTr="00CE6667">
        <w:trPr>
          <w:trHeight w:val="300"/>
        </w:trPr>
        <w:tc>
          <w:tcPr>
            <w:tcW w:w="1668" w:type="dxa"/>
            <w:noWrap/>
            <w:hideMark/>
          </w:tcPr>
          <w:p w:rsidR="00022F06" w:rsidRPr="00C1684C" w:rsidRDefault="00022F06" w:rsidP="00CE6667">
            <w:pPr>
              <w:pStyle w:val="TableText"/>
            </w:pPr>
            <w:r w:rsidRPr="00C1684C">
              <w:t>Reference</w:t>
            </w:r>
            <w:r>
              <w:t xml:space="preserve"> </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63%</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12%</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24%</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53%</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28%</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19%</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r>
      <w:tr w:rsidR="00022F06" w:rsidRPr="00C1684C" w:rsidTr="00CE6667">
        <w:trPr>
          <w:cnfStyle w:val="000000100000" w:firstRow="0" w:lastRow="0" w:firstColumn="0" w:lastColumn="0" w:oddVBand="0" w:evenVBand="0" w:oddHBand="1" w:evenHBand="0" w:firstRowFirstColumn="0" w:firstRowLastColumn="0" w:lastRowFirstColumn="0" w:lastRowLastColumn="0"/>
          <w:trHeight w:val="300"/>
        </w:trPr>
        <w:tc>
          <w:tcPr>
            <w:tcW w:w="1668" w:type="dxa"/>
            <w:noWrap/>
            <w:hideMark/>
          </w:tcPr>
          <w:p w:rsidR="00022F06" w:rsidRPr="00C1684C" w:rsidRDefault="00022F06" w:rsidP="00CE6667">
            <w:pPr>
              <w:pStyle w:val="TableText"/>
            </w:pPr>
            <w:r>
              <w:t>Cap and trade</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3%</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41%</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46%</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10%</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8%</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65%</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27%</w:t>
            </w:r>
          </w:p>
        </w:tc>
      </w:tr>
      <w:tr w:rsidR="00022F06" w:rsidRPr="00C1684C" w:rsidTr="00CE6667">
        <w:trPr>
          <w:trHeight w:val="300"/>
        </w:trPr>
        <w:tc>
          <w:tcPr>
            <w:tcW w:w="1668" w:type="dxa"/>
            <w:noWrap/>
            <w:hideMark/>
          </w:tcPr>
          <w:p w:rsidR="00022F06" w:rsidRPr="00C1684C" w:rsidRDefault="00022F06" w:rsidP="00CE6667">
            <w:pPr>
              <w:pStyle w:val="TableText"/>
            </w:pPr>
            <w:r>
              <w:t>EI scheme</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24%</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52%</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19%</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69%</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25%</w:t>
            </w:r>
          </w:p>
        </w:tc>
      </w:tr>
      <w:tr w:rsidR="00022F06" w:rsidRPr="00C1684C" w:rsidTr="00CE6667">
        <w:trPr>
          <w:cnfStyle w:val="000000100000" w:firstRow="0" w:lastRow="0" w:firstColumn="0" w:lastColumn="0" w:oddVBand="0" w:evenVBand="0" w:oddHBand="1" w:evenHBand="0" w:firstRowFirstColumn="0" w:firstRowLastColumn="0" w:lastRowFirstColumn="0" w:lastRowLastColumn="0"/>
          <w:trHeight w:val="300"/>
        </w:trPr>
        <w:tc>
          <w:tcPr>
            <w:tcW w:w="1668" w:type="dxa"/>
            <w:noWrap/>
            <w:hideMark/>
          </w:tcPr>
          <w:p w:rsidR="00022F06" w:rsidRPr="00C1684C" w:rsidRDefault="00022F06" w:rsidP="00CE6667">
            <w:pPr>
              <w:pStyle w:val="TableText"/>
            </w:pPr>
            <w:r w:rsidRPr="00C1684C">
              <w:t>RET</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16%</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9%</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74%</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4%</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15%</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81%</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r>
      <w:tr w:rsidR="00022F06" w:rsidRPr="00C1684C" w:rsidTr="00CE6667">
        <w:trPr>
          <w:trHeight w:val="300"/>
        </w:trPr>
        <w:tc>
          <w:tcPr>
            <w:tcW w:w="1668" w:type="dxa"/>
            <w:noWrap/>
            <w:hideMark/>
          </w:tcPr>
          <w:p w:rsidR="00022F06" w:rsidRPr="00C1684C" w:rsidRDefault="00022F06" w:rsidP="00CE6667">
            <w:pPr>
              <w:pStyle w:val="TableText"/>
            </w:pPr>
            <w:r>
              <w:t xml:space="preserve">Low emissions </w:t>
            </w:r>
            <w:proofErr w:type="spellStart"/>
            <w:r>
              <w:t>tgt</w:t>
            </w:r>
            <w:proofErr w:type="spellEnd"/>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20%</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70%</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5%</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72%</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22%</w:t>
            </w:r>
          </w:p>
        </w:tc>
      </w:tr>
      <w:tr w:rsidR="00022F06" w:rsidRPr="00C1684C" w:rsidTr="00CE6667">
        <w:trPr>
          <w:cnfStyle w:val="000000100000" w:firstRow="0" w:lastRow="0" w:firstColumn="0" w:lastColumn="0" w:oddVBand="0" w:evenVBand="0" w:oddHBand="1" w:evenHBand="0" w:firstRowFirstColumn="0" w:firstRowLastColumn="0" w:lastRowFirstColumn="0" w:lastRowLastColumn="0"/>
          <w:trHeight w:val="300"/>
        </w:trPr>
        <w:tc>
          <w:tcPr>
            <w:tcW w:w="1668" w:type="dxa"/>
            <w:noWrap/>
            <w:hideMark/>
          </w:tcPr>
          <w:p w:rsidR="00022F06" w:rsidRPr="00C1684C" w:rsidRDefault="00022F06" w:rsidP="00CE6667">
            <w:pPr>
              <w:pStyle w:val="TableText"/>
            </w:pPr>
            <w:r>
              <w:t>Contracts for diff</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19%</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72%</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73%</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19%</w:t>
            </w:r>
          </w:p>
        </w:tc>
      </w:tr>
      <w:tr w:rsidR="00022F06" w:rsidRPr="00C1684C" w:rsidTr="00CE6667">
        <w:trPr>
          <w:trHeight w:val="300"/>
        </w:trPr>
        <w:tc>
          <w:tcPr>
            <w:tcW w:w="1668" w:type="dxa"/>
            <w:noWrap/>
            <w:hideMark/>
          </w:tcPr>
          <w:p w:rsidR="00022F06" w:rsidRPr="00C1684C" w:rsidRDefault="00022F06" w:rsidP="00CE6667">
            <w:pPr>
              <w:pStyle w:val="TableText"/>
            </w:pPr>
            <w:proofErr w:type="spellStart"/>
            <w:r>
              <w:t>Reg</w:t>
            </w:r>
            <w:proofErr w:type="spellEnd"/>
            <w:r>
              <w:t xml:space="preserve"> closures</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32%</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66%</w:t>
            </w:r>
          </w:p>
        </w:tc>
        <w:tc>
          <w:tcPr>
            <w:tcW w:w="114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w:t>
            </w:r>
          </w:p>
        </w:tc>
        <w:tc>
          <w:tcPr>
            <w:tcW w:w="992"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897"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21%</w:t>
            </w:r>
          </w:p>
        </w:tc>
        <w:tc>
          <w:tcPr>
            <w:tcW w:w="1263"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62%</w:t>
            </w:r>
          </w:p>
        </w:tc>
        <w:tc>
          <w:tcPr>
            <w:tcW w:w="1088" w:type="dxa"/>
            <w:noWrap/>
            <w:vAlign w:val="bottom"/>
            <w:hideMark/>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17%</w:t>
            </w:r>
          </w:p>
        </w:tc>
      </w:tr>
      <w:tr w:rsidR="00022F06" w:rsidRPr="00C1684C" w:rsidTr="00CE6667">
        <w:trPr>
          <w:cnfStyle w:val="000000100000" w:firstRow="0" w:lastRow="0" w:firstColumn="0" w:lastColumn="0" w:oddVBand="0" w:evenVBand="0" w:oddHBand="1" w:evenHBand="0" w:firstRowFirstColumn="0" w:firstRowLastColumn="0" w:lastRowFirstColumn="0" w:lastRowLastColumn="0"/>
          <w:trHeight w:val="300"/>
        </w:trPr>
        <w:tc>
          <w:tcPr>
            <w:tcW w:w="1668" w:type="dxa"/>
            <w:noWrap/>
          </w:tcPr>
          <w:p w:rsidR="00022F06" w:rsidDel="00F65C20" w:rsidRDefault="00022F06" w:rsidP="00CE6667">
            <w:pPr>
              <w:pStyle w:val="TableText"/>
            </w:pPr>
            <w:r>
              <w:t>Abs baseline</w:t>
            </w:r>
          </w:p>
        </w:tc>
        <w:tc>
          <w:tcPr>
            <w:tcW w:w="992"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21%</w:t>
            </w:r>
          </w:p>
        </w:tc>
        <w:tc>
          <w:tcPr>
            <w:tcW w:w="897"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3%</w:t>
            </w:r>
          </w:p>
        </w:tc>
        <w:tc>
          <w:tcPr>
            <w:tcW w:w="1263"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76%</w:t>
            </w:r>
          </w:p>
        </w:tc>
        <w:tc>
          <w:tcPr>
            <w:tcW w:w="1147"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w:t>
            </w:r>
          </w:p>
        </w:tc>
        <w:tc>
          <w:tcPr>
            <w:tcW w:w="992"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0%</w:t>
            </w:r>
          </w:p>
        </w:tc>
        <w:tc>
          <w:tcPr>
            <w:tcW w:w="897"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1%</w:t>
            </w:r>
          </w:p>
        </w:tc>
        <w:tc>
          <w:tcPr>
            <w:tcW w:w="1263"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71%</w:t>
            </w:r>
          </w:p>
        </w:tc>
        <w:tc>
          <w:tcPr>
            <w:tcW w:w="1088" w:type="dxa"/>
            <w:noWrap/>
            <w:vAlign w:val="bottom"/>
          </w:tcPr>
          <w:p w:rsidR="00022F06" w:rsidRPr="00226B01" w:rsidRDefault="00022F06" w:rsidP="00CE6667">
            <w:pPr>
              <w:pStyle w:val="TableText"/>
              <w:jc w:val="center"/>
              <w:rPr>
                <w:rFonts w:cs="Arial"/>
                <w:color w:val="000000" w:themeColor="text1"/>
                <w:szCs w:val="18"/>
              </w:rPr>
            </w:pPr>
            <w:r w:rsidRPr="00226B01">
              <w:rPr>
                <w:rFonts w:cs="Arial"/>
                <w:color w:val="000000" w:themeColor="text1"/>
                <w:szCs w:val="18"/>
                <w:lang w:eastAsia="en-AU"/>
              </w:rPr>
              <w:t>28%</w:t>
            </w:r>
          </w:p>
        </w:tc>
      </w:tr>
    </w:tbl>
    <w:p w:rsidR="00022F06" w:rsidRDefault="00022F06" w:rsidP="00022F06">
      <w:pPr>
        <w:pStyle w:val="TableNote"/>
      </w:pPr>
      <w:r w:rsidRPr="00226B01">
        <w:rPr>
          <w:b/>
        </w:rPr>
        <w:t>Note:</w:t>
      </w:r>
      <w:r>
        <w:t xml:space="preserve"> R</w:t>
      </w:r>
      <w:r w:rsidRPr="00C1684C">
        <w:t xml:space="preserve">ows may </w:t>
      </w:r>
      <w:r>
        <w:t>not sum</w:t>
      </w:r>
      <w:r w:rsidRPr="00C1684C">
        <w:t xml:space="preserve"> up to 100 due to rounding.</w:t>
      </w:r>
      <w:r>
        <w:t xml:space="preserve"> ‘Other low</w:t>
      </w:r>
      <w:r>
        <w:noBreakHyphen/>
        <w:t>emission’ is gas CCS and nuclear (coal CCS was available but not deployed in any scenario).</w:t>
      </w:r>
      <w:r>
        <w:br/>
      </w:r>
      <w:r w:rsidRPr="00226B01">
        <w:rPr>
          <w:b/>
        </w:rPr>
        <w:t>Source:</w:t>
      </w:r>
      <w:r>
        <w:t xml:space="preserve"> </w:t>
      </w:r>
      <w:bookmarkStart w:id="733" w:name="_CTVP001dbfb043b98ad4da98bd343a4a22429d2"/>
      <w:proofErr w:type="gramStart"/>
      <w:r w:rsidR="0059109A">
        <w:t>Jacobs 2016</w:t>
      </w:r>
      <w:proofErr w:type="gramEnd"/>
      <w:r w:rsidR="0059109A">
        <w:t>c</w:t>
      </w:r>
      <w:bookmarkEnd w:id="733"/>
      <w:r w:rsidRPr="00C1684C">
        <w:t>.</w:t>
      </w:r>
    </w:p>
    <w:p w:rsidR="00022F06" w:rsidRDefault="00022F06" w:rsidP="00022F06">
      <w:pPr>
        <w:pStyle w:val="BodyText"/>
      </w:pPr>
      <w:r>
        <w:t>In all the policy scenarios, the lower share of coal generation is largely replaced with renewable energy and other</w:t>
      </w:r>
      <w:r w:rsidR="006F129B">
        <w:t xml:space="preserve"> low</w:t>
      </w:r>
      <w:r w:rsidR="006F129B">
        <w:noBreakHyphen/>
      </w:r>
      <w:r w:rsidR="003112AC">
        <w:t>emissions generation.</w:t>
      </w:r>
      <w:r>
        <w:t xml:space="preserve"> </w:t>
      </w:r>
      <w:r w:rsidR="003112AC">
        <w:t>R</w:t>
      </w:r>
      <w:r>
        <w:t>enewable energy is projected to make up between 60 and 80 per cent of the generation mix</w:t>
      </w:r>
      <w:r w:rsidR="003112AC">
        <w:t xml:space="preserve"> by 2050</w:t>
      </w:r>
      <w:r>
        <w:t xml:space="preserve">. The level of renewable energy is highest in the technology pull scenarios due to these policies directly providing a subsidy for renewable technologies. Renewable generation is lower in the </w:t>
      </w:r>
      <w:r w:rsidR="00A45D45">
        <w:t xml:space="preserve">market mechanism </w:t>
      </w:r>
      <w:r>
        <w:t>scenarios, where gas generation increases in the early years, and low emission technologies such as CCS and nuclear increase their share later. Small</w:t>
      </w:r>
      <w:r>
        <w:noBreakHyphen/>
        <w:t>scale solar PV is adopted at high levels across all scenarios including the reference case.</w:t>
      </w:r>
    </w:p>
    <w:p w:rsidR="00022F06" w:rsidRPr="004A22B9" w:rsidRDefault="00022F06" w:rsidP="00022F06">
      <w:pPr>
        <w:pStyle w:val="BodyText"/>
        <w:rPr>
          <w:lang w:val="en-GB" w:eastAsia="en-AU"/>
        </w:rPr>
      </w:pPr>
      <w:r>
        <w:t>Current reliability standards are met in all policy scenarios despite increasing shares of intermittent r</w:t>
      </w:r>
      <w:r w:rsidR="003112AC">
        <w:t>enewable generation. After 2030</w:t>
      </w:r>
      <w:r>
        <w:t xml:space="preserve"> gas-fired peaking plants are projected to have an important role providing reserve capacity to meet these requirements.</w:t>
      </w:r>
    </w:p>
    <w:p w:rsidR="00022F06" w:rsidRDefault="00022F06" w:rsidP="00022F06">
      <w:pPr>
        <w:pStyle w:val="AppendixHeading3"/>
      </w:pPr>
      <w:bookmarkStart w:id="734" w:name="_Toc460318019"/>
      <w:r>
        <w:lastRenderedPageBreak/>
        <w:t>Emissions</w:t>
      </w:r>
      <w:bookmarkEnd w:id="734"/>
    </w:p>
    <w:p w:rsidR="00022F06" w:rsidRPr="00F70030" w:rsidRDefault="00022F06" w:rsidP="00022F06">
      <w:pPr>
        <w:pStyle w:val="BodyText"/>
      </w:pPr>
      <w:r>
        <w:t>Each policy was required to meet the demanding emissions budget. Annual emissions were allowed to vary across policies so long as the overall emissions budget was met, however emissions and emissions intensities are projected to fall sharply in the 2020s in all policy scenarios (</w:t>
      </w:r>
      <w:r w:rsidR="00CA762C">
        <w:t xml:space="preserve">Figure </w:t>
      </w:r>
      <w:r w:rsidR="00CA762C">
        <w:rPr>
          <w:noProof/>
        </w:rPr>
        <w:t>24</w:t>
      </w:r>
      <w:r>
        <w:t xml:space="preserve"> and </w:t>
      </w:r>
      <w:r w:rsidR="00CA762C">
        <w:t xml:space="preserve">Figure </w:t>
      </w:r>
      <w:r w:rsidR="00CA762C">
        <w:rPr>
          <w:noProof/>
        </w:rPr>
        <w:t>25</w:t>
      </w:r>
      <w:r>
        <w:t>). This indicates that even though the costs of low</w:t>
      </w:r>
      <w:r>
        <w:noBreakHyphen/>
        <w:t xml:space="preserve">emissions technologies fall over time, early action is required to meet the emissions budget. If action is delayed for too long, the emissions intensity of the generation fleet would stay high for too long and the emissions budget would be exceeded. This relatively rapid change in intensity is consistent with other studies that have explored strong decarbonisation of Australia’s electricity sector </w:t>
      </w:r>
      <w:bookmarkStart w:id="735" w:name="_CTVP0018eeb29550ece4a0ebc51e96188882576"/>
      <w:r w:rsidR="0045376D">
        <w:t>(</w:t>
      </w:r>
      <w:proofErr w:type="spellStart"/>
      <w:r w:rsidR="0045376D">
        <w:t>ClimateWorks</w:t>
      </w:r>
      <w:proofErr w:type="spellEnd"/>
      <w:r w:rsidR="0045376D">
        <w:t xml:space="preserve"> Australia et al. 2014; CCA 2014c; TCI 2016)</w:t>
      </w:r>
      <w:bookmarkEnd w:id="735"/>
      <w:r>
        <w:t xml:space="preserve">. </w:t>
      </w:r>
    </w:p>
    <w:p w:rsidR="00022F06" w:rsidRDefault="00022F06" w:rsidP="00022F06">
      <w:pPr>
        <w:pStyle w:val="Caption"/>
      </w:pPr>
      <w:bookmarkStart w:id="736" w:name="_Ref445214410"/>
      <w:bookmarkStart w:id="737" w:name="_Ref447097918"/>
      <w:bookmarkStart w:id="738" w:name="_Toc447122277"/>
      <w:bookmarkStart w:id="739" w:name="_Toc447641392"/>
      <w:bookmarkStart w:id="740" w:name="_Toc460318055"/>
      <w:r>
        <w:t xml:space="preserve">Figure </w:t>
      </w:r>
      <w:r w:rsidR="00CA762C">
        <w:rPr>
          <w:noProof/>
        </w:rPr>
        <w:t>24</w:t>
      </w:r>
      <w:bookmarkEnd w:id="736"/>
      <w:r w:rsidR="00A6425D">
        <w:tab/>
      </w:r>
      <w:r>
        <w:t>Emissions by policy scenario, 2 degrees</w:t>
      </w:r>
      <w:bookmarkEnd w:id="737"/>
      <w:bookmarkEnd w:id="738"/>
      <w:bookmarkEnd w:id="739"/>
      <w:r>
        <w:t>, 2020–2050</w:t>
      </w:r>
      <w:bookmarkEnd w:id="740"/>
    </w:p>
    <w:p w:rsidR="00022F06" w:rsidRDefault="00022F06" w:rsidP="00022F06">
      <w:pPr>
        <w:pStyle w:val="BodyText"/>
        <w:jc w:val="center"/>
      </w:pPr>
      <w:r w:rsidRPr="008E2996">
        <w:t xml:space="preserve"> </w:t>
      </w:r>
      <w:r w:rsidRPr="008E2996">
        <w:rPr>
          <w:noProof/>
          <w:lang w:eastAsia="en-AU"/>
        </w:rPr>
        <w:drawing>
          <wp:inline distT="0" distB="0" distL="0" distR="0" wp14:anchorId="0F696454" wp14:editId="593A9D17">
            <wp:extent cx="6120765" cy="30935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093513"/>
                    </a:xfrm>
                    <a:prstGeom prst="rect">
                      <a:avLst/>
                    </a:prstGeom>
                    <a:noFill/>
                    <a:ln>
                      <a:noFill/>
                    </a:ln>
                  </pic:spPr>
                </pic:pic>
              </a:graphicData>
            </a:graphic>
          </wp:inline>
        </w:drawing>
      </w:r>
    </w:p>
    <w:p w:rsidR="00022F06" w:rsidRPr="00226B01" w:rsidRDefault="00022F06" w:rsidP="00022F06">
      <w:pPr>
        <w:pStyle w:val="TableNote"/>
        <w:rPr>
          <w:b/>
        </w:rPr>
      </w:pPr>
      <w:r w:rsidRPr="00226B01">
        <w:rPr>
          <w:b/>
        </w:rPr>
        <w:t>Note:</w:t>
      </w:r>
      <w:r>
        <w:t xml:space="preserve"> </w:t>
      </w:r>
      <w:r w:rsidRPr="008E61FF">
        <w:t>Emissions from</w:t>
      </w:r>
      <w:r>
        <w:t xml:space="preserve"> the</w:t>
      </w:r>
      <w:r w:rsidRPr="008E61FF">
        <w:t xml:space="preserve"> NEM and WEM.</w:t>
      </w:r>
      <w:r w:rsidDel="00AF157E">
        <w:t xml:space="preserve"> </w:t>
      </w:r>
      <w:r>
        <w:t>Emissions comprise direct emissions (from combustion of fuels in electricity generation) and indirect emissions (emitted during processing and supply of fuel to power stations</w:t>
      </w:r>
      <w:r w:rsidRPr="00C82CDB">
        <w:t>)</w:t>
      </w:r>
      <w:r>
        <w:t>. 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e or 15 per cent.</w:t>
      </w:r>
      <w:r>
        <w:br/>
      </w:r>
      <w:r w:rsidRPr="00226B01">
        <w:rPr>
          <w:b/>
        </w:rPr>
        <w:t>Source:</w:t>
      </w:r>
      <w:r>
        <w:t xml:space="preserve"> </w:t>
      </w:r>
      <w:bookmarkStart w:id="741" w:name="_CTVP001b9d1aa5c5e0e4e2c9a492aa49a428221"/>
      <w:proofErr w:type="gramStart"/>
      <w:r w:rsidR="0059109A">
        <w:t>Jacobs 2016</w:t>
      </w:r>
      <w:proofErr w:type="gramEnd"/>
      <w:r w:rsidR="0059109A">
        <w:t>c</w:t>
      </w:r>
      <w:bookmarkEnd w:id="741"/>
      <w:r>
        <w:t>.</w:t>
      </w:r>
    </w:p>
    <w:p w:rsidR="00022F06" w:rsidRDefault="00022F06" w:rsidP="00022F06">
      <w:pPr>
        <w:pStyle w:val="BodyText"/>
      </w:pPr>
      <w:r>
        <w:t xml:space="preserve">In the absence of new policies, emissions are projected to be substantially higher in the reference case than in the policy scenarios. Emissions in the reference scenario grow by around 1.2 per cent per year, </w:t>
      </w:r>
      <w:r w:rsidR="00562BFB">
        <w:t>which</w:t>
      </w:r>
      <w:r>
        <w:t xml:space="preserve"> is lower than the rate of growth in demand for that scenario. The emission intensity of generation falls slightly due to the increasing projected share of gas-fired generation. </w:t>
      </w:r>
    </w:p>
    <w:p w:rsidR="00022F06" w:rsidRDefault="00022F06" w:rsidP="00022F06">
      <w:pPr>
        <w:pStyle w:val="BodyText"/>
      </w:pPr>
      <w:proofErr w:type="gramStart"/>
      <w:r>
        <w:t xml:space="preserve">Regulated closures </w:t>
      </w:r>
      <w:r w:rsidR="00562BFB">
        <w:t>is</w:t>
      </w:r>
      <w:proofErr w:type="gramEnd"/>
      <w:r>
        <w:t xml:space="preserve"> the only scenario that </w:t>
      </w:r>
      <w:r w:rsidR="00562BFB">
        <w:t>does not</w:t>
      </w:r>
      <w:r>
        <w:t xml:space="preserve"> achieve the budget; cumulative emissions </w:t>
      </w:r>
      <w:r w:rsidR="003112AC">
        <w:t>exceed the budget by</w:t>
      </w:r>
      <w:r w:rsidR="00562BFB">
        <w:t xml:space="preserve"> </w:t>
      </w:r>
      <w:r>
        <w:t>about 15 per cent (227 Mt</w:t>
      </w:r>
      <w:r w:rsidR="00F52919">
        <w:t> </w:t>
      </w:r>
      <w:r>
        <w:t>CO</w:t>
      </w:r>
      <w:r w:rsidRPr="004B5D34">
        <w:rPr>
          <w:vertAlign w:val="subscript"/>
        </w:rPr>
        <w:t>2</w:t>
      </w:r>
      <w:r w:rsidR="003112AC">
        <w:noBreakHyphen/>
        <w:t>e)</w:t>
      </w:r>
      <w:r>
        <w:t>. Even with rapid closure of all coal by 2027, emissions are not projected to fall to the same level as the other policy scenarios. This is because</w:t>
      </w:r>
      <w:r w:rsidR="003112AC">
        <w:t>,</w:t>
      </w:r>
      <w:r>
        <w:t xml:space="preserve"> in the absence of other policy mechanisms</w:t>
      </w:r>
      <w:r w:rsidR="003112AC">
        <w:t>,</w:t>
      </w:r>
      <w:r>
        <w:t xml:space="preserve"> coal is replaced with a large amount of gas</w:t>
      </w:r>
      <w:r>
        <w:noBreakHyphen/>
        <w:t>fired generation rather than renewables.</w:t>
      </w:r>
    </w:p>
    <w:p w:rsidR="00022F06" w:rsidRDefault="00022F06" w:rsidP="00022F06">
      <w:pPr>
        <w:pStyle w:val="Caption"/>
      </w:pPr>
      <w:bookmarkStart w:id="742" w:name="_Ref443994040"/>
      <w:bookmarkStart w:id="743" w:name="_Toc443999225"/>
      <w:bookmarkStart w:id="744" w:name="_Toc444610078"/>
      <w:bookmarkStart w:id="745" w:name="_Toc447122278"/>
      <w:bookmarkStart w:id="746" w:name="_Toc447641393"/>
      <w:bookmarkStart w:id="747" w:name="_Toc460318056"/>
      <w:r>
        <w:lastRenderedPageBreak/>
        <w:t xml:space="preserve">Figure </w:t>
      </w:r>
      <w:r w:rsidR="00CA762C">
        <w:rPr>
          <w:noProof/>
        </w:rPr>
        <w:t>25</w:t>
      </w:r>
      <w:bookmarkEnd w:id="742"/>
      <w:r w:rsidR="00A6425D">
        <w:tab/>
      </w:r>
      <w:r>
        <w:t>Emissions intensity by policy scenario, 2 degrees</w:t>
      </w:r>
      <w:bookmarkEnd w:id="743"/>
      <w:bookmarkEnd w:id="744"/>
      <w:bookmarkEnd w:id="745"/>
      <w:bookmarkEnd w:id="746"/>
      <w:r>
        <w:t>, 2020–2050</w:t>
      </w:r>
      <w:bookmarkEnd w:id="747"/>
    </w:p>
    <w:p w:rsidR="00022F06" w:rsidRDefault="00022F06" w:rsidP="00022F06">
      <w:pPr>
        <w:pStyle w:val="BodyText"/>
      </w:pPr>
      <w:r w:rsidRPr="00AF157E">
        <w:t xml:space="preserve"> </w:t>
      </w:r>
      <w:r w:rsidRPr="0042350D">
        <w:rPr>
          <w:noProof/>
          <w:lang w:eastAsia="en-AU"/>
        </w:rPr>
        <w:drawing>
          <wp:inline distT="0" distB="0" distL="0" distR="0" wp14:anchorId="38A96C7F" wp14:editId="56B4289D">
            <wp:extent cx="6120765" cy="3103059"/>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103059"/>
                    </a:xfrm>
                    <a:prstGeom prst="rect">
                      <a:avLst/>
                    </a:prstGeom>
                    <a:noFill/>
                    <a:ln>
                      <a:noFill/>
                    </a:ln>
                  </pic:spPr>
                </pic:pic>
              </a:graphicData>
            </a:graphic>
          </wp:inline>
        </w:drawing>
      </w:r>
    </w:p>
    <w:p w:rsidR="00022F06" w:rsidRDefault="00022F06" w:rsidP="00022F06">
      <w:pPr>
        <w:pStyle w:val="TableNote"/>
      </w:pPr>
      <w:r w:rsidRPr="00226B01">
        <w:rPr>
          <w:b/>
        </w:rPr>
        <w:t>Note:</w:t>
      </w:r>
      <w:r>
        <w:t xml:space="preserve"> Emissions intensity of the NEM and WEM. Emission intensity</w:t>
      </w:r>
      <w:r w:rsidR="003112AC">
        <w:t xml:space="preserve"> is</w:t>
      </w:r>
      <w:r>
        <w:t xml:space="preserve"> based on direct emissions (from combustion of fuels in electricity generation) and electricity </w:t>
      </w:r>
      <w:r w:rsidR="00BC2270">
        <w:t>demand</w:t>
      </w:r>
      <w:r>
        <w:t>. 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e or 15 per cent.</w:t>
      </w:r>
      <w:r>
        <w:br/>
      </w:r>
      <w:r w:rsidRPr="00226B01">
        <w:rPr>
          <w:b/>
        </w:rPr>
        <w:t>Source:</w:t>
      </w:r>
      <w:r>
        <w:t xml:space="preserve"> Climate Change Authority based on </w:t>
      </w:r>
      <w:bookmarkStart w:id="748" w:name="_CTVP0011d06d3a53fc943a5a6290931930334f9"/>
      <w:proofErr w:type="gramStart"/>
      <w:r w:rsidR="0059109A">
        <w:t>Jacobs 2016</w:t>
      </w:r>
      <w:proofErr w:type="gramEnd"/>
      <w:r w:rsidR="0059109A">
        <w:t>c</w:t>
      </w:r>
      <w:bookmarkEnd w:id="748"/>
      <w:r>
        <w:t>.</w:t>
      </w:r>
    </w:p>
    <w:p w:rsidR="00022F06" w:rsidRPr="00393C63" w:rsidRDefault="00022F06" w:rsidP="00393C63">
      <w:pPr>
        <w:pStyle w:val="AppendixHeading3"/>
      </w:pPr>
      <w:bookmarkStart w:id="749" w:name="_Toc460318020"/>
      <w:r w:rsidRPr="00393C63">
        <w:t>Prices</w:t>
      </w:r>
      <w:bookmarkEnd w:id="749"/>
      <w:r w:rsidRPr="00393C63">
        <w:t xml:space="preserve"> </w:t>
      </w:r>
    </w:p>
    <w:p w:rsidR="00022F06" w:rsidRDefault="00022F06" w:rsidP="00022F06">
      <w:pPr>
        <w:pStyle w:val="BodyText"/>
      </w:pPr>
      <w:r w:rsidRPr="00950146">
        <w:t xml:space="preserve">This section provides an overview of the </w:t>
      </w:r>
      <w:r>
        <w:t>projected effects of the policy options on wholesale and retail prices</w:t>
      </w:r>
      <w:r w:rsidRPr="00950146">
        <w:t>.</w:t>
      </w:r>
      <w:r>
        <w:t xml:space="preserve"> </w:t>
      </w:r>
    </w:p>
    <w:p w:rsidR="00022F06" w:rsidRDefault="00022F06" w:rsidP="00022F06">
      <w:pPr>
        <w:pStyle w:val="BodyText"/>
      </w:pPr>
      <w:r>
        <w:t>The type of mitigation policy has a large effect on projected wholesale electricity prices (</w:t>
      </w:r>
      <w:r w:rsidR="00CA762C">
        <w:t xml:space="preserve">Figure </w:t>
      </w:r>
      <w:r w:rsidR="00CA762C">
        <w:rPr>
          <w:noProof/>
        </w:rPr>
        <w:t>26</w:t>
      </w:r>
      <w:r>
        <w:t>). For the policy scenarios</w:t>
      </w:r>
      <w:r w:rsidR="003112AC">
        <w:t>, wholesale prices</w:t>
      </w:r>
      <w:r>
        <w:t>:</w:t>
      </w:r>
    </w:p>
    <w:p w:rsidR="00022F06" w:rsidRDefault="00022F06" w:rsidP="00022F06">
      <w:pPr>
        <w:pStyle w:val="ListBullet"/>
      </w:pPr>
      <w:proofErr w:type="gramStart"/>
      <w:r>
        <w:t>are</w:t>
      </w:r>
      <w:proofErr w:type="gramEnd"/>
      <w:r>
        <w:t xml:space="preserve"> generally the highest in the cap and trade scenario. This reflects the impact of the carbon price on the dispatch costs of fossil fuel plants.    </w:t>
      </w:r>
    </w:p>
    <w:p w:rsidR="00022F06" w:rsidRPr="00BA455B" w:rsidRDefault="00022F06" w:rsidP="00BA455B">
      <w:pPr>
        <w:pStyle w:val="ListBullet"/>
      </w:pPr>
      <w:proofErr w:type="gramStart"/>
      <w:r w:rsidRPr="00BA455B">
        <w:t>also</w:t>
      </w:r>
      <w:proofErr w:type="gramEnd"/>
      <w:r w:rsidRPr="00BA455B">
        <w:t xml:space="preserve"> rise in the emission intensity scenario but are 12 per cent lower than the cap and trade scenario in present value terms. This is because of the production subsidy provided by free allocation of permits up to the baseline.   </w:t>
      </w:r>
    </w:p>
    <w:p w:rsidR="00022F06" w:rsidRDefault="00022F06" w:rsidP="00022F06">
      <w:pPr>
        <w:pStyle w:val="ListBullet"/>
      </w:pPr>
      <w:proofErr w:type="gramStart"/>
      <w:r>
        <w:t>also</w:t>
      </w:r>
      <w:proofErr w:type="gramEnd"/>
      <w:r>
        <w:t xml:space="preserve"> rise for the regulatory scenarios as they restric</w:t>
      </w:r>
      <w:r w:rsidR="00937279">
        <w:t>t dispatch of low cost but high</w:t>
      </w:r>
      <w:r w:rsidR="00937279">
        <w:noBreakHyphen/>
      </w:r>
      <w:r>
        <w:t>emissions plant. I</w:t>
      </w:r>
      <w:r w:rsidR="00BA455B">
        <w:t>n the absolute baselines policy</w:t>
      </w:r>
      <w:r>
        <w:t xml:space="preserve"> there is a price spike from 2024 to 2030.</w:t>
      </w:r>
      <w:r>
        <w:rPr>
          <w:rStyle w:val="FootnoteReference"/>
        </w:rPr>
        <w:footnoteReference w:id="20"/>
      </w:r>
      <w:r>
        <w:t xml:space="preserve"> </w:t>
      </w:r>
    </w:p>
    <w:p w:rsidR="00022F06" w:rsidRPr="00226B01" w:rsidRDefault="00022F06" w:rsidP="00022F06">
      <w:pPr>
        <w:pStyle w:val="ListBullet"/>
        <w:rPr>
          <w:lang w:val="en-GB" w:eastAsia="en-AU"/>
        </w:rPr>
      </w:pPr>
      <w:proofErr w:type="gramStart"/>
      <w:r>
        <w:t>are</w:t>
      </w:r>
      <w:proofErr w:type="gramEnd"/>
      <w:r>
        <w:t xml:space="preserve"> below or around the reference scenario prices for the technology pull policies. These policies provide a subsidy to generators with low operating costs, suppressing wholesale prices over the modelling period. </w:t>
      </w:r>
    </w:p>
    <w:p w:rsidR="00022F06" w:rsidRPr="00B07BB8" w:rsidRDefault="00022F06" w:rsidP="00022F06">
      <w:pPr>
        <w:pStyle w:val="ListBullet"/>
        <w:numPr>
          <w:ilvl w:val="0"/>
          <w:numId w:val="0"/>
        </w:numPr>
        <w:rPr>
          <w:lang w:val="en-GB" w:eastAsia="en-AU"/>
        </w:rPr>
      </w:pPr>
      <w:r>
        <w:t xml:space="preserve">For further detail about how different policies affect wholesale prices see </w:t>
      </w:r>
      <w:r w:rsidR="00CA762C">
        <w:t>Box 2</w:t>
      </w:r>
      <w:r>
        <w:t xml:space="preserve"> in Chapter 2.</w:t>
      </w:r>
    </w:p>
    <w:p w:rsidR="00022F06" w:rsidRDefault="00022F06" w:rsidP="00022F06">
      <w:pPr>
        <w:pStyle w:val="Caption"/>
      </w:pPr>
      <w:bookmarkStart w:id="750" w:name="_Ref446586939"/>
      <w:bookmarkStart w:id="751" w:name="_Ref443042759"/>
      <w:bookmarkStart w:id="752" w:name="_Toc443999226"/>
      <w:bookmarkStart w:id="753" w:name="_Toc444610079"/>
      <w:bookmarkStart w:id="754" w:name="_Ref446586934"/>
      <w:bookmarkStart w:id="755" w:name="_Toc447122279"/>
      <w:bookmarkStart w:id="756" w:name="_Toc447641394"/>
      <w:bookmarkStart w:id="757" w:name="_Toc460318057"/>
      <w:r>
        <w:lastRenderedPageBreak/>
        <w:t xml:space="preserve">Figure </w:t>
      </w:r>
      <w:r w:rsidR="00CA762C">
        <w:rPr>
          <w:noProof/>
        </w:rPr>
        <w:t>26</w:t>
      </w:r>
      <w:bookmarkEnd w:id="750"/>
      <w:bookmarkEnd w:id="751"/>
      <w:bookmarkEnd w:id="752"/>
      <w:bookmarkEnd w:id="753"/>
      <w:bookmarkEnd w:id="754"/>
      <w:bookmarkEnd w:id="755"/>
      <w:bookmarkEnd w:id="756"/>
      <w:r w:rsidR="00A6425D">
        <w:tab/>
      </w:r>
      <w:r>
        <w:t>Average wholesale electricity price</w:t>
      </w:r>
      <w:r w:rsidR="006C233B">
        <w:t xml:space="preserve"> by policy</w:t>
      </w:r>
      <w:r>
        <w:t xml:space="preserve">, 2 degrees, </w:t>
      </w:r>
      <w:proofErr w:type="gramStart"/>
      <w:r>
        <w:t>2020</w:t>
      </w:r>
      <w:proofErr w:type="gramEnd"/>
      <w:r>
        <w:t>–2050</w:t>
      </w:r>
      <w:bookmarkEnd w:id="757"/>
    </w:p>
    <w:p w:rsidR="00022F06" w:rsidRPr="00B07BB8" w:rsidRDefault="00022F06" w:rsidP="00022F06">
      <w:pPr>
        <w:pStyle w:val="ListBullet"/>
        <w:keepNext/>
        <w:numPr>
          <w:ilvl w:val="0"/>
          <w:numId w:val="0"/>
        </w:numPr>
        <w:rPr>
          <w:lang w:val="en-GB" w:eastAsia="en-AU"/>
        </w:rPr>
      </w:pPr>
      <w:r w:rsidRPr="004041C1">
        <w:rPr>
          <w:noProof/>
          <w:lang w:eastAsia="en-AU"/>
        </w:rPr>
        <w:drawing>
          <wp:inline distT="0" distB="0" distL="0" distR="0" wp14:anchorId="5886FF20" wp14:editId="4DF664A3">
            <wp:extent cx="6120765" cy="28441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765" cy="2844165"/>
                    </a:xfrm>
                    <a:prstGeom prst="rect">
                      <a:avLst/>
                    </a:prstGeom>
                    <a:noFill/>
                    <a:ln>
                      <a:noFill/>
                    </a:ln>
                  </pic:spPr>
                </pic:pic>
              </a:graphicData>
            </a:graphic>
          </wp:inline>
        </w:drawing>
      </w:r>
    </w:p>
    <w:p w:rsidR="00022F06" w:rsidRDefault="00022F06" w:rsidP="00022F06">
      <w:pPr>
        <w:pStyle w:val="TableNote"/>
        <w:keepLines/>
      </w:pPr>
      <w:r w:rsidRPr="00AA09B6">
        <w:rPr>
          <w:b/>
        </w:rPr>
        <w:t>Note:</w:t>
      </w:r>
      <w:r>
        <w:t xml:space="preserve"> Prices are v</w:t>
      </w:r>
      <w:r w:rsidRPr="00AA09B6">
        <w:t xml:space="preserve">olume weighted </w:t>
      </w:r>
      <w:r>
        <w:t>using</w:t>
      </w:r>
      <w:r w:rsidRPr="00BB0937">
        <w:t xml:space="preserve"> average hourly prices weighted by hourly generation proportions. Volume</w:t>
      </w:r>
      <w:r>
        <w:t xml:space="preserve"> </w:t>
      </w:r>
      <w:r w:rsidRPr="00BB0937">
        <w:t xml:space="preserve">weighted prices are </w:t>
      </w:r>
      <w:r>
        <w:t>calculated</w:t>
      </w:r>
      <w:r w:rsidRPr="00BB0937">
        <w:t xml:space="preserve"> for each region of the NEM and the WEM and a system wide average is derived by weight</w:t>
      </w:r>
      <w:r>
        <w:t>ing</w:t>
      </w:r>
      <w:r w:rsidRPr="00BB0937">
        <w:t xml:space="preserve"> each region</w:t>
      </w:r>
      <w:r>
        <w:t>al</w:t>
      </w:r>
      <w:r w:rsidRPr="00BB0937">
        <w:t xml:space="preserve"> price by the</w:t>
      </w:r>
      <w:r>
        <w:t xml:space="preserve"> ratio</w:t>
      </w:r>
      <w:r w:rsidRPr="00BB0937">
        <w:t xml:space="preserve"> of each region</w:t>
      </w:r>
      <w:r>
        <w:t>’</w:t>
      </w:r>
      <w:r w:rsidRPr="00BB0937">
        <w:t>s energy demand to total demand</w:t>
      </w:r>
      <w:r>
        <w:t>. 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e or 15 per cent.</w:t>
      </w:r>
      <w:r>
        <w:br/>
      </w:r>
      <w:r w:rsidRPr="00AA09B6">
        <w:rPr>
          <w:b/>
        </w:rPr>
        <w:t>Source:</w:t>
      </w:r>
      <w:r>
        <w:t xml:space="preserve"> </w:t>
      </w:r>
      <w:bookmarkStart w:id="758" w:name="_CTVP001d2e7619a31da47288428b3a2c9b621cf"/>
      <w:proofErr w:type="gramStart"/>
      <w:r w:rsidR="0059109A">
        <w:t>Jacobs 2016</w:t>
      </w:r>
      <w:proofErr w:type="gramEnd"/>
      <w:r w:rsidR="0059109A">
        <w:t>c</w:t>
      </w:r>
      <w:bookmarkEnd w:id="758"/>
      <w:r w:rsidRPr="00BB0937">
        <w:t>.</w:t>
      </w:r>
    </w:p>
    <w:p w:rsidR="00022F06" w:rsidRDefault="00022F06" w:rsidP="00022F06">
      <w:pPr>
        <w:pStyle w:val="BodyText"/>
      </w:pPr>
      <w:r>
        <w:t xml:space="preserve">Retail prices are made up of the costs of generating, transmitting, distributing and selling electricity to end users (Section </w:t>
      </w:r>
      <w:r w:rsidR="00CA762C">
        <w:t>2.5.2</w:t>
      </w:r>
      <w:r>
        <w:t>). Climate polices affect only some of these components:</w:t>
      </w:r>
    </w:p>
    <w:p w:rsidR="00022F06" w:rsidRDefault="004A6038" w:rsidP="003224FA">
      <w:pPr>
        <w:pStyle w:val="ListBullet"/>
      </w:pPr>
      <w:r>
        <w:t>Market mechanisms</w:t>
      </w:r>
      <w:r w:rsidR="00022F06">
        <w:t xml:space="preserve"> and regulatory policies raise wholesale prices, but leave other components unaffected.</w:t>
      </w:r>
    </w:p>
    <w:p w:rsidR="00022F06" w:rsidRDefault="00022F06" w:rsidP="003224FA">
      <w:pPr>
        <w:pStyle w:val="ListBullet"/>
      </w:pPr>
      <w:r>
        <w:t xml:space="preserve">Technology pull policies lower wholesale </w:t>
      </w:r>
      <w:proofErr w:type="gramStart"/>
      <w:r>
        <w:t>prices,</w:t>
      </w:r>
      <w:proofErr w:type="gramEnd"/>
      <w:r>
        <w:t xml:space="preserve"> but raise the retail components of prices as the costs of subsidising technology are borne by retailers and passed on to consumers. In the core policy scenarios, the second effect dominates and overall retail prices are projected to rise.</w:t>
      </w:r>
    </w:p>
    <w:p w:rsidR="00022F06" w:rsidRDefault="00022F06" w:rsidP="003224FA">
      <w:pPr>
        <w:pStyle w:val="ListBullet"/>
      </w:pPr>
      <w:r>
        <w:t xml:space="preserve">Climate policies do not materially affect network costs, which in in 2014–15 made up 47 per cent of residential customer bills </w:t>
      </w:r>
      <w:bookmarkStart w:id="759" w:name="_CTVP0010765d6591626452d9191cc42aa3504e0"/>
      <w:r w:rsidR="0059109A">
        <w:t>(AEMC 2015b)</w:t>
      </w:r>
      <w:bookmarkEnd w:id="759"/>
      <w:r>
        <w:t>.</w:t>
      </w:r>
    </w:p>
    <w:p w:rsidR="00022F06" w:rsidRDefault="00022F06" w:rsidP="00022F06">
      <w:pPr>
        <w:pStyle w:val="BodyText"/>
      </w:pPr>
      <w:r>
        <w:t xml:space="preserve">For all policies, achieving Australia’s long-term emissions reduction goals is likely to increase consumer electricity prices; these impacts can be addressed in a range of </w:t>
      </w:r>
      <w:r w:rsidRPr="00470EED">
        <w:t>ways</w:t>
      </w:r>
      <w:r w:rsidR="00C3414A">
        <w:t>.</w:t>
      </w:r>
      <w:r w:rsidRPr="00947B69">
        <w:t xml:space="preserve"> In Jacobs’ modelling average retail prices are projected to be about five to 25 per cent higher in the policy scenarios than in the reference scenario (</w:t>
      </w:r>
      <w:r w:rsidR="00CA762C">
        <w:t xml:space="preserve">Figure </w:t>
      </w:r>
      <w:r w:rsidR="00CA762C">
        <w:rPr>
          <w:noProof/>
        </w:rPr>
        <w:t>27</w:t>
      </w:r>
      <w:r w:rsidRPr="00947B69">
        <w:t>).</w:t>
      </w:r>
      <w:r>
        <w:rPr>
          <w:rStyle w:val="FootnoteReference"/>
        </w:rPr>
        <w:footnoteReference w:id="21"/>
      </w:r>
      <w:r w:rsidRPr="006A5AE6">
        <w:t xml:space="preserve"> </w:t>
      </w:r>
      <w:r>
        <w:t xml:space="preserve">Projected changes in electricity </w:t>
      </w:r>
      <w:r w:rsidR="00FF6283">
        <w:t>costs</w:t>
      </w:r>
      <w:r>
        <w:t xml:space="preserve"> are the product of projected changes in retail price and electricity consumed. Jacobs’ modelling uses estimates from Australian data on how electricity demand responds to changes in price to project changes in electricity </w:t>
      </w:r>
      <w:r w:rsidR="00BC2270">
        <w:t xml:space="preserve">demand. </w:t>
      </w:r>
      <w:r w:rsidR="00E91808">
        <w:t>A</w:t>
      </w:r>
      <w:r>
        <w:t>verage</w:t>
      </w:r>
      <w:r w:rsidR="00367792">
        <w:t xml:space="preserve"> </w:t>
      </w:r>
      <w:r>
        <w:t>annual residential electricity spending is projected to increase by</w:t>
      </w:r>
      <w:r w:rsidR="00C3414A">
        <w:t xml:space="preserve"> between</w:t>
      </w:r>
      <w:r>
        <w:t xml:space="preserve"> $50 </w:t>
      </w:r>
      <w:r w:rsidR="00C3414A">
        <w:t>and</w:t>
      </w:r>
      <w:r>
        <w:t xml:space="preserve"> $200 per year depending on the policy (</w:t>
      </w:r>
      <w:r w:rsidR="00CA762C">
        <w:t xml:space="preserve">Figure </w:t>
      </w:r>
      <w:r w:rsidR="00CA762C">
        <w:rPr>
          <w:noProof/>
        </w:rPr>
        <w:t>28</w:t>
      </w:r>
      <w:r>
        <w:t xml:space="preserve">). Electricity spending as a share of household income is projected to remain around 2.2 per cent for the reference case and averages between 2.3 per cent and 2.6 per cent in the policy scenarios over the period to 2050 </w:t>
      </w:r>
      <w:bookmarkStart w:id="760" w:name="_CTVP00158b287d3b52040d89a76807cc6b5c837"/>
      <w:r w:rsidR="0059109A">
        <w:t>(Jacobs 2016c)</w:t>
      </w:r>
      <w:bookmarkEnd w:id="760"/>
      <w:r>
        <w:t>. As noted above, these projections exclude policies such as energy efficiency measures which could be implemented alongside electricity sector climate policy and can improve electricity affordability even with increased electricity prices. Other recent modelling suggests the largest influences on future electricity affordability may be network infrastructure costs rather than climate action (CSIRO National Outlook p.16).</w:t>
      </w:r>
    </w:p>
    <w:p w:rsidR="00022F06" w:rsidRDefault="00022F06" w:rsidP="00022F06">
      <w:pPr>
        <w:pStyle w:val="Caption"/>
      </w:pPr>
      <w:bookmarkStart w:id="761" w:name="_Ref443998702"/>
      <w:bookmarkStart w:id="762" w:name="_Toc460318058"/>
      <w:bookmarkStart w:id="763" w:name="_Toc443999227"/>
      <w:bookmarkStart w:id="764" w:name="_Toc444610080"/>
      <w:bookmarkStart w:id="765" w:name="_Toc447122280"/>
      <w:bookmarkStart w:id="766" w:name="_Toc447641395"/>
      <w:r>
        <w:lastRenderedPageBreak/>
        <w:t xml:space="preserve">Figure </w:t>
      </w:r>
      <w:r w:rsidR="00CA762C">
        <w:rPr>
          <w:noProof/>
        </w:rPr>
        <w:t>27</w:t>
      </w:r>
      <w:bookmarkEnd w:id="761"/>
      <w:r w:rsidR="00A6425D">
        <w:tab/>
      </w:r>
      <w:r>
        <w:t xml:space="preserve">Average residential retail price by policy, 2 degrees, </w:t>
      </w:r>
      <w:proofErr w:type="gramStart"/>
      <w:r>
        <w:t>2020</w:t>
      </w:r>
      <w:proofErr w:type="gramEnd"/>
      <w:r>
        <w:t>–2050</w:t>
      </w:r>
      <w:bookmarkEnd w:id="762"/>
      <w:r>
        <w:t xml:space="preserve"> </w:t>
      </w:r>
    </w:p>
    <w:bookmarkEnd w:id="763"/>
    <w:bookmarkEnd w:id="764"/>
    <w:bookmarkEnd w:id="765"/>
    <w:bookmarkEnd w:id="766"/>
    <w:p w:rsidR="00022F06" w:rsidRDefault="00022F06" w:rsidP="00022F06">
      <w:pPr>
        <w:pStyle w:val="Caption"/>
      </w:pPr>
      <w:r w:rsidRPr="00773A07">
        <w:rPr>
          <w:noProof/>
          <w:lang w:eastAsia="en-AU"/>
        </w:rPr>
        <w:drawing>
          <wp:inline distT="0" distB="0" distL="0" distR="0" wp14:anchorId="007F9E48" wp14:editId="3AE7D433">
            <wp:extent cx="6120765" cy="2949726"/>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2949726"/>
                    </a:xfrm>
                    <a:prstGeom prst="rect">
                      <a:avLst/>
                    </a:prstGeom>
                    <a:noFill/>
                    <a:ln>
                      <a:noFill/>
                    </a:ln>
                  </pic:spPr>
                </pic:pic>
              </a:graphicData>
            </a:graphic>
          </wp:inline>
        </w:drawing>
      </w:r>
    </w:p>
    <w:p w:rsidR="00022F06" w:rsidRDefault="00022F06" w:rsidP="00022F06">
      <w:pPr>
        <w:pStyle w:val="TableNote"/>
        <w:keepLines/>
      </w:pPr>
      <w:r w:rsidRPr="00AA09B6">
        <w:rPr>
          <w:b/>
        </w:rPr>
        <w:t>Note:</w:t>
      </w:r>
      <w:r w:rsidRPr="00AA09B6">
        <w:t xml:space="preserve"> </w:t>
      </w:r>
      <w:r>
        <w:t>Prices are v</w:t>
      </w:r>
      <w:r w:rsidRPr="00AA09B6">
        <w:t xml:space="preserve">olume weighted </w:t>
      </w:r>
      <w:r>
        <w:t>using</w:t>
      </w:r>
      <w:r w:rsidRPr="00AA09B6">
        <w:t xml:space="preserve"> average hourly prices weighted by hourly generation </w:t>
      </w:r>
      <w:r>
        <w:t>shares</w:t>
      </w:r>
      <w:r w:rsidRPr="00AA09B6">
        <w:t xml:space="preserve">. Volume weighted prices are </w:t>
      </w:r>
      <w:r>
        <w:t>calculated</w:t>
      </w:r>
      <w:r w:rsidRPr="00AA09B6">
        <w:t xml:space="preserve"> for each region of the NEM and WEM and a system wide average is derived by weighting each region price by the proportion of each region</w:t>
      </w:r>
      <w:r>
        <w:t>’</w:t>
      </w:r>
      <w:r w:rsidRPr="00AA09B6">
        <w:t xml:space="preserve">s energy demand to total energy demand. </w:t>
      </w:r>
      <w:r>
        <w:t>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 xml:space="preserve">e or 15 per cent. </w:t>
      </w:r>
      <w:r w:rsidRPr="00EB5286">
        <w:t>The cap and trade scheme raises revenue which could be used to assist consumers</w:t>
      </w:r>
      <w:r w:rsidR="00C3414A" w:rsidRPr="00EB5286">
        <w:t xml:space="preserve"> with higher electricity prices;</w:t>
      </w:r>
      <w:r w:rsidRPr="00EB5286">
        <w:t xml:space="preserve"> for other policies assistance could be drawn from general revenue.</w:t>
      </w:r>
      <w:r>
        <w:br/>
      </w:r>
      <w:r w:rsidRPr="00AA09B6">
        <w:rPr>
          <w:b/>
        </w:rPr>
        <w:t>Source:</w:t>
      </w:r>
      <w:r>
        <w:rPr>
          <w:b/>
        </w:rPr>
        <w:t xml:space="preserve"> </w:t>
      </w:r>
      <w:bookmarkStart w:id="767" w:name="_CTVP001d913160fe5a545fcae1f8fb8fc6cf75d"/>
      <w:proofErr w:type="gramStart"/>
      <w:r w:rsidR="0059109A">
        <w:t>Jacobs 2016</w:t>
      </w:r>
      <w:proofErr w:type="gramEnd"/>
      <w:r w:rsidR="0059109A">
        <w:t>c</w:t>
      </w:r>
      <w:bookmarkEnd w:id="767"/>
      <w:r w:rsidRPr="00AA09B6">
        <w:t xml:space="preserve">.  </w:t>
      </w:r>
    </w:p>
    <w:p w:rsidR="00022F06" w:rsidRDefault="00022F06" w:rsidP="00022F06">
      <w:pPr>
        <w:pStyle w:val="Caption"/>
        <w:tabs>
          <w:tab w:val="clear" w:pos="1418"/>
        </w:tabs>
        <w:ind w:left="1134" w:hanging="1134"/>
      </w:pPr>
      <w:bookmarkStart w:id="768" w:name="_Ref443049604"/>
      <w:bookmarkStart w:id="769" w:name="_Toc443999228"/>
      <w:bookmarkStart w:id="770" w:name="_Toc444610081"/>
      <w:bookmarkStart w:id="771" w:name="_Toc447122281"/>
      <w:bookmarkStart w:id="772" w:name="_Toc447641396"/>
      <w:bookmarkStart w:id="773" w:name="_Toc460318059"/>
      <w:r>
        <w:t xml:space="preserve">Figure </w:t>
      </w:r>
      <w:r w:rsidR="00CA762C">
        <w:rPr>
          <w:noProof/>
        </w:rPr>
        <w:t>28</w:t>
      </w:r>
      <w:bookmarkEnd w:id="768"/>
      <w:r w:rsidR="00A6425D">
        <w:tab/>
      </w:r>
      <w:r w:rsidR="003F7F76">
        <w:t>Average</w:t>
      </w:r>
      <w:r>
        <w:t xml:space="preserve"> annual residential customer </w:t>
      </w:r>
      <w:r w:rsidR="00A20898">
        <w:t>spending</w:t>
      </w:r>
      <w:r>
        <w:t>, relative to reference, 2 degrees</w:t>
      </w:r>
      <w:bookmarkEnd w:id="769"/>
      <w:bookmarkEnd w:id="770"/>
      <w:bookmarkEnd w:id="771"/>
      <w:bookmarkEnd w:id="772"/>
      <w:r>
        <w:t>, 2020–2050</w:t>
      </w:r>
      <w:bookmarkEnd w:id="773"/>
    </w:p>
    <w:p w:rsidR="00022F06" w:rsidRDefault="00742FAE" w:rsidP="00022F06">
      <w:pPr>
        <w:pStyle w:val="BodyText"/>
        <w:jc w:val="center"/>
      </w:pPr>
      <w:r w:rsidRPr="00742FAE">
        <w:rPr>
          <w:noProof/>
          <w:lang w:eastAsia="en-AU"/>
        </w:rPr>
        <w:drawing>
          <wp:inline distT="0" distB="0" distL="0" distR="0" wp14:anchorId="6AC46A2A" wp14:editId="0C29B70F">
            <wp:extent cx="6119945"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765" cy="3343723"/>
                    </a:xfrm>
                    <a:prstGeom prst="rect">
                      <a:avLst/>
                    </a:prstGeom>
                    <a:noFill/>
                    <a:ln>
                      <a:noFill/>
                    </a:ln>
                  </pic:spPr>
                </pic:pic>
              </a:graphicData>
            </a:graphic>
          </wp:inline>
        </w:drawing>
      </w:r>
    </w:p>
    <w:p w:rsidR="00022F06" w:rsidRDefault="00022F06" w:rsidP="00022F06">
      <w:pPr>
        <w:pStyle w:val="TableNote"/>
      </w:pPr>
      <w:r w:rsidRPr="00842C17">
        <w:rPr>
          <w:b/>
        </w:rPr>
        <w:t>Note:</w:t>
      </w:r>
      <w:r>
        <w:t xml:space="preserve"> Figures relative to reference case calculated by subtracting </w:t>
      </w:r>
      <w:r w:rsidR="003F7F76">
        <w:t>the</w:t>
      </w:r>
      <w:r>
        <w:t xml:space="preserve"> reference case </w:t>
      </w:r>
      <w:r w:rsidR="00A20898">
        <w:t>spending</w:t>
      </w:r>
      <w:r>
        <w:t xml:space="preserve"> from </w:t>
      </w:r>
      <w:r w:rsidR="003F7F76">
        <w:t>the</w:t>
      </w:r>
      <w:r>
        <w:t xml:space="preserve"> policy case </w:t>
      </w:r>
      <w:r w:rsidR="00A20898">
        <w:t>spending</w:t>
      </w:r>
      <w:r w:rsidRPr="002527FF">
        <w:t xml:space="preserve">. </w:t>
      </w:r>
      <w:r>
        <w:t>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noBreakHyphen/>
        <w:t xml:space="preserve">e. The cap and trade scheme raises revenue which could be used to assist consumers with higher electricity prices, </w:t>
      </w:r>
      <w:r w:rsidRPr="00EB5286">
        <w:t>for other policies assistance could be drawn from general revenue.</w:t>
      </w:r>
      <w:r>
        <w:br/>
      </w:r>
      <w:r w:rsidRPr="00842C17">
        <w:rPr>
          <w:b/>
        </w:rPr>
        <w:t>Source:</w:t>
      </w:r>
      <w:r>
        <w:t xml:space="preserve"> Climate Change Authority based on </w:t>
      </w:r>
      <w:bookmarkStart w:id="774" w:name="_CTVP001b8b7de2f5185419585f7b99c5d28bbb1"/>
      <w:proofErr w:type="gramStart"/>
      <w:r w:rsidR="0059109A">
        <w:t>Jacobs 2016</w:t>
      </w:r>
      <w:proofErr w:type="gramEnd"/>
      <w:r w:rsidR="0059109A">
        <w:t>c</w:t>
      </w:r>
      <w:bookmarkEnd w:id="774"/>
      <w:r>
        <w:t>.</w:t>
      </w:r>
    </w:p>
    <w:p w:rsidR="00022F06" w:rsidRDefault="00022F06" w:rsidP="00022F06">
      <w:pPr>
        <w:pStyle w:val="AppendixHeading3"/>
      </w:pPr>
      <w:bookmarkStart w:id="775" w:name="_Toc460318021"/>
      <w:r>
        <w:lastRenderedPageBreak/>
        <w:t>Generator profits</w:t>
      </w:r>
      <w:bookmarkEnd w:id="775"/>
    </w:p>
    <w:p w:rsidR="00022F06" w:rsidRDefault="00022F06" w:rsidP="00022F06">
      <w:pPr>
        <w:pStyle w:val="BodyText"/>
      </w:pPr>
      <w:r>
        <w:t>Gross profits are the difference between total revenue and all operating costs. Gross profits for incumbent coal generators are projected to be lower than the reference</w:t>
      </w:r>
      <w:r w:rsidR="00C3414A">
        <w:t xml:space="preserve"> case</w:t>
      </w:r>
      <w:r>
        <w:t xml:space="preserve"> in all policies under the 2 degree emissions budget </w:t>
      </w:r>
      <w:r w:rsidR="00D84B36">
        <w:t>except in</w:t>
      </w:r>
      <w:r>
        <w:t xml:space="preserve"> the absolute baselines scenario</w:t>
      </w:r>
      <w:r w:rsidR="00D84B36">
        <w:t xml:space="preserve"> (</w:t>
      </w:r>
      <w:r w:rsidR="00CA762C">
        <w:t xml:space="preserve">Figure </w:t>
      </w:r>
      <w:r w:rsidR="00CA762C">
        <w:rPr>
          <w:noProof/>
        </w:rPr>
        <w:t>29</w:t>
      </w:r>
      <w:r w:rsidR="00D84B36">
        <w:t>)</w:t>
      </w:r>
      <w:r>
        <w:t>. Incumbent coal generators can have higher profits relative to the reference case in this scenario because:</w:t>
      </w:r>
    </w:p>
    <w:p w:rsidR="00022F06" w:rsidRDefault="00022F06" w:rsidP="003224FA">
      <w:pPr>
        <w:pStyle w:val="ListBullet"/>
      </w:pPr>
      <w:r>
        <w:t>there are no additional cost</w:t>
      </w:r>
      <w:r w:rsidR="00D84B36">
        <w:t>s</w:t>
      </w:r>
      <w:r>
        <w:t xml:space="preserve"> to generation from the policy</w:t>
      </w:r>
    </w:p>
    <w:p w:rsidR="00022F06" w:rsidRDefault="00022F06" w:rsidP="003224FA">
      <w:pPr>
        <w:pStyle w:val="ListBullet"/>
      </w:pPr>
      <w:proofErr w:type="gramStart"/>
      <w:r>
        <w:t>the</w:t>
      </w:r>
      <w:proofErr w:type="gramEnd"/>
      <w:r>
        <w:t xml:space="preserve"> wholesale price of electricity is relatively high (</w:t>
      </w:r>
      <w:r w:rsidR="00CA762C">
        <w:t xml:space="preserve">Figure </w:t>
      </w:r>
      <w:r w:rsidR="00CA762C">
        <w:rPr>
          <w:noProof/>
        </w:rPr>
        <w:t>26</w:t>
      </w:r>
      <w:r>
        <w:t>).</w:t>
      </w:r>
    </w:p>
    <w:p w:rsidR="004B091B" w:rsidRDefault="00022F06" w:rsidP="00022F06">
      <w:pPr>
        <w:pStyle w:val="Caption"/>
        <w:tabs>
          <w:tab w:val="clear" w:pos="1418"/>
        </w:tabs>
        <w:ind w:left="1134" w:hanging="1134"/>
      </w:pPr>
      <w:bookmarkStart w:id="776" w:name="_Ref446586969"/>
      <w:bookmarkStart w:id="777" w:name="_Toc447122282"/>
      <w:bookmarkStart w:id="778" w:name="_Toc447641397"/>
      <w:bookmarkStart w:id="779" w:name="_Toc460318060"/>
      <w:r>
        <w:t xml:space="preserve">Figure </w:t>
      </w:r>
      <w:r w:rsidR="00CA762C">
        <w:rPr>
          <w:noProof/>
        </w:rPr>
        <w:t>29</w:t>
      </w:r>
      <w:bookmarkEnd w:id="776"/>
      <w:r w:rsidR="00A6425D">
        <w:tab/>
      </w:r>
      <w:r w:rsidR="006C233B">
        <w:t xml:space="preserve">Difference in </w:t>
      </w:r>
      <w:r>
        <w:t>NPV of gross profits for incumbent coal generators, relative to reference, 2 degrees, 2020–2050</w:t>
      </w:r>
      <w:bookmarkEnd w:id="777"/>
      <w:bookmarkEnd w:id="778"/>
      <w:bookmarkEnd w:id="779"/>
    </w:p>
    <w:p w:rsidR="00022F06" w:rsidRPr="001F3D33" w:rsidRDefault="004B091B" w:rsidP="00022F06">
      <w:pPr>
        <w:pStyle w:val="Caption"/>
        <w:tabs>
          <w:tab w:val="clear" w:pos="1418"/>
        </w:tabs>
        <w:ind w:left="1134" w:hanging="1134"/>
      </w:pPr>
      <w:r>
        <w:rPr>
          <w:b w:val="0"/>
          <w:bCs w:val="0"/>
          <w:noProof/>
          <w:lang w:eastAsia="en-AU"/>
        </w:rPr>
        <w:drawing>
          <wp:inline distT="0" distB="0" distL="0" distR="0" wp14:anchorId="37608035" wp14:editId="0C234F38">
            <wp:extent cx="6108700" cy="40849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8700" cy="4084955"/>
                    </a:xfrm>
                    <a:prstGeom prst="rect">
                      <a:avLst/>
                    </a:prstGeom>
                    <a:noFill/>
                  </pic:spPr>
                </pic:pic>
              </a:graphicData>
            </a:graphic>
          </wp:inline>
        </w:drawing>
      </w:r>
      <w:r w:rsidR="00022F06" w:rsidRPr="00A84060">
        <w:rPr>
          <w:b w:val="0"/>
          <w:bCs w:val="0"/>
        </w:rPr>
        <w:t xml:space="preserve"> </w:t>
      </w:r>
    </w:p>
    <w:p w:rsidR="00022F06" w:rsidRDefault="00022F06" w:rsidP="00022F06">
      <w:pPr>
        <w:pStyle w:val="TableNote"/>
      </w:pPr>
      <w:r w:rsidRPr="0008792B">
        <w:rPr>
          <w:rFonts w:eastAsiaTheme="minorHAnsi"/>
          <w:b/>
        </w:rPr>
        <w:t>Note</w:t>
      </w:r>
      <w:r>
        <w:rPr>
          <w:rFonts w:eastAsiaTheme="minorHAnsi"/>
        </w:rPr>
        <w:t xml:space="preserve">: </w:t>
      </w:r>
      <w:r w:rsidRPr="0008792B">
        <w:rPr>
          <w:rFonts w:eastAsiaTheme="minorHAnsi"/>
        </w:rPr>
        <w:t xml:space="preserve">NPV of </w:t>
      </w:r>
      <w:r>
        <w:rPr>
          <w:rFonts w:eastAsiaTheme="minorHAnsi"/>
        </w:rPr>
        <w:t xml:space="preserve">gross </w:t>
      </w:r>
      <w:r w:rsidRPr="0008792B">
        <w:rPr>
          <w:rFonts w:eastAsiaTheme="minorHAnsi"/>
        </w:rPr>
        <w:t xml:space="preserve">profits calculated with seven per cent discount rate and discounted to 2020 levels. </w:t>
      </w:r>
      <w:r>
        <w:t>Gross profit is a concept related to costs, and for a generator is the difference between total revenue, which consists of pool revenue, contract revenue and certificate revenue (where applicable), less all operating costs, including fuel costs, fixed and variable operating costs and emissions costs</w:t>
      </w:r>
      <w:r>
        <w:rPr>
          <w:rFonts w:eastAsiaTheme="minorHAnsi"/>
        </w:rPr>
        <w:t xml:space="preserve">. </w:t>
      </w:r>
      <w:r w:rsidRPr="0008792B">
        <w:rPr>
          <w:rFonts w:eastAsiaTheme="minorHAnsi"/>
        </w:rPr>
        <w:t xml:space="preserve">Gross profits for reference case </w:t>
      </w:r>
      <w:r>
        <w:rPr>
          <w:rFonts w:eastAsiaTheme="minorHAnsi"/>
        </w:rPr>
        <w:t xml:space="preserve">are </w:t>
      </w:r>
      <w:r w:rsidRPr="0008792B">
        <w:rPr>
          <w:rFonts w:eastAsiaTheme="minorHAnsi"/>
        </w:rPr>
        <w:t>adjusted for new entrants using a generation to capacity ratio.</w:t>
      </w:r>
      <w:r>
        <w:rPr>
          <w:rFonts w:eastAsiaTheme="minorHAnsi"/>
        </w:rPr>
        <w:t xml:space="preserve"> </w:t>
      </w:r>
      <w:r w:rsidR="00A82A29">
        <w:t>The r</w:t>
      </w:r>
      <w:r w:rsidRPr="00E13380">
        <w:t>egulated closure</w:t>
      </w:r>
      <w:r w:rsidR="00A82A29">
        <w:t>s policy</w:t>
      </w:r>
      <w:r>
        <w:t xml:space="preserve"> </w:t>
      </w:r>
      <w:r w:rsidRPr="00E13380">
        <w:t xml:space="preserve">breaches the common cumulative emissions budget, so the </w:t>
      </w:r>
      <w:r>
        <w:t>change in profits</w:t>
      </w:r>
      <w:r w:rsidRPr="00E13380">
        <w:t xml:space="preserve"> may not be directly comparable with other policies.</w:t>
      </w:r>
      <w:r>
        <w:t xml:space="preserve"> The reference case assumes strong global action to reduce emissions, and no additional climate policies in the Australian electricity sector. Revenue </w:t>
      </w:r>
      <w:proofErr w:type="gramStart"/>
      <w:r>
        <w:t>raised</w:t>
      </w:r>
      <w:proofErr w:type="gramEnd"/>
      <w:r>
        <w:t xml:space="preserve"> under the cap and trade scheme is not redistributed in the modelling. For further information on interpreting gross profits measures, see </w:t>
      </w:r>
      <w:r w:rsidR="00FB4901">
        <w:t>Appendix C.3.3</w:t>
      </w:r>
      <w:r>
        <w:t xml:space="preserve"> of Jacobs’ modelling report (</w:t>
      </w:r>
      <w:bookmarkStart w:id="780" w:name="_CTVP001570c7962130547fe9f301be47a645fc5"/>
      <w:r w:rsidR="0059109A">
        <w:rPr>
          <w:rFonts w:eastAsiaTheme="minorHAnsi"/>
        </w:rPr>
        <w:t>Jacobs 2016c</w:t>
      </w:r>
      <w:bookmarkEnd w:id="780"/>
      <w:r>
        <w:rPr>
          <w:rFonts w:eastAsiaTheme="minorHAnsi"/>
        </w:rPr>
        <w:t>)</w:t>
      </w:r>
      <w:r w:rsidR="005B69B5">
        <w:rPr>
          <w:rFonts w:eastAsiaTheme="minorHAnsi"/>
        </w:rPr>
        <w:t>.</w:t>
      </w:r>
      <w:r>
        <w:t xml:space="preserve"> </w:t>
      </w:r>
      <w:r>
        <w:br/>
      </w:r>
      <w:r>
        <w:rPr>
          <w:b/>
        </w:rPr>
        <w:t xml:space="preserve">Source: </w:t>
      </w:r>
      <w:r w:rsidRPr="0008792B">
        <w:t xml:space="preserve">Climate Change Authority </w:t>
      </w:r>
      <w:r>
        <w:t>based on</w:t>
      </w:r>
      <w:r>
        <w:rPr>
          <w:rFonts w:eastAsiaTheme="minorHAnsi"/>
        </w:rPr>
        <w:t xml:space="preserve"> </w:t>
      </w:r>
      <w:bookmarkStart w:id="781" w:name="_CTVP001ca1748883ff6443b8d6e1889f795fa31"/>
      <w:r w:rsidR="0059109A">
        <w:rPr>
          <w:rFonts w:eastAsiaTheme="minorHAnsi"/>
        </w:rPr>
        <w:t>Jacobs 2016c</w:t>
      </w:r>
      <w:bookmarkEnd w:id="781"/>
      <w:r w:rsidRPr="0008792B">
        <w:rPr>
          <w:rFonts w:eastAsiaTheme="minorHAnsi"/>
        </w:rPr>
        <w:t xml:space="preserve">.  </w:t>
      </w:r>
      <w:r>
        <w:rPr>
          <w:rFonts w:eastAsiaTheme="minorHAnsi"/>
        </w:rPr>
        <w:t xml:space="preserve"> </w:t>
      </w:r>
      <w:r w:rsidRPr="0008792B">
        <w:rPr>
          <w:rFonts w:eastAsiaTheme="minorHAnsi" w:cstheme="minorBidi"/>
          <w:color w:val="414141"/>
          <w:sz w:val="21"/>
          <w:szCs w:val="22"/>
          <w:lang w:eastAsia="en-US"/>
        </w:rPr>
        <w:t xml:space="preserve"> </w:t>
      </w:r>
    </w:p>
    <w:p w:rsidR="00022F06" w:rsidRDefault="00022F06" w:rsidP="00022F06">
      <w:pPr>
        <w:pStyle w:val="BodyText"/>
      </w:pPr>
      <w:r>
        <w:t>The closure of coal generators creates opportunities for investment i</w:t>
      </w:r>
      <w:r w:rsidR="006F129B">
        <w:t>n new low</w:t>
      </w:r>
      <w:r w:rsidR="006F129B">
        <w:noBreakHyphen/>
      </w:r>
      <w:r>
        <w:t>emissions generators (</w:t>
      </w:r>
      <w:r w:rsidR="00CA762C">
        <w:t xml:space="preserve">Figure </w:t>
      </w:r>
      <w:r w:rsidR="00CA762C">
        <w:rPr>
          <w:noProof/>
        </w:rPr>
        <w:t>17</w:t>
      </w:r>
      <w:r w:rsidR="00656961">
        <w:t xml:space="preserve"> </w:t>
      </w:r>
      <w:r>
        <w:t xml:space="preserve">in Section </w:t>
      </w:r>
      <w:r w:rsidR="00CA762C">
        <w:t>4.1.2</w:t>
      </w:r>
      <w:r>
        <w:t>), which could be taken up by new or existing businesses. Overall</w:t>
      </w:r>
      <w:r w:rsidR="00FB4901">
        <w:t>,</w:t>
      </w:r>
      <w:r>
        <w:t xml:space="preserve"> between 2020 and 2050 the NPV of cumulative gross profits in the sector increases by around 10 to 110 per cent relative to the reference case, depending on the policy. </w:t>
      </w:r>
    </w:p>
    <w:p w:rsidR="00022F06" w:rsidRDefault="00022F06" w:rsidP="00022F06">
      <w:pPr>
        <w:pStyle w:val="BodyText"/>
      </w:pPr>
      <w:r>
        <w:t xml:space="preserve">Incumbent hydro generators generally increase gross profits under all policies. Hydro generators benefit the most under </w:t>
      </w:r>
      <w:r w:rsidR="004A6038">
        <w:t>market mechanisms</w:t>
      </w:r>
      <w:r>
        <w:t xml:space="preserve"> and regulatory scenarios from the increased wholesale price</w:t>
      </w:r>
      <w:r w:rsidR="00E17A48">
        <w:t>, and</w:t>
      </w:r>
      <w:r>
        <w:t xml:space="preserve"> under </w:t>
      </w:r>
      <w:r w:rsidR="00E17A48">
        <w:t>the emissions intensity scheme through</w:t>
      </w:r>
      <w:r>
        <w:t xml:space="preserve"> revenue earned from permits. In the </w:t>
      </w:r>
      <w:r>
        <w:lastRenderedPageBreak/>
        <w:t xml:space="preserve">technology pull policies, hydro generators receive lower wholesale prices, but benefit from price spikes resulting from higher penetration of intermittent generation. Incumbent gas generators benefit in a similar way to incumbent hydro generators, </w:t>
      </w:r>
      <w:r w:rsidRPr="00706BB9">
        <w:t>particularly in the 2020s before other non</w:t>
      </w:r>
      <w:r w:rsidRPr="00706BB9">
        <w:noBreakHyphen/>
        <w:t xml:space="preserve">intermittent generators </w:t>
      </w:r>
      <w:r>
        <w:t xml:space="preserve">are assumed to </w:t>
      </w:r>
      <w:r w:rsidRPr="00706BB9">
        <w:t>become available</w:t>
      </w:r>
      <w:r>
        <w:t>.</w:t>
      </w:r>
    </w:p>
    <w:p w:rsidR="00022F06" w:rsidRDefault="00022F06" w:rsidP="00022F06">
      <w:pPr>
        <w:pStyle w:val="BodyText"/>
      </w:pPr>
      <w:r>
        <w:t xml:space="preserve">Further information on gross profits is in Appendix C.3.3 of Jacobs’ modelling report </w:t>
      </w:r>
      <w:bookmarkStart w:id="782" w:name="_CTVP001d8411426e0d64d8a9514cc3eed12ac4f"/>
      <w:r w:rsidR="0059109A">
        <w:t>(Jacobs 2016c)</w:t>
      </w:r>
      <w:bookmarkEnd w:id="782"/>
      <w:r>
        <w:t>.</w:t>
      </w:r>
    </w:p>
    <w:p w:rsidR="00022F06" w:rsidRDefault="00022F06" w:rsidP="00022F06">
      <w:pPr>
        <w:pStyle w:val="AppendixHeading3"/>
      </w:pPr>
      <w:bookmarkStart w:id="783" w:name="_Toc460318022"/>
      <w:r>
        <w:t>Resource cost and cost of abatement</w:t>
      </w:r>
      <w:bookmarkEnd w:id="783"/>
    </w:p>
    <w:p w:rsidR="00022F06" w:rsidRPr="00452AB7" w:rsidRDefault="00022F06" w:rsidP="00022F06">
      <w:pPr>
        <w:pStyle w:val="BodyText"/>
      </w:pPr>
      <w:r>
        <w:t>The resource costs presented in Jacobs’ modelling represent the direct net cost of the policy to society as a whole, before accounting for indirect costs, and before considering the benefit of emissions reductions achieved by the policy. Resource costs comprise</w:t>
      </w:r>
      <w:r w:rsidRPr="00452AB7">
        <w:t>:</w:t>
      </w:r>
    </w:p>
    <w:p w:rsidR="00022F06" w:rsidRPr="00452AB7" w:rsidRDefault="00022F06" w:rsidP="00022F06">
      <w:pPr>
        <w:pStyle w:val="ListBullet"/>
      </w:pPr>
      <w:r>
        <w:t>f</w:t>
      </w:r>
      <w:r w:rsidRPr="00452AB7">
        <w:t>uel costs including any delivery (transmission or transport) costs</w:t>
      </w:r>
    </w:p>
    <w:p w:rsidR="00022F06" w:rsidRPr="00452AB7" w:rsidRDefault="00022F06" w:rsidP="00022F06">
      <w:pPr>
        <w:pStyle w:val="ListBullet"/>
      </w:pPr>
      <w:r>
        <w:t>v</w:t>
      </w:r>
      <w:r w:rsidRPr="00452AB7">
        <w:t>ariable operating and maintenance costs</w:t>
      </w:r>
    </w:p>
    <w:p w:rsidR="00022F06" w:rsidRPr="00452AB7" w:rsidRDefault="00022F06" w:rsidP="00022F06">
      <w:pPr>
        <w:pStyle w:val="ListBullet"/>
      </w:pPr>
      <w:r>
        <w:t>f</w:t>
      </w:r>
      <w:r w:rsidRPr="00452AB7">
        <w:t>ixed operating and maintenance costs</w:t>
      </w:r>
    </w:p>
    <w:p w:rsidR="00022F06" w:rsidRDefault="00022F06" w:rsidP="00022F06">
      <w:pPr>
        <w:pStyle w:val="ListBullet"/>
      </w:pPr>
      <w:r w:rsidRPr="00452AB7">
        <w:t>capital c</w:t>
      </w:r>
      <w:r>
        <w:t>osts for new plant (both large</w:t>
      </w:r>
      <w:r>
        <w:noBreakHyphen/>
        <w:t>scale and distributed generation), large- and small</w:t>
      </w:r>
      <w:r>
        <w:noBreakHyphen/>
        <w:t>scale battery storage and interconnector upgrades</w:t>
      </w:r>
    </w:p>
    <w:p w:rsidR="00022F06" w:rsidRDefault="00022F06" w:rsidP="00022F06">
      <w:pPr>
        <w:pStyle w:val="ListBullet"/>
      </w:pPr>
      <w:r>
        <w:t>decommissioning costs</w:t>
      </w:r>
    </w:p>
    <w:p w:rsidR="00022F06" w:rsidRDefault="00022F06" w:rsidP="00022F06">
      <w:pPr>
        <w:pStyle w:val="ListBullet"/>
      </w:pPr>
      <w:proofErr w:type="gramStart"/>
      <w:r>
        <w:t>an</w:t>
      </w:r>
      <w:proofErr w:type="gramEnd"/>
      <w:r>
        <w:t xml:space="preserve"> adjustment to costs to account for changes in demand.</w:t>
      </w:r>
      <w:r w:rsidRPr="00452AB7">
        <w:t xml:space="preserve">  </w:t>
      </w:r>
    </w:p>
    <w:p w:rsidR="00022F06" w:rsidRDefault="00022F06" w:rsidP="00022F06">
      <w:pPr>
        <w:pStyle w:val="BodyText"/>
      </w:pPr>
      <w:r>
        <w:t xml:space="preserve">Further information on resource costs is in Appendix B.3 of Jacobs’ modelling report </w:t>
      </w:r>
      <w:bookmarkStart w:id="784" w:name="_CTVP0010489151ad1b24e7f92ac48749950fdf6"/>
      <w:r w:rsidR="0059109A">
        <w:t>(Jacobs 2016c)</w:t>
      </w:r>
      <w:bookmarkEnd w:id="784"/>
      <w:r>
        <w:t>.</w:t>
      </w:r>
    </w:p>
    <w:p w:rsidR="00022F06" w:rsidRDefault="00022F06" w:rsidP="00022F06">
      <w:pPr>
        <w:pStyle w:val="BodyText"/>
      </w:pPr>
      <w:r>
        <w:t xml:space="preserve">The modelling projects that </w:t>
      </w:r>
      <w:r w:rsidR="004A6038">
        <w:t>market mechanisms</w:t>
      </w:r>
      <w:r>
        <w:t xml:space="preserve"> are the lowest cost (</w:t>
      </w:r>
      <w:r w:rsidR="00CA762C">
        <w:t xml:space="preserve">Figure </w:t>
      </w:r>
      <w:r w:rsidR="00CA762C">
        <w:rPr>
          <w:noProof/>
        </w:rPr>
        <w:t>30</w:t>
      </w:r>
      <w:r>
        <w:t xml:space="preserve">). This is because </w:t>
      </w:r>
      <w:r w:rsidR="004A6038">
        <w:t>market mechanisms</w:t>
      </w:r>
      <w:r>
        <w:t xml:space="preserve"> create an incentive for generators and households to find the lowest cost ways to reduce emissions rather than prescribing particular emissions reduction activities. </w:t>
      </w:r>
    </w:p>
    <w:p w:rsidR="00022F06" w:rsidRDefault="00022F06" w:rsidP="00022F06">
      <w:pPr>
        <w:pStyle w:val="BodyText"/>
      </w:pPr>
      <w:r>
        <w:t>The technology pull and the regulatory policies were all higher cost tha</w:t>
      </w:r>
      <w:r w:rsidR="00BA12C7">
        <w:t>n</w:t>
      </w:r>
      <w:r>
        <w:t xml:space="preserve"> </w:t>
      </w:r>
      <w:r w:rsidR="00BA12C7">
        <w:t>t</w:t>
      </w:r>
      <w:r w:rsidR="004A6038">
        <w:t>he market mechanisms modelled</w:t>
      </w:r>
      <w:r>
        <w:t>. The technology pull policies have relatively high resource costs because they largely provide direct incentives for one type of emissions reduction activity in the electricity sector—building new zero</w:t>
      </w:r>
      <w:r>
        <w:noBreakHyphen/>
        <w:t xml:space="preserve"> or low</w:t>
      </w:r>
      <w:r>
        <w:noBreakHyphen/>
        <w:t>emissions plants. This means that other and potentially cheaper emissions reductions are not directly targeted. Similarly, the regulatory policies are focussed on one type of emissions reductio</w:t>
      </w:r>
      <w:r w:rsidR="00937279">
        <w:t>n activity—reducing output from high</w:t>
      </w:r>
      <w:r w:rsidR="00937279">
        <w:noBreakHyphen/>
      </w:r>
      <w:r>
        <w:t xml:space="preserve">emissions generators—and are less effective in targeting other emissions reduction opportunities in the sector. </w:t>
      </w:r>
    </w:p>
    <w:p w:rsidR="00022F06" w:rsidRDefault="00022F06" w:rsidP="00022F06">
      <w:pPr>
        <w:pStyle w:val="Caption"/>
      </w:pPr>
      <w:bookmarkStart w:id="785" w:name="_Ref443051279"/>
      <w:bookmarkStart w:id="786" w:name="_Toc443999229"/>
      <w:bookmarkStart w:id="787" w:name="_Toc444610082"/>
      <w:bookmarkStart w:id="788" w:name="_Toc447122283"/>
      <w:bookmarkStart w:id="789" w:name="_Toc447641398"/>
      <w:bookmarkStart w:id="790" w:name="_Toc460318061"/>
      <w:r>
        <w:lastRenderedPageBreak/>
        <w:t xml:space="preserve">Figure </w:t>
      </w:r>
      <w:r w:rsidR="00CA762C">
        <w:rPr>
          <w:noProof/>
        </w:rPr>
        <w:t>30</w:t>
      </w:r>
      <w:bookmarkEnd w:id="785"/>
      <w:r w:rsidR="00A6425D">
        <w:tab/>
      </w:r>
      <w:r>
        <w:t>Resource costs relative to the reference scenario, 2 degrees</w:t>
      </w:r>
      <w:bookmarkEnd w:id="786"/>
      <w:bookmarkEnd w:id="787"/>
      <w:r>
        <w:t>, 2020–2050</w:t>
      </w:r>
      <w:bookmarkEnd w:id="788"/>
      <w:bookmarkEnd w:id="789"/>
      <w:bookmarkEnd w:id="790"/>
    </w:p>
    <w:p w:rsidR="00022F06" w:rsidRDefault="00022F06" w:rsidP="00022F06">
      <w:pPr>
        <w:pStyle w:val="BodyText"/>
        <w:keepNext/>
      </w:pPr>
      <w:r w:rsidRPr="00FB76B3">
        <w:rPr>
          <w:noProof/>
          <w:lang w:eastAsia="en-AU"/>
        </w:rPr>
        <w:drawing>
          <wp:inline distT="0" distB="0" distL="0" distR="0" wp14:anchorId="41A2C247" wp14:editId="1C03FAB5">
            <wp:extent cx="6120765" cy="3139118"/>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765" cy="3139118"/>
                    </a:xfrm>
                    <a:prstGeom prst="rect">
                      <a:avLst/>
                    </a:prstGeom>
                    <a:noFill/>
                    <a:ln>
                      <a:noFill/>
                    </a:ln>
                  </pic:spPr>
                </pic:pic>
              </a:graphicData>
            </a:graphic>
          </wp:inline>
        </w:drawing>
      </w:r>
    </w:p>
    <w:p w:rsidR="00022F06" w:rsidRDefault="00022F06" w:rsidP="00022F06">
      <w:pPr>
        <w:pStyle w:val="TableNote"/>
      </w:pPr>
      <w:r w:rsidRPr="00226B01">
        <w:rPr>
          <w:b/>
        </w:rPr>
        <w:t xml:space="preserve">Note: </w:t>
      </w:r>
      <w:r w:rsidRPr="004C6626">
        <w:t xml:space="preserve">Each bar represents the net present value of the </w:t>
      </w:r>
      <w:r>
        <w:t xml:space="preserve">change in resource costs relative to the reference case, adjusted for the reduction in demand due to the increase in electricity prices. This is equivalent to the present value of the </w:t>
      </w:r>
      <w:r w:rsidRPr="004C6626">
        <w:t xml:space="preserve">welfare costs </w:t>
      </w:r>
      <w:r>
        <w:t xml:space="preserve">of the policy </w:t>
      </w:r>
      <w:r w:rsidRPr="004C6626">
        <w:t xml:space="preserve">relative </w:t>
      </w:r>
      <w:r>
        <w:t xml:space="preserve">to </w:t>
      </w:r>
      <w:r w:rsidRPr="004C6626">
        <w:t xml:space="preserve">the reference </w:t>
      </w:r>
      <w:r>
        <w:t>case before emissions reduction benefits are considered</w:t>
      </w:r>
      <w:r w:rsidRPr="004C6626">
        <w:t xml:space="preserve">, discounted </w:t>
      </w:r>
      <w:r>
        <w:t>at the social discount rate of seven per cent</w:t>
      </w:r>
      <w:r w:rsidRPr="004C6626">
        <w:t>.</w:t>
      </w:r>
      <w:r>
        <w:t xml:space="preserve"> Annual resource cost (</w:t>
      </w:r>
      <w:r w:rsidR="003224FA">
        <w:t>left</w:t>
      </w:r>
      <w:r>
        <w:t xml:space="preserve"> axis) calculated by dividing the total resource cost</w:t>
      </w:r>
      <w:r w:rsidR="003224FA">
        <w:t xml:space="preserve"> (</w:t>
      </w:r>
      <w:r w:rsidR="00014FB2">
        <w:t>r</w:t>
      </w:r>
      <w:r w:rsidR="003224FA">
        <w:t>ight axis)</w:t>
      </w:r>
      <w:r>
        <w:t xml:space="preserve"> by the number of years. The r</w:t>
      </w:r>
      <w:r w:rsidRPr="00C85B49">
        <w:t>egulated closure</w:t>
      </w:r>
      <w:r w:rsidR="00A82A29">
        <w:t>s</w:t>
      </w:r>
      <w:r>
        <w:t xml:space="preserve"> policy</w:t>
      </w:r>
      <w:r w:rsidRPr="00C85B49">
        <w:t xml:space="preserve"> breache</w:t>
      </w:r>
      <w:r>
        <w:t>s the emissions budget by about 200 </w:t>
      </w:r>
      <w:r w:rsidRPr="00C85B49">
        <w:t>Mt</w:t>
      </w:r>
      <w:r w:rsidR="00F52919">
        <w:t> </w:t>
      </w:r>
      <w:r>
        <w:t>CO</w:t>
      </w:r>
      <w:r>
        <w:rPr>
          <w:vertAlign w:val="subscript"/>
        </w:rPr>
        <w:t>2</w:t>
      </w:r>
      <w:r w:rsidR="00E17A48">
        <w:noBreakHyphen/>
        <w:t>e or 15 </w:t>
      </w:r>
      <w:r>
        <w:t>per cent.</w:t>
      </w:r>
      <w:r>
        <w:br/>
      </w:r>
      <w:r w:rsidRPr="00486BF8">
        <w:rPr>
          <w:b/>
        </w:rPr>
        <w:t>Source:</w:t>
      </w:r>
      <w:r>
        <w:t xml:space="preserve"> </w:t>
      </w:r>
      <w:bookmarkStart w:id="791" w:name="_CTVP001ed960d6dbf4f4af69d104a3b36460a24"/>
      <w:proofErr w:type="gramStart"/>
      <w:r w:rsidR="0059109A">
        <w:t>Jacobs 2016</w:t>
      </w:r>
      <w:proofErr w:type="gramEnd"/>
      <w:r w:rsidR="0059109A">
        <w:t>c</w:t>
      </w:r>
      <w:bookmarkEnd w:id="791"/>
      <w:r w:rsidRPr="004C6626">
        <w:t>.</w:t>
      </w:r>
      <w:r>
        <w:t xml:space="preserve"> </w:t>
      </w:r>
    </w:p>
    <w:p w:rsidR="00022F06" w:rsidRDefault="00022F06" w:rsidP="00022F06">
      <w:pPr>
        <w:pStyle w:val="BodyText"/>
      </w:pPr>
      <w:r>
        <w:t>The average cost of abatement measures the cost effectiveness of a policy. It is calculated by dividing the present value of resource costs relative to the reference scenario by the emissions reductions achieved by the policy. Policies with a lower cost of abatement are more economically efficient. All policy scenarios—except regulated closure</w:t>
      </w:r>
      <w:r w:rsidR="00A82A29">
        <w:t>s</w:t>
      </w:r>
      <w:r>
        <w:t>—achieved similar levels of cumulative emissions, so rankings by average cost of abatement are similar to rankings by resource costs (</w:t>
      </w:r>
      <w:r w:rsidR="00CA762C">
        <w:t xml:space="preserve">Figure </w:t>
      </w:r>
      <w:r w:rsidR="00CA762C">
        <w:rPr>
          <w:noProof/>
        </w:rPr>
        <w:t>31</w:t>
      </w:r>
      <w:r>
        <w:t>). There are three points to note about the average cost of abatement calculations shown here:</w:t>
      </w:r>
    </w:p>
    <w:p w:rsidR="00022F06" w:rsidRDefault="00022F06" w:rsidP="00947B69">
      <w:pPr>
        <w:pStyle w:val="ListBullet"/>
      </w:pPr>
      <w:r>
        <w:t>While experts take different views on whether future emissions reductions should be discounted or not, the Authority’s approach is not to discount the emissions reductions. The rationale for this approach is that, within the emissions budget and over the timeframes and volumes of emissions reductions considered, a tonne of emissions reductions</w:t>
      </w:r>
      <w:r w:rsidR="00FF6283">
        <w:t xml:space="preserve"> in the future</w:t>
      </w:r>
      <w:r>
        <w:t xml:space="preserve"> is as valuable as a tonne now. The approach to calculating the average cost of abatement was examined as part of an independent peer review of the modelling conducted for the Authority by </w:t>
      </w:r>
      <w:proofErr w:type="spellStart"/>
      <w:r>
        <w:t>HoustonKemp</w:t>
      </w:r>
      <w:proofErr w:type="spellEnd"/>
      <w:r>
        <w:t xml:space="preserve"> (</w:t>
      </w:r>
      <w:r w:rsidR="00CA762C">
        <w:t>Appendix C.2</w:t>
      </w:r>
      <w:r>
        <w:t xml:space="preserve">), which found the approach was appropriate </w:t>
      </w:r>
      <w:bookmarkStart w:id="792" w:name="_CTVP0014a6e7758ff58491ebccc33604b9f3499"/>
      <w:r w:rsidR="0059109A">
        <w:t>(</w:t>
      </w:r>
      <w:proofErr w:type="spellStart"/>
      <w:r w:rsidR="0059109A">
        <w:t>HoustonKemp</w:t>
      </w:r>
      <w:proofErr w:type="spellEnd"/>
      <w:r w:rsidR="0059109A">
        <w:t> 2016, p. 13)</w:t>
      </w:r>
      <w:bookmarkEnd w:id="792"/>
      <w:r>
        <w:t xml:space="preserve">. </w:t>
      </w:r>
    </w:p>
    <w:p w:rsidR="00022F06" w:rsidRPr="001733B9" w:rsidRDefault="00022F06" w:rsidP="001733B9">
      <w:pPr>
        <w:pStyle w:val="ListBullet"/>
      </w:pPr>
      <w:r w:rsidRPr="001733B9">
        <w:t>The estimates cover costs in the electricity sector only; the economy-wide modelling (</w:t>
      </w:r>
      <w:r w:rsidR="00CA762C">
        <w:t>Appendix C.3</w:t>
      </w:r>
      <w:r w:rsidRPr="001733B9">
        <w:t>) investigates total economic costs for three scenarios</w:t>
      </w:r>
      <w:r w:rsidR="00C10CAE" w:rsidRPr="001733B9">
        <w:t xml:space="preserve"> examining different market mechanisms</w:t>
      </w:r>
      <w:r w:rsidRPr="001733B9">
        <w:t>. It is not possible to calculate a cost of abatement in the economy-wide modelling as all scenarios have the same level of emissions; by contrast, abatement in the electricity sector modelling can be measured by comparing the reference case with the other scenarios.</w:t>
      </w:r>
    </w:p>
    <w:p w:rsidR="00022F06" w:rsidRDefault="00022F06" w:rsidP="00947B69">
      <w:pPr>
        <w:pStyle w:val="ListBullet"/>
      </w:pPr>
      <w:r>
        <w:t xml:space="preserve">The average cost of abatement </w:t>
      </w:r>
      <w:r w:rsidR="00FF6283">
        <w:t>is not the same as</w:t>
      </w:r>
      <w:r>
        <w:t xml:space="preserve"> the level of a carbon tax or the price of permits in a cap and trade or emissions intensity scheme. While all are measured in dollars per tonne of emissions, </w:t>
      </w:r>
      <w:r w:rsidR="00FF6283">
        <w:t>t</w:t>
      </w:r>
      <w:r>
        <w:t xml:space="preserve">he </w:t>
      </w:r>
      <w:r w:rsidR="00FF6283">
        <w:t xml:space="preserve">rate of a </w:t>
      </w:r>
      <w:r>
        <w:t xml:space="preserve">carbon tax or price of permits is the price liable entities pay for emissions under these particular policies. If liable businesses can reduce emissions at a lower cost per tonne </w:t>
      </w:r>
      <w:r>
        <w:lastRenderedPageBreak/>
        <w:t xml:space="preserve">by changing their processes or practices than by paying the carbon tax or permit price, they can do so. This means that the tax or permit price measures the </w:t>
      </w:r>
      <w:r w:rsidRPr="00947B69">
        <w:rPr>
          <w:i/>
        </w:rPr>
        <w:t xml:space="preserve">marginal </w:t>
      </w:r>
      <w:r>
        <w:t xml:space="preserve">cost of abatement: the cost of the last (and most expensive) unit of emissions reductions required to meet the policy. The average cost of abatement considers the average cost per tonne of emissions reductions, taken across all of the emissions reductions achieved under the policy over a given time period. For example, it includes the changes businesses make by finding ways of reducing emissions rather than paying the tax or permit price. </w:t>
      </w:r>
    </w:p>
    <w:p w:rsidR="00022F06" w:rsidRDefault="00022F06" w:rsidP="00022F06">
      <w:pPr>
        <w:pStyle w:val="BodyText"/>
      </w:pPr>
      <w:r>
        <w:t xml:space="preserve">Further explanation of the cost of abatement methodology is in Appendix B.3.3 of Jacobs’ modelling report </w:t>
      </w:r>
      <w:bookmarkStart w:id="793" w:name="_CTVP001ac492b64ddd24764bf1c7a74ab080307"/>
      <w:r w:rsidR="0059109A">
        <w:t>(Jacobs 2016c)</w:t>
      </w:r>
      <w:bookmarkEnd w:id="793"/>
      <w:r>
        <w:t xml:space="preserve">. </w:t>
      </w:r>
    </w:p>
    <w:p w:rsidR="00022F06" w:rsidRDefault="00022F06" w:rsidP="00022F06">
      <w:pPr>
        <w:pStyle w:val="Caption"/>
      </w:pPr>
      <w:bookmarkStart w:id="794" w:name="_Ref444003335"/>
      <w:bookmarkStart w:id="795" w:name="_Toc444610083"/>
      <w:bookmarkStart w:id="796" w:name="_Toc447122284"/>
      <w:bookmarkStart w:id="797" w:name="_Toc447641399"/>
      <w:bookmarkStart w:id="798" w:name="_Toc460318062"/>
      <w:r>
        <w:t xml:space="preserve">Figure </w:t>
      </w:r>
      <w:r w:rsidR="00CA762C">
        <w:rPr>
          <w:noProof/>
        </w:rPr>
        <w:t>31</w:t>
      </w:r>
      <w:bookmarkEnd w:id="794"/>
      <w:r w:rsidR="00A6425D">
        <w:tab/>
      </w:r>
      <w:r>
        <w:t>Average cost of abatement by policy</w:t>
      </w:r>
      <w:r w:rsidR="00393C63">
        <w:t>,</w:t>
      </w:r>
      <w:r>
        <w:t xml:space="preserve"> </w:t>
      </w:r>
      <w:r w:rsidR="00393C63">
        <w:t>2 </w:t>
      </w:r>
      <w:r>
        <w:t>degrees</w:t>
      </w:r>
      <w:bookmarkEnd w:id="795"/>
      <w:bookmarkEnd w:id="796"/>
      <w:bookmarkEnd w:id="797"/>
      <w:r w:rsidR="00393C63">
        <w:t>, 2020–2050</w:t>
      </w:r>
      <w:bookmarkEnd w:id="798"/>
    </w:p>
    <w:p w:rsidR="00022F06" w:rsidRDefault="00940E2A" w:rsidP="00022F06">
      <w:pPr>
        <w:pStyle w:val="BodyText"/>
        <w:jc w:val="center"/>
      </w:pPr>
      <w:r w:rsidRPr="00940E2A">
        <w:rPr>
          <w:noProof/>
          <w:lang w:eastAsia="en-AU"/>
        </w:rPr>
        <w:drawing>
          <wp:inline distT="0" distB="0" distL="0" distR="0" wp14:anchorId="5FB5AE38" wp14:editId="57E98A96">
            <wp:extent cx="6120765" cy="315792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157928"/>
                    </a:xfrm>
                    <a:prstGeom prst="rect">
                      <a:avLst/>
                    </a:prstGeom>
                    <a:noFill/>
                    <a:ln>
                      <a:noFill/>
                    </a:ln>
                  </pic:spPr>
                </pic:pic>
              </a:graphicData>
            </a:graphic>
          </wp:inline>
        </w:drawing>
      </w:r>
    </w:p>
    <w:p w:rsidR="000D337F" w:rsidRDefault="00022F06" w:rsidP="00022F06">
      <w:pPr>
        <w:pStyle w:val="TableNote"/>
      </w:pPr>
      <w:r w:rsidRPr="005524A3">
        <w:rPr>
          <w:b/>
        </w:rPr>
        <w:t>Note:</w:t>
      </w:r>
      <w:r w:rsidRPr="00E13380">
        <w:t xml:space="preserve"> Average cost of abatement </w:t>
      </w:r>
      <w:r w:rsidR="008B2628">
        <w:t>over 2020–</w:t>
      </w:r>
      <w:r>
        <w:t>2050 using a seven per </w:t>
      </w:r>
      <w:r w:rsidRPr="00E13380">
        <w:t xml:space="preserve">cent discount rate for resource costs. Emissions not discounted. </w:t>
      </w:r>
      <w:r>
        <w:t>A</w:t>
      </w:r>
      <w:r w:rsidRPr="00E13380">
        <w:t>ccount</w:t>
      </w:r>
      <w:r>
        <w:t>s</w:t>
      </w:r>
      <w:r w:rsidRPr="00E13380">
        <w:t xml:space="preserve"> for the reduction in welfare from a fall in electricity </w:t>
      </w:r>
      <w:r w:rsidR="00BC2270">
        <w:t>demand</w:t>
      </w:r>
      <w:r w:rsidR="00BC2270" w:rsidRPr="00E13380">
        <w:t xml:space="preserve"> </w:t>
      </w:r>
      <w:r w:rsidRPr="00E13380">
        <w:t xml:space="preserve">resulting from increased retail electricity prices. </w:t>
      </w:r>
      <w:r>
        <w:t>The</w:t>
      </w:r>
      <w:r w:rsidRPr="00E13380">
        <w:t xml:space="preserve"> </w:t>
      </w:r>
      <w:r>
        <w:t>r</w:t>
      </w:r>
      <w:r w:rsidRPr="00E13380">
        <w:t>egulated closure</w:t>
      </w:r>
      <w:r w:rsidR="00A82A29">
        <w:t>s</w:t>
      </w:r>
      <w:r w:rsidRPr="00E13380">
        <w:t xml:space="preserve"> </w:t>
      </w:r>
      <w:r>
        <w:t>policy</w:t>
      </w:r>
      <w:r w:rsidRPr="00E13380">
        <w:t xml:space="preserve"> breaches the common cumulative emissions budget</w:t>
      </w:r>
      <w:r>
        <w:t xml:space="preserve"> by about 200 Mt</w:t>
      </w:r>
      <w:r w:rsidR="00F52919">
        <w:t> </w:t>
      </w:r>
      <w:r>
        <w:t>CO</w:t>
      </w:r>
      <w:r>
        <w:rPr>
          <w:vertAlign w:val="subscript"/>
        </w:rPr>
        <w:t>2</w:t>
      </w:r>
      <w:r w:rsidR="00BA12C7">
        <w:noBreakHyphen/>
      </w:r>
      <w:r>
        <w:t>e or 15 per cent</w:t>
      </w:r>
      <w:r w:rsidRPr="00E13380">
        <w:t>, so the cost of abatement here</w:t>
      </w:r>
      <w:r>
        <w:t xml:space="preserve"> is</w:t>
      </w:r>
      <w:r w:rsidRPr="00E13380">
        <w:t xml:space="preserve"> not directly</w:t>
      </w:r>
      <w:r>
        <w:t xml:space="preserve"> comparable with other policies.</w:t>
      </w:r>
      <w:r>
        <w:br/>
      </w:r>
      <w:r w:rsidRPr="005524A3">
        <w:rPr>
          <w:b/>
        </w:rPr>
        <w:t>Source:</w:t>
      </w:r>
      <w:r>
        <w:t xml:space="preserve"> Climate Change Authority</w:t>
      </w:r>
      <w:r w:rsidRPr="002545EC">
        <w:t xml:space="preserve"> </w:t>
      </w:r>
      <w:r>
        <w:t xml:space="preserve">based on </w:t>
      </w:r>
      <w:bookmarkStart w:id="799" w:name="_CTVP00154b2c614b14344dfbf3c769b81b9c34e"/>
      <w:proofErr w:type="gramStart"/>
      <w:r w:rsidR="0059109A">
        <w:t>Jacobs 2016</w:t>
      </w:r>
      <w:proofErr w:type="gramEnd"/>
      <w:r w:rsidR="0059109A">
        <w:t>c</w:t>
      </w:r>
      <w:bookmarkEnd w:id="799"/>
      <w:r>
        <w:t>.</w:t>
      </w:r>
    </w:p>
    <w:p w:rsidR="00AE0BDB" w:rsidRDefault="00AE0BDB" w:rsidP="003345E9">
      <w:pPr>
        <w:pStyle w:val="AppendixHeading2"/>
      </w:pPr>
      <w:bookmarkStart w:id="800" w:name="_Toc448151776"/>
      <w:bookmarkStart w:id="801" w:name="_Toc448151844"/>
      <w:bookmarkStart w:id="802" w:name="_Ref449006133"/>
      <w:bookmarkStart w:id="803" w:name="_Ref459988293"/>
      <w:bookmarkStart w:id="804" w:name="_Toc460318023"/>
      <w:r>
        <w:t>Peer review of modelling</w:t>
      </w:r>
      <w:bookmarkEnd w:id="682"/>
      <w:bookmarkEnd w:id="683"/>
      <w:bookmarkEnd w:id="800"/>
      <w:bookmarkEnd w:id="801"/>
      <w:bookmarkEnd w:id="802"/>
      <w:bookmarkEnd w:id="803"/>
      <w:bookmarkEnd w:id="804"/>
    </w:p>
    <w:p w:rsidR="00AE0BDB" w:rsidRDefault="00AE0BDB" w:rsidP="00AE0BDB">
      <w:pPr>
        <w:pStyle w:val="BodyText"/>
      </w:pPr>
      <w:r>
        <w:t xml:space="preserve">To test the robustness of Jacobs’ modelling, the Authority commissioned an independent peer review by </w:t>
      </w:r>
      <w:proofErr w:type="spellStart"/>
      <w:r>
        <w:t>HoustonKemp</w:t>
      </w:r>
      <w:proofErr w:type="spellEnd"/>
      <w:r>
        <w:t>. The scope of the peer review was to:</w:t>
      </w:r>
    </w:p>
    <w:p w:rsidR="00AE0BDB" w:rsidRDefault="00AE0BDB" w:rsidP="00AE0BDB">
      <w:pPr>
        <w:pStyle w:val="ListBullet"/>
      </w:pPr>
      <w:r>
        <w:t>assess the implementation of the emissions reduction policies in Jacobs’ modelling, providing an opinion on whether the instructions provided to Jacobs, or their translation into the modelling, may have resulted in some policies being more or less advantaged relative to others</w:t>
      </w:r>
    </w:p>
    <w:p w:rsidR="00AE0BDB" w:rsidRDefault="00AE0BDB" w:rsidP="00AE0BDB">
      <w:pPr>
        <w:pStyle w:val="ListBullet"/>
      </w:pPr>
      <w:proofErr w:type="gramStart"/>
      <w:r>
        <w:t>review</w:t>
      </w:r>
      <w:proofErr w:type="gramEnd"/>
      <w:r>
        <w:t xml:space="preserve"> the sources and approach used to determine the main input assumptions for the electricity modelling.</w:t>
      </w:r>
    </w:p>
    <w:p w:rsidR="00AE0BDB" w:rsidRDefault="00AE0BDB" w:rsidP="00AE0BDB">
      <w:pPr>
        <w:pStyle w:val="ListBullet"/>
        <w:numPr>
          <w:ilvl w:val="0"/>
          <w:numId w:val="0"/>
        </w:numPr>
      </w:pPr>
      <w:proofErr w:type="spellStart"/>
      <w:r>
        <w:t>HoustonKemp’s</w:t>
      </w:r>
      <w:proofErr w:type="spellEnd"/>
      <w:r>
        <w:t xml:space="preserve"> review of the modelling was informed by materials provided by the Authority</w:t>
      </w:r>
      <w:r w:rsidR="00B46F11">
        <w:t>,</w:t>
      </w:r>
      <w:r>
        <w:t xml:space="preserve"> including a draft of Jacobs’ modelling report and detailed modelling results. Overall, </w:t>
      </w:r>
      <w:proofErr w:type="spellStart"/>
      <w:r>
        <w:t>HoustonKemp</w:t>
      </w:r>
      <w:proofErr w:type="spellEnd"/>
      <w:r>
        <w:t xml:space="preserve"> found that:</w:t>
      </w:r>
    </w:p>
    <w:p w:rsidR="00AE0BDB" w:rsidRDefault="00AE0BDB" w:rsidP="00AE0BDB">
      <w:pPr>
        <w:pStyle w:val="Quote"/>
        <w:rPr>
          <w:i w:val="0"/>
        </w:rPr>
      </w:pPr>
      <w:r>
        <w:t xml:space="preserve">Based on our consideration of these materials, in our opinion the approach to comparing emissions reduction policies is sound, and the input assumptions used in Jacobs’ modelling are generally appropriate. Our overall view is that the modelling has been conducted to a high </w:t>
      </w:r>
      <w:r>
        <w:lastRenderedPageBreak/>
        <w:t xml:space="preserve">standard of rigour and that the critical policy comparisons drawn by the report are </w:t>
      </w:r>
      <w:proofErr w:type="gramStart"/>
      <w:r>
        <w:t xml:space="preserve">robust  </w:t>
      </w:r>
      <w:bookmarkStart w:id="805" w:name="_CTVP00185cde85412754697a5168dd8a7f26081"/>
      <w:r w:rsidR="0059109A">
        <w:rPr>
          <w:rStyle w:val="BodyTextChar"/>
          <w:i w:val="0"/>
        </w:rPr>
        <w:t>(</w:t>
      </w:r>
      <w:proofErr w:type="spellStart"/>
      <w:proofErr w:type="gramEnd"/>
      <w:r w:rsidR="0059109A">
        <w:rPr>
          <w:rStyle w:val="BodyTextChar"/>
          <w:i w:val="0"/>
        </w:rPr>
        <w:t>HoustonKemp</w:t>
      </w:r>
      <w:proofErr w:type="spellEnd"/>
      <w:r w:rsidR="0059109A">
        <w:rPr>
          <w:rStyle w:val="BodyTextChar"/>
          <w:i w:val="0"/>
        </w:rPr>
        <w:t> 2016, p. 1)</w:t>
      </w:r>
      <w:bookmarkEnd w:id="805"/>
      <w:r>
        <w:t>.</w:t>
      </w:r>
    </w:p>
    <w:p w:rsidR="00AE0BDB" w:rsidRPr="00C82CDB" w:rsidRDefault="00AE0BDB" w:rsidP="00AE0BDB">
      <w:pPr>
        <w:pStyle w:val="BodyText"/>
      </w:pPr>
      <w:proofErr w:type="spellStart"/>
      <w:r>
        <w:rPr>
          <w:szCs w:val="21"/>
        </w:rPr>
        <w:t>HoustonKemp</w:t>
      </w:r>
      <w:proofErr w:type="spellEnd"/>
      <w:r>
        <w:rPr>
          <w:szCs w:val="21"/>
        </w:rPr>
        <w:t xml:space="preserve"> suggested several minor areas for improving the modelling exercise. Where feasible, Jacobs updated the modelling results and modelling report; these changes are outlined in Jacobs’ response to the peer review. Detailed findings and recommendations of the peer review are outlined in the </w:t>
      </w:r>
      <w:proofErr w:type="spellStart"/>
      <w:r>
        <w:rPr>
          <w:szCs w:val="21"/>
        </w:rPr>
        <w:t>HoustonKemp</w:t>
      </w:r>
      <w:proofErr w:type="spellEnd"/>
      <w:r>
        <w:rPr>
          <w:szCs w:val="21"/>
        </w:rPr>
        <w:t xml:space="preserve"> report, which is available along with Jacobs’ response at </w:t>
      </w:r>
      <w:r w:rsidRPr="00C05A15">
        <w:rPr>
          <w:szCs w:val="21"/>
        </w:rPr>
        <w:t>www.climatechangeauthority.gov.au</w:t>
      </w:r>
      <w:r w:rsidRPr="00842C17">
        <w:rPr>
          <w:bCs/>
          <w:i/>
          <w:iCs/>
          <w:szCs w:val="21"/>
        </w:rPr>
        <w:t>.</w:t>
      </w:r>
      <w:r w:rsidRPr="00842C17">
        <w:rPr>
          <w:bCs/>
          <w:iCs/>
          <w:szCs w:val="21"/>
        </w:rPr>
        <w:t xml:space="preserve"> </w:t>
      </w:r>
    </w:p>
    <w:p w:rsidR="00050917" w:rsidRPr="00C82CDB" w:rsidRDefault="00050917" w:rsidP="00050917">
      <w:pPr>
        <w:pStyle w:val="AppendixHeading2"/>
        <w:numPr>
          <w:ilvl w:val="1"/>
          <w:numId w:val="41"/>
        </w:numPr>
      </w:pPr>
      <w:bookmarkStart w:id="806" w:name="_Toc448151777"/>
      <w:bookmarkStart w:id="807" w:name="_Toc448151845"/>
      <w:bookmarkStart w:id="808" w:name="_Ref448934916"/>
      <w:bookmarkStart w:id="809" w:name="_Ref448935060"/>
      <w:bookmarkStart w:id="810" w:name="_Ref449005960"/>
      <w:bookmarkStart w:id="811" w:name="_Ref449006026"/>
      <w:bookmarkStart w:id="812" w:name="_Ref449006155"/>
      <w:bookmarkStart w:id="813" w:name="_Toc460318024"/>
      <w:r>
        <w:t>Economy-wide</w:t>
      </w:r>
      <w:r w:rsidRPr="00C82CDB">
        <w:t xml:space="preserve"> modelling</w:t>
      </w:r>
      <w:bookmarkEnd w:id="806"/>
      <w:bookmarkEnd w:id="807"/>
      <w:bookmarkEnd w:id="808"/>
      <w:bookmarkEnd w:id="809"/>
      <w:bookmarkEnd w:id="810"/>
      <w:bookmarkEnd w:id="811"/>
      <w:bookmarkEnd w:id="812"/>
      <w:bookmarkEnd w:id="813"/>
    </w:p>
    <w:p w:rsidR="00050917" w:rsidRPr="0058193B" w:rsidRDefault="00050917" w:rsidP="00050917">
      <w:pPr>
        <w:pStyle w:val="AppendixHeading3"/>
        <w:rPr>
          <w:lang w:val="en-GB"/>
        </w:rPr>
      </w:pPr>
      <w:bookmarkStart w:id="814" w:name="_Toc460318025"/>
      <w:r w:rsidRPr="0058193B">
        <w:rPr>
          <w:lang w:val="en-GB"/>
        </w:rPr>
        <w:t>Modelling approach</w:t>
      </w:r>
      <w:bookmarkEnd w:id="814"/>
    </w:p>
    <w:p w:rsidR="00642220" w:rsidRDefault="00642220" w:rsidP="00642220">
      <w:r>
        <w:t xml:space="preserve">This section provides an overview of the economy-wide computable general equilibrium (CGE) modelling performed by Victoria University for the Authority, with input from Jacobs for the electricity sector. </w:t>
      </w:r>
    </w:p>
    <w:p w:rsidR="00642220" w:rsidRDefault="00642220" w:rsidP="00642220">
      <w:pPr>
        <w:pStyle w:val="BodyText"/>
        <w:rPr>
          <w:lang w:val="en-GB" w:eastAsia="en-AU"/>
        </w:rPr>
      </w:pPr>
      <w:r>
        <w:t xml:space="preserve">As with the electricity sector modelling described in </w:t>
      </w:r>
      <w:r w:rsidR="00CA762C">
        <w:t>Appendix C.1</w:t>
      </w:r>
      <w:r>
        <w:t xml:space="preserve">, this modelling </w:t>
      </w:r>
      <w:r w:rsidR="00B46F11">
        <w:t xml:space="preserve">helped to </w:t>
      </w:r>
      <w:r>
        <w:t xml:space="preserve">inform the Authority’s policy </w:t>
      </w:r>
      <w:r w:rsidR="00B15D6F">
        <w:t>recommendations in the Special Review</w:t>
      </w:r>
      <w:r>
        <w:t>. The Authority recognises that electricity</w:t>
      </w:r>
      <w:r>
        <w:rPr>
          <w:lang w:val="en-GB" w:eastAsia="en-AU"/>
        </w:rPr>
        <w:t xml:space="preserve"> sector policies will have effects on the broader economy that are not captured by electricity sector modelling. These ‘indirect’ effects include ‘tax interaction effects’ that arise when emissions reduction policies cause less labour or capital to be used in the economy, and effects arising from how revenue raised by policies is returned to the economy. </w:t>
      </w:r>
      <w:r>
        <w:t xml:space="preserve">The economy-wide modelling builds on and extends the Authority’s electricity sector modelling to assess whether </w:t>
      </w:r>
      <w:r>
        <w:rPr>
          <w:lang w:val="en-GB" w:eastAsia="en-AU"/>
        </w:rPr>
        <w:t xml:space="preserve">these indirect effects could change the relative ranking of the </w:t>
      </w:r>
      <w:r w:rsidR="00C10CAE">
        <w:rPr>
          <w:lang w:val="en-GB" w:eastAsia="en-AU"/>
        </w:rPr>
        <w:t>market mechanisms</w:t>
      </w:r>
      <w:r>
        <w:rPr>
          <w:lang w:val="en-GB" w:eastAsia="en-AU"/>
        </w:rPr>
        <w:t xml:space="preserve"> examined in the electricity market modelling.</w:t>
      </w:r>
      <w:r w:rsidRPr="00767917">
        <w:t xml:space="preserve"> </w:t>
      </w:r>
      <w:r>
        <w:t xml:space="preserve">These policies were chosen </w:t>
      </w:r>
      <w:r w:rsidR="00914FF4">
        <w:t>because</w:t>
      </w:r>
      <w:r>
        <w:t xml:space="preserve"> differences in indirect effects could significantly affect their relative cost effectiveness.</w:t>
      </w:r>
    </w:p>
    <w:p w:rsidR="00642220" w:rsidRDefault="00642220" w:rsidP="00642220">
      <w:pPr>
        <w:pStyle w:val="BodyText"/>
        <w:rPr>
          <w:lang w:val="en-GB" w:eastAsia="en-AU"/>
        </w:rPr>
      </w:pPr>
      <w:r>
        <w:rPr>
          <w:lang w:val="en-GB" w:eastAsia="en-AU"/>
        </w:rPr>
        <w:t xml:space="preserve">The focus of this modelling is to examine the relative cost effectiveness of different policy options. It is not intended to examine the total economic cost of Australia adopting an emissions reduction policy relative to it not doing so, which was an important element of several past modelling exercises. </w:t>
      </w:r>
    </w:p>
    <w:p w:rsidR="00642220" w:rsidRDefault="00642220" w:rsidP="00642220">
      <w:pPr>
        <w:pStyle w:val="BodyText"/>
      </w:pPr>
      <w:r>
        <w:t>To ensure that differences in modelled cost between different scenarios are due to differences in policy design, each policy is compared on a like-for-like basis. To achieve this, the modelling:</w:t>
      </w:r>
    </w:p>
    <w:p w:rsidR="00642220" w:rsidRDefault="00E17A48" w:rsidP="005604B7">
      <w:pPr>
        <w:pStyle w:val="ListBullet"/>
      </w:pPr>
      <w:r>
        <w:t>u</w:t>
      </w:r>
      <w:r w:rsidR="00642220">
        <w:t>ses common input assumptions across scenarios, varying only a few key policy parameters to simulate t</w:t>
      </w:r>
      <w:r>
        <w:t>he effect of different policies</w:t>
      </w:r>
    </w:p>
    <w:p w:rsidR="00642220" w:rsidRDefault="00E17A48" w:rsidP="005604B7">
      <w:pPr>
        <w:pStyle w:val="ListBullet"/>
      </w:pPr>
      <w:proofErr w:type="gramStart"/>
      <w:r>
        <w:t>e</w:t>
      </w:r>
      <w:r w:rsidR="00642220">
        <w:t>nsures</w:t>
      </w:r>
      <w:proofErr w:type="gramEnd"/>
      <w:r w:rsidR="00642220">
        <w:t xml:space="preserve"> each scenario achieves the same level of net national emissions and therefore a common emissions budget. This means that Australia’s economy-wide emissions, net of purchases of </w:t>
      </w:r>
      <w:r w:rsidR="00BA12C7">
        <w:t>international permits or credits</w:t>
      </w:r>
      <w:r w:rsidR="00642220">
        <w:t>, is the same in each year.</w:t>
      </w:r>
      <w:r w:rsidR="00642220" w:rsidRPr="001700E3">
        <w:rPr>
          <w:lang w:val="en-GB" w:eastAsia="en-AU"/>
        </w:rPr>
        <w:t xml:space="preserve"> </w:t>
      </w:r>
      <w:r w:rsidR="00642220">
        <w:t>This is slightly different to how the electricity sector modelling was undertaken, which used a common emissions budget within the Australian electricity sector for all policies</w:t>
      </w:r>
      <w:r w:rsidR="00CC5622">
        <w:t xml:space="preserve"> modelled</w:t>
      </w:r>
      <w:r w:rsidR="00642220">
        <w:t xml:space="preserve">. </w:t>
      </w:r>
    </w:p>
    <w:p w:rsidR="00642220" w:rsidRDefault="00642220" w:rsidP="00642220">
      <w:pPr>
        <w:pStyle w:val="BodyText"/>
      </w:pPr>
      <w:r>
        <w:rPr>
          <w:lang w:val="en-GB" w:eastAsia="en-AU"/>
        </w:rPr>
        <w:t>To isolate the economy-wide effects of electricity sector policies from impacts arising in other emitting sectors, the economy-wide modelling applies the same emissions red</w:t>
      </w:r>
      <w:r w:rsidR="00E17A48">
        <w:rPr>
          <w:lang w:val="en-GB" w:eastAsia="en-AU"/>
        </w:rPr>
        <w:t>uction policy</w:t>
      </w:r>
      <w:r>
        <w:rPr>
          <w:lang w:val="en-GB" w:eastAsia="en-AU"/>
        </w:rPr>
        <w:t xml:space="preserve"> </w:t>
      </w:r>
      <w:r w:rsidR="00E17A48">
        <w:rPr>
          <w:lang w:val="en-GB" w:eastAsia="en-AU"/>
        </w:rPr>
        <w:t>(</w:t>
      </w:r>
      <w:r>
        <w:rPr>
          <w:lang w:val="en-GB" w:eastAsia="en-AU"/>
        </w:rPr>
        <w:t xml:space="preserve">a cap and trade scheme </w:t>
      </w:r>
      <w:r w:rsidR="00E17A48">
        <w:rPr>
          <w:lang w:val="en-GB" w:eastAsia="en-AU"/>
        </w:rPr>
        <w:t>with lump sum revenue recycling)</w:t>
      </w:r>
      <w:r>
        <w:rPr>
          <w:lang w:val="en-GB" w:eastAsia="en-AU"/>
        </w:rPr>
        <w:t xml:space="preserve"> in other emitting sectors in all scenarios (</w:t>
      </w:r>
      <w:r w:rsidR="00CA762C">
        <w:t xml:space="preserve">Table </w:t>
      </w:r>
      <w:r w:rsidR="00CA762C">
        <w:rPr>
          <w:noProof/>
        </w:rPr>
        <w:t>4</w:t>
      </w:r>
      <w:r>
        <w:rPr>
          <w:lang w:val="en-GB" w:eastAsia="en-AU"/>
        </w:rPr>
        <w:t xml:space="preserve"> in Chapter 3).  </w:t>
      </w:r>
    </w:p>
    <w:p w:rsidR="00642220" w:rsidRDefault="00642220" w:rsidP="00642220">
      <w:pPr>
        <w:pStyle w:val="BodyText"/>
      </w:pPr>
      <w:r>
        <w:t>As with the</w:t>
      </w:r>
      <w:r w:rsidR="00E17A48">
        <w:t xml:space="preserve"> Authority’s electricity sector </w:t>
      </w:r>
      <w:r>
        <w:t>only modelling, the economy-wide</w:t>
      </w:r>
      <w:r w:rsidRPr="00676E85">
        <w:t xml:space="preserve"> modelling does not aim to predict future outcomes; rather</w:t>
      </w:r>
      <w:r>
        <w:t xml:space="preserve"> it is intended to provide high</w:t>
      </w:r>
      <w:r>
        <w:noBreakHyphen/>
      </w:r>
      <w:r w:rsidRPr="00676E85">
        <w:t xml:space="preserve">level insights to inform </w:t>
      </w:r>
      <w:r>
        <w:t>policy</w:t>
      </w:r>
      <w:r w:rsidRPr="00676E85">
        <w:t xml:space="preserve"> choice</w:t>
      </w:r>
      <w:r>
        <w:t xml:space="preserve">. The modelling makes a range of assumptions and simplifications in order to represent the entire Australian economy. All assumptions suffer from some degree of uncertainty, but by holding them constant across </w:t>
      </w:r>
      <w:r>
        <w:lastRenderedPageBreak/>
        <w:t xml:space="preserve">all scenarios their effect on comparisons of cost effectiveness between policies will generally be negligible. In some cases simplifications could have a material impact on the Authority’s assessment of cost effectiveness; in particular the simplified representation of the tax system and how workers respond to changes in real wages could affect the relative ranking of different policies. Nevertheless, the modelled scenarios give credible indications of how policy choice may be affected by considering indirect costs and benefits alongside direct costs. Importantly, the modelling provides limited insight into distributional effects for households, and so its insights into the cost effectiveness of different policies should be considered alongside potential equity impacts. </w:t>
      </w:r>
    </w:p>
    <w:p w:rsidR="00642220" w:rsidRDefault="00642220" w:rsidP="00642220">
      <w:pPr>
        <w:pStyle w:val="BodyText"/>
      </w:pPr>
      <w:r>
        <w:t xml:space="preserve">Victoria University’s economy-wide modelling also required Jacobs to undertake new electricity sector modelling, as the detailed electricity sector effects of different policies could only be picked up with sectoral modelling. Jacobs’ modelling generally used the same methodology as that described in </w:t>
      </w:r>
      <w:r w:rsidR="00CA762C">
        <w:t>Appendix C.1</w:t>
      </w:r>
      <w:r>
        <w:t xml:space="preserve">. The two models were iterated to ensure that both models described a consistent picture of the economy, particularly through the interaction between electricity prices and electricity demand. As shown in </w:t>
      </w:r>
      <w:r w:rsidR="00CA762C">
        <w:t xml:space="preserve">Figure </w:t>
      </w:r>
      <w:r w:rsidR="00CA762C">
        <w:rPr>
          <w:noProof/>
        </w:rPr>
        <w:t>32</w:t>
      </w:r>
      <w:r>
        <w:t xml:space="preserve">, the Jacobs model provided electricity price series for the Victoria University model, which in turn provided estimates of electricity demand to the Jacobs model. This iterative process was continued until the degree of change in those variables was small, indicating consistency across the two models. </w:t>
      </w:r>
    </w:p>
    <w:p w:rsidR="00642220" w:rsidRDefault="00642220" w:rsidP="00642220">
      <w:pPr>
        <w:pStyle w:val="BodyText"/>
      </w:pPr>
      <w:r>
        <w:t xml:space="preserve">More detail on the modelling approach is provided in modelling reports by Jacobs and Victoria University, available on the Authority’s website at </w:t>
      </w:r>
      <w:r w:rsidRPr="00C05A15">
        <w:t>www.climatechangeauthority.gov.au</w:t>
      </w:r>
      <w:r>
        <w:t xml:space="preserve">. </w:t>
      </w:r>
    </w:p>
    <w:p w:rsidR="00642220" w:rsidRDefault="00642220" w:rsidP="00642220">
      <w:pPr>
        <w:pStyle w:val="Caption"/>
      </w:pPr>
      <w:bookmarkStart w:id="815" w:name="_Ref447548250"/>
      <w:bookmarkStart w:id="816" w:name="_Toc447641400"/>
      <w:bookmarkStart w:id="817" w:name="_Toc460318063"/>
      <w:r>
        <w:t xml:space="preserve">Figure </w:t>
      </w:r>
      <w:r w:rsidR="00CA762C">
        <w:rPr>
          <w:noProof/>
        </w:rPr>
        <w:t>32</w:t>
      </w:r>
      <w:bookmarkEnd w:id="815"/>
      <w:r w:rsidR="00A6425D">
        <w:tab/>
      </w:r>
      <w:r>
        <w:t>Iterative modelling using CGE and electricity sector models</w:t>
      </w:r>
      <w:bookmarkEnd w:id="816"/>
      <w:bookmarkEnd w:id="817"/>
    </w:p>
    <w:p w:rsidR="00642220" w:rsidRDefault="00642220" w:rsidP="00642220">
      <w:pPr>
        <w:pStyle w:val="BodyText"/>
        <w:jc w:val="center"/>
      </w:pPr>
      <w:r w:rsidRPr="00093D81">
        <w:rPr>
          <w:noProof/>
          <w:lang w:eastAsia="en-AU"/>
        </w:rPr>
        <w:drawing>
          <wp:inline distT="0" distB="0" distL="0" distR="0" wp14:anchorId="35767A14" wp14:editId="1D362616">
            <wp:extent cx="6120765" cy="31297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65" cy="3129749"/>
                    </a:xfrm>
                    <a:prstGeom prst="rect">
                      <a:avLst/>
                    </a:prstGeom>
                    <a:noFill/>
                    <a:ln>
                      <a:noFill/>
                    </a:ln>
                  </pic:spPr>
                </pic:pic>
              </a:graphicData>
            </a:graphic>
          </wp:inline>
        </w:drawing>
      </w:r>
    </w:p>
    <w:p w:rsidR="00642220" w:rsidRDefault="00642220" w:rsidP="00642220">
      <w:pPr>
        <w:pStyle w:val="TableNote"/>
      </w:pPr>
      <w:r w:rsidRPr="005524A3">
        <w:rPr>
          <w:b/>
        </w:rPr>
        <w:t>Source:</w:t>
      </w:r>
      <w:r>
        <w:t xml:space="preserve"> Climate Change Authority</w:t>
      </w:r>
      <w:r w:rsidR="00883217">
        <w:t>.</w:t>
      </w:r>
    </w:p>
    <w:p w:rsidR="00642220" w:rsidRPr="0058193B" w:rsidRDefault="00642220" w:rsidP="00642220">
      <w:pPr>
        <w:pStyle w:val="AppendixHeading3"/>
        <w:rPr>
          <w:lang w:val="en-GB"/>
        </w:rPr>
      </w:pPr>
      <w:bookmarkStart w:id="818" w:name="_Toc460318026"/>
      <w:r>
        <w:rPr>
          <w:lang w:val="en-GB"/>
        </w:rPr>
        <w:t>Scenarios</w:t>
      </w:r>
      <w:bookmarkEnd w:id="818"/>
    </w:p>
    <w:p w:rsidR="00642220" w:rsidRDefault="00642220" w:rsidP="00642220">
      <w:pPr>
        <w:pStyle w:val="BodyText"/>
        <w:rPr>
          <w:lang w:val="en-GB" w:eastAsia="en-AU"/>
        </w:rPr>
      </w:pPr>
      <w:r>
        <w:t>Victoria University modelled three scenarios</w:t>
      </w:r>
      <w:r>
        <w:rPr>
          <w:lang w:val="en-GB" w:eastAsia="en-AU"/>
        </w:rPr>
        <w:t>:</w:t>
      </w:r>
    </w:p>
    <w:p w:rsidR="00642220" w:rsidRDefault="00642220" w:rsidP="00642220">
      <w:pPr>
        <w:pStyle w:val="ListBullet"/>
        <w:rPr>
          <w:lang w:val="en-GB"/>
        </w:rPr>
      </w:pPr>
      <w:r>
        <w:rPr>
          <w:lang w:val="en-GB"/>
        </w:rPr>
        <w:t xml:space="preserve">a cap and trade scheme with lump sum revenue recycling (‘cap and trade </w:t>
      </w:r>
      <w:r w:rsidR="00D60900">
        <w:rPr>
          <w:lang w:val="en-GB"/>
        </w:rPr>
        <w:t>(</w:t>
      </w:r>
      <w:r>
        <w:rPr>
          <w:lang w:val="en-GB"/>
        </w:rPr>
        <w:t>lump sum</w:t>
      </w:r>
      <w:r w:rsidR="00D60900">
        <w:rPr>
          <w:lang w:val="en-GB"/>
        </w:rPr>
        <w:t>)</w:t>
      </w:r>
      <w:r>
        <w:rPr>
          <w:lang w:val="en-GB"/>
        </w:rPr>
        <w:t>’)</w:t>
      </w:r>
    </w:p>
    <w:p w:rsidR="00642220" w:rsidRDefault="00642220" w:rsidP="00642220">
      <w:pPr>
        <w:pStyle w:val="ListBullet"/>
        <w:rPr>
          <w:lang w:val="en-GB"/>
        </w:rPr>
      </w:pPr>
      <w:r>
        <w:rPr>
          <w:lang w:val="en-GB"/>
        </w:rPr>
        <w:t xml:space="preserve">a cap and trade scheme with revenue recycling through tax cuts (‘cap and trade </w:t>
      </w:r>
      <w:r w:rsidR="00D60900">
        <w:rPr>
          <w:lang w:val="en-GB"/>
        </w:rPr>
        <w:t>(</w:t>
      </w:r>
      <w:r>
        <w:rPr>
          <w:lang w:val="en-GB"/>
        </w:rPr>
        <w:t>tax cuts</w:t>
      </w:r>
      <w:r w:rsidR="00D60900">
        <w:rPr>
          <w:lang w:val="en-GB"/>
        </w:rPr>
        <w:t>)</w:t>
      </w:r>
      <w:r>
        <w:rPr>
          <w:lang w:val="en-GB"/>
        </w:rPr>
        <w:t>’) and</w:t>
      </w:r>
    </w:p>
    <w:p w:rsidR="00642220" w:rsidRDefault="00642220" w:rsidP="00642220">
      <w:pPr>
        <w:pStyle w:val="ListBullet"/>
        <w:rPr>
          <w:lang w:val="en-GB"/>
        </w:rPr>
      </w:pPr>
      <w:proofErr w:type="gramStart"/>
      <w:r>
        <w:rPr>
          <w:lang w:val="en-GB"/>
        </w:rPr>
        <w:t>an</w:t>
      </w:r>
      <w:proofErr w:type="gramEnd"/>
      <w:r>
        <w:rPr>
          <w:lang w:val="en-GB"/>
        </w:rPr>
        <w:t xml:space="preserve"> emissions intensity scheme.</w:t>
      </w:r>
    </w:p>
    <w:p w:rsidR="00642220" w:rsidRDefault="00642220" w:rsidP="00642220">
      <w:pPr>
        <w:pStyle w:val="BodyText"/>
      </w:pPr>
      <w:r>
        <w:lastRenderedPageBreak/>
        <w:t>These scenarios were chosen to illuminate two indirect effects of particular interest:</w:t>
      </w:r>
    </w:p>
    <w:p w:rsidR="00642220" w:rsidRDefault="00642220" w:rsidP="00642220">
      <w:pPr>
        <w:pStyle w:val="ListBullet"/>
      </w:pPr>
      <w:r>
        <w:t xml:space="preserve">The change from the cap and trade (lump sum) to cap and trade (tax cuts) scenario illustrates the indirect economic benefit of recycling revenue through tax cuts rather than through lump sum payments to households. </w:t>
      </w:r>
    </w:p>
    <w:p w:rsidR="00642220" w:rsidRDefault="00642220" w:rsidP="00642220">
      <w:pPr>
        <w:pStyle w:val="ListBullet"/>
      </w:pPr>
      <w:r>
        <w:t xml:space="preserve">The change from the cap and trade (lump sum) to emissions intensity scheme scenario illustrates that the indirect cost of the tax interaction effect can be reduced by using an emissions intensity scheme to keep electricity prices lower than would prevail under a cap and trade scheme. </w:t>
      </w:r>
    </w:p>
    <w:p w:rsidR="00642220" w:rsidRDefault="00CC5622" w:rsidP="00642220">
      <w:pPr>
        <w:pStyle w:val="ListBullet"/>
        <w:numPr>
          <w:ilvl w:val="0"/>
          <w:numId w:val="0"/>
        </w:numPr>
      </w:pPr>
      <w:r>
        <w:t xml:space="preserve">As the focus of the modelling was to examine the relative cost effectiveness of different policy options, rather than the total economic cost of Australia adopting an emissions reduction policy relative to not doing so, </w:t>
      </w:r>
      <w:r w:rsidR="00BA12C7">
        <w:t>one of the three policy scenarios</w:t>
      </w:r>
      <w:r>
        <w:t xml:space="preserve"> served as the reference case.</w:t>
      </w:r>
      <w:r w:rsidR="00BA12C7">
        <w:t xml:space="preserve"> </w:t>
      </w:r>
      <w:r w:rsidR="006E1EC8">
        <w:t>The c</w:t>
      </w:r>
      <w:r w:rsidR="00BA12C7">
        <w:t xml:space="preserve">ap and trade (lump sum) </w:t>
      </w:r>
      <w:r w:rsidR="006E1EC8">
        <w:t xml:space="preserve">scenario </w:t>
      </w:r>
      <w:r w:rsidR="00BA12C7">
        <w:t>was chosen because the other two scenarios were expected to perform better.</w:t>
      </w:r>
      <w:r>
        <w:t xml:space="preserve"> </w:t>
      </w:r>
      <w:r w:rsidR="00CA762C">
        <w:t xml:space="preserve">Table </w:t>
      </w:r>
      <w:r w:rsidR="00CA762C">
        <w:rPr>
          <w:noProof/>
        </w:rPr>
        <w:t>4</w:t>
      </w:r>
      <w:r w:rsidR="00642220">
        <w:t xml:space="preserve"> in Chapter 3 provides an overview of the scenarios. </w:t>
      </w:r>
    </w:p>
    <w:p w:rsidR="00642220" w:rsidRPr="0058193B" w:rsidRDefault="00642220" w:rsidP="00642220">
      <w:pPr>
        <w:pStyle w:val="AppendixHeading3"/>
        <w:rPr>
          <w:lang w:val="en-GB"/>
        </w:rPr>
      </w:pPr>
      <w:bookmarkStart w:id="819" w:name="_Toc460318027"/>
      <w:r>
        <w:rPr>
          <w:lang w:val="en-GB"/>
        </w:rPr>
        <w:t>Key inputs and assumptions</w:t>
      </w:r>
      <w:bookmarkEnd w:id="819"/>
    </w:p>
    <w:p w:rsidR="00642220" w:rsidRDefault="00642220" w:rsidP="00642220">
      <w:pPr>
        <w:pStyle w:val="ChapterHeading4"/>
        <w:numPr>
          <w:ilvl w:val="3"/>
          <w:numId w:val="15"/>
        </w:numPr>
      </w:pPr>
      <w:r>
        <w:t>Carbon price</w:t>
      </w:r>
    </w:p>
    <w:p w:rsidR="00642220" w:rsidRDefault="00642220" w:rsidP="00642220">
      <w:pPr>
        <w:pStyle w:val="BodyText"/>
      </w:pPr>
      <w:r>
        <w:t xml:space="preserve">Each of the three scenarios involves a </w:t>
      </w:r>
      <w:r w:rsidR="00C10CAE">
        <w:t>market mechanism</w:t>
      </w:r>
      <w:r>
        <w:t xml:space="preserve"> where emitters can purchase emissions permits from the government, other emitters, or other countries at the same prevailing international carbon price. As discussed above, emitters outside the electricity sector also face this carbon price. </w:t>
      </w:r>
    </w:p>
    <w:p w:rsidR="00642220" w:rsidRDefault="00914FF4" w:rsidP="00642220">
      <w:pPr>
        <w:pStyle w:val="BodyText"/>
      </w:pPr>
      <w:r>
        <w:t>In all three scenarios, t</w:t>
      </w:r>
      <w:r w:rsidR="00642220">
        <w:t xml:space="preserve">he Authority adopted a common international carbon price, expressed in United States dollars consistent with global efforts with a likely chance of limiting temperature increases to 2 degrees. The international carbon price converted to slightly different Australian dollar carbon price series in each scenario within the Victoria University CGE model. </w:t>
      </w:r>
      <w:r w:rsidR="00C23D1F">
        <w:t>This was a very similar carbon price series to the series used derive the emissions budget in the electricity sector only modelling.</w:t>
      </w:r>
    </w:p>
    <w:p w:rsidR="0048699F" w:rsidRDefault="0048699F" w:rsidP="00642220">
      <w:pPr>
        <w:pStyle w:val="BodyText"/>
      </w:pPr>
      <w:r>
        <w:t>The use of a common carbon price across both the cap and trade and emissions intensity scenarios varies from the appro</w:t>
      </w:r>
      <w:r w:rsidR="00E17A48">
        <w:t xml:space="preserve">ach in the electricity sector </w:t>
      </w:r>
      <w:r>
        <w:t>only Jacobs modelling. In that modelling the carbon price in the cap and trade scenario was lower than the certificate price in the emissions intensity scenario. The alternative approach was adopted because, in a world of strong action to reduce emissions, Australia would be likely to face the same effective global carbon price irrespective of whether it adopted a cap and trade scheme or an emissions intensity scheme.</w:t>
      </w:r>
    </w:p>
    <w:p w:rsidR="00642220" w:rsidRDefault="00642220" w:rsidP="00642220">
      <w:pPr>
        <w:pStyle w:val="ChapterHeading4"/>
        <w:numPr>
          <w:ilvl w:val="3"/>
          <w:numId w:val="15"/>
        </w:numPr>
      </w:pPr>
      <w:r>
        <w:t>Net national emissions budget</w:t>
      </w:r>
    </w:p>
    <w:p w:rsidR="00642220" w:rsidRDefault="00642220" w:rsidP="00642220">
      <w:pPr>
        <w:pStyle w:val="BodyText"/>
        <w:rPr>
          <w:lang w:val="en-GB" w:eastAsia="en-AU"/>
        </w:rPr>
      </w:pPr>
      <w:proofErr w:type="gramStart"/>
      <w:r>
        <w:rPr>
          <w:lang w:val="en-GB" w:eastAsia="en-AU"/>
        </w:rPr>
        <w:t>Adopting the same carbon price means that emissions from Australia’s electricity generation sector, and other sectors, may vary between the CGE modelling scenarios.</w:t>
      </w:r>
      <w:proofErr w:type="gramEnd"/>
      <w:r>
        <w:rPr>
          <w:lang w:val="en-GB" w:eastAsia="en-AU"/>
        </w:rPr>
        <w:t xml:space="preserve"> This diff</w:t>
      </w:r>
      <w:r w:rsidR="00E17A48">
        <w:rPr>
          <w:lang w:val="en-GB" w:eastAsia="en-AU"/>
        </w:rPr>
        <w:t xml:space="preserve">ers from the electricity sector </w:t>
      </w:r>
      <w:r>
        <w:rPr>
          <w:lang w:val="en-GB" w:eastAsia="en-AU"/>
        </w:rPr>
        <w:t>only modelling, where each policy was designed to achieve a fixed emissions budget within the Australian electricity generation sector.</w:t>
      </w:r>
    </w:p>
    <w:p w:rsidR="00642220" w:rsidRDefault="00642220" w:rsidP="00642220">
      <w:pPr>
        <w:pStyle w:val="BodyText"/>
        <w:rPr>
          <w:lang w:val="en-GB" w:eastAsia="en-AU"/>
        </w:rPr>
      </w:pPr>
      <w:r>
        <w:t>In order to allow</w:t>
      </w:r>
      <w:r>
        <w:rPr>
          <w:lang w:val="en-GB" w:eastAsia="en-AU"/>
        </w:rPr>
        <w:t xml:space="preserve"> a like-for-like policy comparison, scenarios must be set up so that differences in costs are due to differences in policy design rather than in their level of emissions reductions. </w:t>
      </w:r>
      <w:r>
        <w:t>This</w:t>
      </w:r>
      <w:r>
        <w:rPr>
          <w:lang w:val="en-GB" w:eastAsia="en-AU"/>
        </w:rPr>
        <w:t xml:space="preserve"> is achieved by assuming Australia can purchase international permits</w:t>
      </w:r>
      <w:r w:rsidR="00BA12C7">
        <w:rPr>
          <w:lang w:val="en-GB" w:eastAsia="en-AU"/>
        </w:rPr>
        <w:t xml:space="preserve"> or credits</w:t>
      </w:r>
      <w:r>
        <w:rPr>
          <w:lang w:val="en-GB" w:eastAsia="en-AU"/>
        </w:rPr>
        <w:t xml:space="preserve"> at the prevailing carbon price to achieve a common net national emissions budget, that is, a common level of national emissions net of purchases of international permits</w:t>
      </w:r>
      <w:r w:rsidR="00BA12C7">
        <w:rPr>
          <w:lang w:val="en-GB" w:eastAsia="en-AU"/>
        </w:rPr>
        <w:t xml:space="preserve"> or credits</w:t>
      </w:r>
      <w:r>
        <w:rPr>
          <w:lang w:val="en-GB" w:eastAsia="en-AU"/>
        </w:rPr>
        <w:t xml:space="preserve">. </w:t>
      </w:r>
    </w:p>
    <w:p w:rsidR="00642220" w:rsidRDefault="00642220" w:rsidP="00642220">
      <w:pPr>
        <w:pStyle w:val="BodyText"/>
        <w:rPr>
          <w:lang w:val="en-GB" w:eastAsia="en-AU"/>
        </w:rPr>
      </w:pPr>
      <w:r>
        <w:rPr>
          <w:lang w:val="en-GB" w:eastAsia="en-AU"/>
        </w:rPr>
        <w:t>Australia’s net national emissions budget was established based on Australia’s total domestic emissions in the cap and trade (tax cuts) scenario. Accordingly, trade in international permit</w:t>
      </w:r>
      <w:r w:rsidR="00013225">
        <w:rPr>
          <w:lang w:val="en-GB" w:eastAsia="en-AU"/>
        </w:rPr>
        <w:t>s</w:t>
      </w:r>
      <w:r w:rsidR="00BA12C7">
        <w:rPr>
          <w:lang w:val="en-GB" w:eastAsia="en-AU"/>
        </w:rPr>
        <w:t xml:space="preserve"> or </w:t>
      </w:r>
      <w:proofErr w:type="gramStart"/>
      <w:r w:rsidR="00BA12C7">
        <w:rPr>
          <w:lang w:val="en-GB" w:eastAsia="en-AU"/>
        </w:rPr>
        <w:t>credits</w:t>
      </w:r>
      <w:r w:rsidR="00013225">
        <w:rPr>
          <w:lang w:val="en-GB" w:eastAsia="en-AU"/>
        </w:rPr>
        <w:t xml:space="preserve"> was</w:t>
      </w:r>
      <w:proofErr w:type="gramEnd"/>
      <w:r w:rsidR="00013225">
        <w:rPr>
          <w:lang w:val="en-GB" w:eastAsia="en-AU"/>
        </w:rPr>
        <w:t xml:space="preserve"> very low in this scenario</w:t>
      </w:r>
      <w:r>
        <w:rPr>
          <w:lang w:val="en-GB" w:eastAsia="en-AU"/>
        </w:rPr>
        <w:t xml:space="preserve"> and higher in other scenarios. This emissions budget does not reflect any </w:t>
      </w:r>
      <w:r>
        <w:rPr>
          <w:lang w:val="en-GB" w:eastAsia="en-AU"/>
        </w:rPr>
        <w:lastRenderedPageBreak/>
        <w:t xml:space="preserve">Authority view of Australia’s ‘fair share’ of a global emissions budget, but was adopted to simplify comparisons between scenarios. </w:t>
      </w:r>
    </w:p>
    <w:p w:rsidR="00642220" w:rsidRDefault="00642220" w:rsidP="00642220">
      <w:pPr>
        <w:pStyle w:val="ChapterHeading4"/>
        <w:numPr>
          <w:ilvl w:val="3"/>
          <w:numId w:val="15"/>
        </w:numPr>
      </w:pPr>
      <w:r>
        <w:t>Macroeconomic assumptions</w:t>
      </w:r>
    </w:p>
    <w:p w:rsidR="00642220" w:rsidRDefault="00CA762C" w:rsidP="00642220">
      <w:pPr>
        <w:pStyle w:val="BodyText"/>
      </w:pPr>
      <w:r>
        <w:t xml:space="preserve">Table </w:t>
      </w:r>
      <w:r>
        <w:rPr>
          <w:noProof/>
        </w:rPr>
        <w:t>10</w:t>
      </w:r>
      <w:r w:rsidR="00642220">
        <w:t xml:space="preserve"> summarises key macroeconomic assumptions made by Vict</w:t>
      </w:r>
      <w:r w:rsidR="00E17A48">
        <w:t>oria University for its economy</w:t>
      </w:r>
      <w:r w:rsidR="00E17A48">
        <w:noBreakHyphen/>
      </w:r>
      <w:r w:rsidR="00642220">
        <w:t>wide modelling. Further detail on these assumptions and on the Victoria University Regional Model (VURM) is provided in the a</w:t>
      </w:r>
      <w:r w:rsidR="00C704E2">
        <w:t>ccompanying modelling report (</w:t>
      </w:r>
      <w:bookmarkStart w:id="820" w:name="_CTVP0010faed3e8a1e944aa819eda45ba558ec7"/>
      <w:r w:rsidR="0059109A">
        <w:t>Adams 2016</w:t>
      </w:r>
      <w:bookmarkEnd w:id="820"/>
      <w:r w:rsidR="00642220">
        <w:t xml:space="preserve">, available at </w:t>
      </w:r>
      <w:r w:rsidR="00642220" w:rsidRPr="00C05A15">
        <w:t>www.climatechangeauthority.gov.au</w:t>
      </w:r>
      <w:r w:rsidR="00C704E2">
        <w:t>).</w:t>
      </w:r>
    </w:p>
    <w:p w:rsidR="00642220" w:rsidRDefault="00642220" w:rsidP="00642220">
      <w:pPr>
        <w:pStyle w:val="Caption"/>
      </w:pPr>
      <w:bookmarkStart w:id="821" w:name="_Ref447278299"/>
      <w:bookmarkStart w:id="822" w:name="_Ref447278289"/>
      <w:bookmarkStart w:id="823" w:name="_Toc447641418"/>
      <w:bookmarkStart w:id="824" w:name="_Toc460318078"/>
      <w:r>
        <w:t xml:space="preserve">Table </w:t>
      </w:r>
      <w:r w:rsidR="00CA762C">
        <w:rPr>
          <w:noProof/>
        </w:rPr>
        <w:t>10</w:t>
      </w:r>
      <w:bookmarkEnd w:id="821"/>
      <w:r w:rsidR="00A6425D">
        <w:tab/>
      </w:r>
      <w:r>
        <w:t>Overview of macroeconomic assumptions</w:t>
      </w:r>
      <w:bookmarkEnd w:id="822"/>
      <w:bookmarkEnd w:id="823"/>
      <w:r>
        <w:t>, economy-wide modelling</w:t>
      </w:r>
      <w:bookmarkEnd w:id="824"/>
    </w:p>
    <w:tbl>
      <w:tblPr>
        <w:tblStyle w:val="CCATable"/>
        <w:tblW w:w="0" w:type="auto"/>
        <w:tblLook w:val="04A0" w:firstRow="1" w:lastRow="0" w:firstColumn="1" w:lastColumn="0" w:noHBand="0" w:noVBand="1"/>
      </w:tblPr>
      <w:tblGrid>
        <w:gridCol w:w="2660"/>
        <w:gridCol w:w="7195"/>
      </w:tblGrid>
      <w:tr w:rsidR="00642220" w:rsidTr="00642220">
        <w:trPr>
          <w:cnfStyle w:val="100000000000" w:firstRow="1" w:lastRow="0" w:firstColumn="0" w:lastColumn="0" w:oddVBand="0" w:evenVBand="0" w:oddHBand="0" w:evenHBand="0" w:firstRowFirstColumn="0" w:firstRowLastColumn="0" w:lastRowFirstColumn="0" w:lastRowLastColumn="0"/>
        </w:trPr>
        <w:tc>
          <w:tcPr>
            <w:tcW w:w="2660" w:type="dxa"/>
          </w:tcPr>
          <w:p w:rsidR="00642220" w:rsidRPr="009D4C17" w:rsidRDefault="00642220" w:rsidP="00642220">
            <w:pPr>
              <w:pStyle w:val="BodyText"/>
              <w:spacing w:after="80" w:line="240" w:lineRule="auto"/>
              <w:rPr>
                <w:b/>
                <w:color w:val="FFFFFF" w:themeColor="background1"/>
                <w:sz w:val="18"/>
                <w:szCs w:val="18"/>
              </w:rPr>
            </w:pPr>
            <w:r w:rsidRPr="009D4C17">
              <w:rPr>
                <w:b/>
                <w:color w:val="FFFFFF" w:themeColor="background1"/>
                <w:sz w:val="18"/>
                <w:szCs w:val="18"/>
              </w:rPr>
              <w:t>Model element</w:t>
            </w:r>
          </w:p>
        </w:tc>
        <w:tc>
          <w:tcPr>
            <w:tcW w:w="7195" w:type="dxa"/>
          </w:tcPr>
          <w:p w:rsidR="00642220" w:rsidRPr="009D4C17" w:rsidRDefault="00642220" w:rsidP="00642220">
            <w:pPr>
              <w:pStyle w:val="BodyText"/>
              <w:spacing w:after="80" w:line="240" w:lineRule="auto"/>
              <w:rPr>
                <w:b/>
                <w:color w:val="FFFFFF" w:themeColor="background1"/>
                <w:sz w:val="18"/>
                <w:szCs w:val="18"/>
              </w:rPr>
            </w:pPr>
            <w:r w:rsidRPr="009D4C17">
              <w:rPr>
                <w:b/>
                <w:color w:val="FFFFFF" w:themeColor="background1"/>
                <w:sz w:val="18"/>
                <w:szCs w:val="18"/>
              </w:rPr>
              <w:t>Description and relevant assumptions</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Regional structure</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Australia’s eight states and territories are modelled as economies in their own right, with linkages through trade and movements of labour and capital</w:t>
            </w:r>
          </w:p>
        </w:tc>
      </w:tr>
      <w:tr w:rsidR="00642220" w:rsidTr="00642220">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Sectoral representation</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The primary VURM database incorporates 84 separate economic sectors, which are aggregated to 72 in this modelling. Interrelationships between sectors a</w:t>
            </w:r>
            <w:r w:rsidR="00795BBE">
              <w:rPr>
                <w:sz w:val="18"/>
                <w:szCs w:val="18"/>
              </w:rPr>
              <w:t>re calibrated based on the 2009–</w:t>
            </w:r>
            <w:r w:rsidRPr="009D4C17">
              <w:rPr>
                <w:sz w:val="18"/>
                <w:szCs w:val="18"/>
              </w:rPr>
              <w:t>10 ABS input-output tables.</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Demographic assumptions</w:t>
            </w:r>
          </w:p>
        </w:tc>
        <w:tc>
          <w:tcPr>
            <w:tcW w:w="7195" w:type="dxa"/>
          </w:tcPr>
          <w:p w:rsidR="00642220" w:rsidRPr="009D4C17" w:rsidRDefault="00642220" w:rsidP="002E274F">
            <w:pPr>
              <w:pStyle w:val="BodyText"/>
              <w:keepNext w:val="0"/>
              <w:spacing w:after="80" w:line="240" w:lineRule="auto"/>
              <w:rPr>
                <w:sz w:val="18"/>
                <w:szCs w:val="18"/>
              </w:rPr>
            </w:pPr>
            <w:r w:rsidRPr="009D4C17">
              <w:rPr>
                <w:sz w:val="18"/>
                <w:szCs w:val="18"/>
              </w:rPr>
              <w:t>Based on the Australian Government’s March 2015 Intergenerational Report</w:t>
            </w:r>
            <w:r w:rsidR="002E274F">
              <w:rPr>
                <w:sz w:val="18"/>
                <w:szCs w:val="18"/>
              </w:rPr>
              <w:t xml:space="preserve"> </w:t>
            </w:r>
            <w:bookmarkStart w:id="825" w:name="_CTVP00109c37195d7124bcbaed2a543a9e57cac"/>
            <w:r w:rsidR="0059109A">
              <w:rPr>
                <w:sz w:val="18"/>
                <w:szCs w:val="18"/>
              </w:rPr>
              <w:t>(Treasury 2015)</w:t>
            </w:r>
            <w:bookmarkEnd w:id="825"/>
            <w:r>
              <w:rPr>
                <w:sz w:val="18"/>
                <w:szCs w:val="18"/>
              </w:rPr>
              <w:t>.</w:t>
            </w:r>
          </w:p>
        </w:tc>
      </w:tr>
      <w:tr w:rsidR="00642220" w:rsidTr="00642220">
        <w:tc>
          <w:tcPr>
            <w:tcW w:w="2660" w:type="dxa"/>
          </w:tcPr>
          <w:p w:rsidR="00642220" w:rsidRPr="009D4C17" w:rsidRDefault="00642220" w:rsidP="00642220">
            <w:pPr>
              <w:pStyle w:val="BodyText"/>
              <w:keepNext w:val="0"/>
              <w:spacing w:after="80" w:line="240" w:lineRule="auto"/>
              <w:rPr>
                <w:sz w:val="18"/>
                <w:szCs w:val="18"/>
              </w:rPr>
            </w:pPr>
            <w:r>
              <w:rPr>
                <w:sz w:val="18"/>
                <w:szCs w:val="18"/>
              </w:rPr>
              <w:t>Total</w:t>
            </w:r>
            <w:r w:rsidRPr="009D4C17">
              <w:rPr>
                <w:sz w:val="18"/>
                <w:szCs w:val="18"/>
              </w:rPr>
              <w:t xml:space="preserve"> factor technological progress (</w:t>
            </w:r>
            <w:r>
              <w:rPr>
                <w:sz w:val="18"/>
                <w:szCs w:val="18"/>
              </w:rPr>
              <w:t>total</w:t>
            </w:r>
            <w:r w:rsidRPr="009D4C17">
              <w:rPr>
                <w:sz w:val="18"/>
                <w:szCs w:val="18"/>
              </w:rPr>
              <w:t xml:space="preserve"> factor productivity)</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 xml:space="preserve">In the </w:t>
            </w:r>
            <w:r>
              <w:rPr>
                <w:sz w:val="18"/>
                <w:szCs w:val="18"/>
              </w:rPr>
              <w:t>cap and trade</w:t>
            </w:r>
            <w:r w:rsidRPr="009D4C17">
              <w:rPr>
                <w:sz w:val="18"/>
                <w:szCs w:val="18"/>
              </w:rPr>
              <w:t xml:space="preserve"> (tax cuts) scenario, </w:t>
            </w:r>
            <w:r>
              <w:rPr>
                <w:sz w:val="18"/>
                <w:szCs w:val="18"/>
              </w:rPr>
              <w:t>total</w:t>
            </w:r>
            <w:r w:rsidRPr="009D4C17">
              <w:rPr>
                <w:sz w:val="18"/>
                <w:szCs w:val="18"/>
              </w:rPr>
              <w:t xml:space="preserve"> factor productivity improvement is uniform across all industries necessary to achieve a targeted real GDP growth rate</w:t>
            </w:r>
            <w:r>
              <w:rPr>
                <w:sz w:val="18"/>
                <w:szCs w:val="18"/>
              </w:rPr>
              <w:t>.</w:t>
            </w:r>
            <w:r w:rsidRPr="009D4C17">
              <w:rPr>
                <w:sz w:val="18"/>
                <w:szCs w:val="18"/>
              </w:rPr>
              <w:t xml:space="preserve"> This </w:t>
            </w:r>
            <w:r>
              <w:rPr>
                <w:sz w:val="18"/>
                <w:szCs w:val="18"/>
              </w:rPr>
              <w:t xml:space="preserve">total factor productivity </w:t>
            </w:r>
            <w:r w:rsidRPr="009D4C17">
              <w:rPr>
                <w:sz w:val="18"/>
                <w:szCs w:val="18"/>
              </w:rPr>
              <w:t xml:space="preserve">improvement rate is then held constant across all other scenarios. </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Labour market assumptions</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 xml:space="preserve">In the </w:t>
            </w:r>
            <w:r>
              <w:rPr>
                <w:sz w:val="18"/>
                <w:szCs w:val="18"/>
              </w:rPr>
              <w:t>cap and trade</w:t>
            </w:r>
            <w:r w:rsidRPr="009D4C17">
              <w:rPr>
                <w:sz w:val="18"/>
                <w:szCs w:val="18"/>
              </w:rPr>
              <w:t xml:space="preserve"> (tax cuts) scenario, real wages are determined by </w:t>
            </w:r>
            <w:r>
              <w:rPr>
                <w:sz w:val="18"/>
                <w:szCs w:val="18"/>
              </w:rPr>
              <w:t xml:space="preserve">the balance between labour supply, which is determined by </w:t>
            </w:r>
            <w:r w:rsidRPr="009D4C17">
              <w:rPr>
                <w:sz w:val="18"/>
                <w:szCs w:val="18"/>
              </w:rPr>
              <w:t xml:space="preserve">demographic </w:t>
            </w:r>
            <w:r>
              <w:rPr>
                <w:sz w:val="18"/>
                <w:szCs w:val="18"/>
              </w:rPr>
              <w:t xml:space="preserve">assumptions, and labour demand. </w:t>
            </w:r>
          </w:p>
          <w:p w:rsidR="00642220" w:rsidRPr="009D4C17" w:rsidRDefault="00642220" w:rsidP="00642220">
            <w:pPr>
              <w:pStyle w:val="BodyText"/>
              <w:keepNext w:val="0"/>
              <w:spacing w:after="80" w:line="240" w:lineRule="auto"/>
              <w:rPr>
                <w:sz w:val="18"/>
                <w:szCs w:val="18"/>
              </w:rPr>
            </w:pPr>
            <w:r w:rsidRPr="009D4C17">
              <w:rPr>
                <w:sz w:val="18"/>
                <w:szCs w:val="18"/>
              </w:rPr>
              <w:t xml:space="preserve">In all other scenarios the real after-tax wage is </w:t>
            </w:r>
            <w:r>
              <w:rPr>
                <w:sz w:val="18"/>
                <w:szCs w:val="18"/>
              </w:rPr>
              <w:t>‘</w:t>
            </w:r>
            <w:r w:rsidRPr="009D4C17">
              <w:rPr>
                <w:sz w:val="18"/>
                <w:szCs w:val="18"/>
              </w:rPr>
              <w:t>sticky</w:t>
            </w:r>
            <w:r>
              <w:rPr>
                <w:sz w:val="18"/>
                <w:szCs w:val="18"/>
              </w:rPr>
              <w:t>’</w:t>
            </w:r>
            <w:r w:rsidRPr="009D4C17">
              <w:rPr>
                <w:sz w:val="18"/>
                <w:szCs w:val="18"/>
              </w:rPr>
              <w:t xml:space="preserve"> in the short-term but flexible in the long-run. This means that short-run changes will </w:t>
            </w:r>
            <w:r>
              <w:rPr>
                <w:sz w:val="18"/>
                <w:szCs w:val="18"/>
              </w:rPr>
              <w:t xml:space="preserve">primarily </w:t>
            </w:r>
            <w:r w:rsidRPr="009D4C17">
              <w:rPr>
                <w:sz w:val="18"/>
                <w:szCs w:val="18"/>
              </w:rPr>
              <w:t xml:space="preserve">affect employment levels, and long-run changes will </w:t>
            </w:r>
            <w:r>
              <w:rPr>
                <w:sz w:val="18"/>
                <w:szCs w:val="18"/>
              </w:rPr>
              <w:t xml:space="preserve">primarily </w:t>
            </w:r>
            <w:r w:rsidRPr="009D4C17">
              <w:rPr>
                <w:sz w:val="18"/>
                <w:szCs w:val="18"/>
              </w:rPr>
              <w:t xml:space="preserve">affect wages. </w:t>
            </w:r>
            <w:r>
              <w:rPr>
                <w:sz w:val="18"/>
                <w:szCs w:val="18"/>
              </w:rPr>
              <w:t>The exception to this are c</w:t>
            </w:r>
            <w:r w:rsidRPr="009D4C17">
              <w:rPr>
                <w:sz w:val="18"/>
                <w:szCs w:val="18"/>
              </w:rPr>
              <w:t>hanges to labour tax rates</w:t>
            </w:r>
            <w:r>
              <w:rPr>
                <w:sz w:val="18"/>
                <w:szCs w:val="18"/>
              </w:rPr>
              <w:t xml:space="preserve">, which affect before-tax and after-tax wages differently, and </w:t>
            </w:r>
            <w:r w:rsidRPr="009D4C17">
              <w:rPr>
                <w:sz w:val="18"/>
                <w:szCs w:val="18"/>
              </w:rPr>
              <w:t>can therefore cause long-run differences in employment levels</w:t>
            </w:r>
            <w:r>
              <w:rPr>
                <w:sz w:val="18"/>
                <w:szCs w:val="18"/>
              </w:rPr>
              <w:t xml:space="preserve"> between scenarios</w:t>
            </w:r>
            <w:r w:rsidRPr="009D4C17">
              <w:rPr>
                <w:sz w:val="18"/>
                <w:szCs w:val="18"/>
              </w:rPr>
              <w:t xml:space="preserve">.  </w:t>
            </w:r>
          </w:p>
          <w:p w:rsidR="00642220" w:rsidRPr="009D4C17" w:rsidRDefault="00642220" w:rsidP="00642220">
            <w:pPr>
              <w:pStyle w:val="BodyText"/>
              <w:keepNext w:val="0"/>
              <w:spacing w:after="80" w:line="240" w:lineRule="auto"/>
              <w:rPr>
                <w:sz w:val="18"/>
                <w:szCs w:val="18"/>
              </w:rPr>
            </w:pPr>
            <w:r w:rsidRPr="009D4C17">
              <w:rPr>
                <w:sz w:val="18"/>
                <w:szCs w:val="18"/>
              </w:rPr>
              <w:t xml:space="preserve">Labour is assumed to be mobile between states and territories to maintain constant regional differences in unemployment rates. </w:t>
            </w:r>
          </w:p>
        </w:tc>
      </w:tr>
      <w:tr w:rsidR="00642220" w:rsidTr="00642220">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Budget balance</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 xml:space="preserve">In each scenario the fiscal balance to GDP ratio is fixed at 2014 levels for all jurisdictions. The balancing variable is a lump sum payment to or from the representative household in each region. </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 xml:space="preserve">Trade with the </w:t>
            </w:r>
            <w:r>
              <w:rPr>
                <w:sz w:val="18"/>
                <w:szCs w:val="18"/>
              </w:rPr>
              <w:t>r</w:t>
            </w:r>
            <w:r w:rsidRPr="009D4C17">
              <w:rPr>
                <w:sz w:val="18"/>
                <w:szCs w:val="18"/>
              </w:rPr>
              <w:t xml:space="preserve">est of the </w:t>
            </w:r>
            <w:r>
              <w:rPr>
                <w:sz w:val="18"/>
                <w:szCs w:val="18"/>
              </w:rPr>
              <w:t>w</w:t>
            </w:r>
            <w:r w:rsidRPr="009D4C17">
              <w:rPr>
                <w:sz w:val="18"/>
                <w:szCs w:val="18"/>
              </w:rPr>
              <w:t>orld</w:t>
            </w:r>
          </w:p>
        </w:tc>
        <w:tc>
          <w:tcPr>
            <w:tcW w:w="7195" w:type="dxa"/>
          </w:tcPr>
          <w:p w:rsidR="00642220" w:rsidRDefault="00642220" w:rsidP="00642220">
            <w:pPr>
              <w:pStyle w:val="BodyText"/>
              <w:keepNext w:val="0"/>
              <w:spacing w:after="80" w:line="240" w:lineRule="auto"/>
              <w:rPr>
                <w:sz w:val="18"/>
                <w:szCs w:val="18"/>
              </w:rPr>
            </w:pPr>
            <w:r>
              <w:rPr>
                <w:sz w:val="18"/>
                <w:szCs w:val="18"/>
              </w:rPr>
              <w:t xml:space="preserve">The rest of the world buys Australian exports based on a downward sloping demand schedule. The foreign demand schedule is calibrated in the cap and trade (tax cuts) scenario to achieve the terms of trade assumption in that scenario (see below), and are held constant in other scenarios. </w:t>
            </w:r>
          </w:p>
          <w:p w:rsidR="00642220" w:rsidRPr="009D4C17" w:rsidRDefault="00642220" w:rsidP="00642220">
            <w:pPr>
              <w:pStyle w:val="BodyText"/>
              <w:keepNext w:val="0"/>
              <w:spacing w:after="80" w:line="240" w:lineRule="auto"/>
              <w:rPr>
                <w:sz w:val="18"/>
                <w:szCs w:val="18"/>
              </w:rPr>
            </w:pPr>
            <w:r>
              <w:rPr>
                <w:sz w:val="18"/>
                <w:szCs w:val="18"/>
              </w:rPr>
              <w:t xml:space="preserve">Australia sells imports at fixed foreign currency prices which are constant across all scenarios and consistent with the terms of trade assumption in the cap and trade (tax cuts) scenario. </w:t>
            </w:r>
          </w:p>
        </w:tc>
      </w:tr>
      <w:tr w:rsidR="00642220" w:rsidTr="00642220">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Terms of trade</w:t>
            </w:r>
          </w:p>
        </w:tc>
        <w:tc>
          <w:tcPr>
            <w:tcW w:w="7195" w:type="dxa"/>
          </w:tcPr>
          <w:p w:rsidR="00642220" w:rsidRPr="009D4C17" w:rsidRDefault="00642220" w:rsidP="00642220">
            <w:pPr>
              <w:pStyle w:val="BodyText"/>
              <w:keepNext w:val="0"/>
              <w:spacing w:after="80" w:line="240" w:lineRule="auto"/>
              <w:rPr>
                <w:sz w:val="18"/>
                <w:szCs w:val="18"/>
              </w:rPr>
            </w:pPr>
            <w:r>
              <w:rPr>
                <w:sz w:val="18"/>
                <w:szCs w:val="18"/>
              </w:rPr>
              <w:t xml:space="preserve">In the cap and trade (tax cuts) scenario, Australia’s terms of trade is calibrated to a historically normal level, allowing for fixed fuel price assumptions (see below). The terms of trade can then vary from that level if changes to Australian exports result in changes to global commodity prices.  </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660" w:type="dxa"/>
          </w:tcPr>
          <w:p w:rsidR="00642220" w:rsidRPr="009D4C17" w:rsidRDefault="00642220" w:rsidP="00642220">
            <w:pPr>
              <w:pStyle w:val="BodyText"/>
              <w:keepNext w:val="0"/>
              <w:spacing w:after="80" w:line="240" w:lineRule="auto"/>
              <w:rPr>
                <w:sz w:val="18"/>
                <w:szCs w:val="18"/>
              </w:rPr>
            </w:pPr>
            <w:r w:rsidRPr="009D4C17">
              <w:rPr>
                <w:sz w:val="18"/>
                <w:szCs w:val="18"/>
              </w:rPr>
              <w:t>Fuel prices</w:t>
            </w:r>
          </w:p>
        </w:tc>
        <w:tc>
          <w:tcPr>
            <w:tcW w:w="7195" w:type="dxa"/>
          </w:tcPr>
          <w:p w:rsidR="00642220" w:rsidRPr="009D4C17" w:rsidRDefault="00642220" w:rsidP="00642220">
            <w:pPr>
              <w:pStyle w:val="BodyText"/>
              <w:keepNext w:val="0"/>
              <w:spacing w:after="80" w:line="240" w:lineRule="auto"/>
              <w:rPr>
                <w:sz w:val="18"/>
                <w:szCs w:val="18"/>
              </w:rPr>
            </w:pPr>
            <w:r w:rsidRPr="009D4C17">
              <w:rPr>
                <w:sz w:val="18"/>
                <w:szCs w:val="18"/>
              </w:rPr>
              <w:t xml:space="preserve">US dollar prices for internationally traded crude oil, steam coal and natural gas are based on Climate Change Authority analysis of the IEA’s 2014 World Energy Outlook. </w:t>
            </w:r>
          </w:p>
        </w:tc>
      </w:tr>
    </w:tbl>
    <w:p w:rsidR="00642220" w:rsidRPr="00063D90" w:rsidRDefault="00642220" w:rsidP="00642220">
      <w:pPr>
        <w:pStyle w:val="BodyText"/>
        <w:rPr>
          <w:sz w:val="18"/>
          <w:szCs w:val="18"/>
        </w:rPr>
      </w:pPr>
      <w:r w:rsidRPr="005604B7">
        <w:rPr>
          <w:b/>
          <w:sz w:val="18"/>
          <w:szCs w:val="18"/>
        </w:rPr>
        <w:t>Source:</w:t>
      </w:r>
      <w:r>
        <w:rPr>
          <w:sz w:val="18"/>
          <w:szCs w:val="18"/>
        </w:rPr>
        <w:t xml:space="preserve"> Climate Change Authority based on </w:t>
      </w:r>
      <w:bookmarkStart w:id="826" w:name="_CTVP001fbea516c5dc84b22928ab615ef52d4b4"/>
      <w:r w:rsidR="0059109A">
        <w:rPr>
          <w:sz w:val="18"/>
          <w:szCs w:val="18"/>
        </w:rPr>
        <w:t>Adams 2016</w:t>
      </w:r>
      <w:bookmarkEnd w:id="826"/>
      <w:r>
        <w:rPr>
          <w:sz w:val="18"/>
          <w:szCs w:val="18"/>
        </w:rPr>
        <w:t>.</w:t>
      </w:r>
    </w:p>
    <w:p w:rsidR="00642220" w:rsidRPr="0058193B" w:rsidRDefault="00642220" w:rsidP="00642220">
      <w:pPr>
        <w:pStyle w:val="AppendixHeading3"/>
        <w:rPr>
          <w:lang w:val="en-GB"/>
        </w:rPr>
      </w:pPr>
      <w:bookmarkStart w:id="827" w:name="_Toc460318028"/>
      <w:r>
        <w:rPr>
          <w:lang w:val="en-GB"/>
        </w:rPr>
        <w:t>Electricity modelling inputs to economy-wide modelling</w:t>
      </w:r>
      <w:bookmarkEnd w:id="827"/>
    </w:p>
    <w:p w:rsidR="00642220" w:rsidRDefault="00642220" w:rsidP="00642220">
      <w:pPr>
        <w:pStyle w:val="BodyText"/>
      </w:pPr>
      <w:r>
        <w:t xml:space="preserve">Retail electricity prices are a key output of Jacobs’ electricity sector modelling. An important difference between the emissions intensity scenario and the two cap and trade scenarios is that the former has lower wholesale and retail electricity prices. This is because the allocation of permits to electricity generators effectively subsidises their output, lowering wholesale and retail electricity prices. This </w:t>
      </w:r>
      <w:r>
        <w:lastRenderedPageBreak/>
        <w:t xml:space="preserve">results in changes in the level of output in a range of economic sectors; in particular sectors that use large amounts of electricity would tend to have higher output under an emissions intensity scheme than a cap and trade scheme. </w:t>
      </w:r>
    </w:p>
    <w:p w:rsidR="00642220" w:rsidRDefault="00642220" w:rsidP="00E17A48">
      <w:pPr>
        <w:pStyle w:val="BodyText"/>
        <w:keepNext/>
        <w:keepLines/>
      </w:pPr>
      <w:r>
        <w:t>Jacobs’ electricity modelling produces three retail electricity price series for three different types of energy users:</w:t>
      </w:r>
    </w:p>
    <w:p w:rsidR="00642220" w:rsidRDefault="00642220" w:rsidP="00E17A48">
      <w:pPr>
        <w:pStyle w:val="ListBullet"/>
        <w:keepNext/>
        <w:keepLines/>
      </w:pPr>
      <w:r>
        <w:t>residential</w:t>
      </w:r>
    </w:p>
    <w:p w:rsidR="00642220" w:rsidRDefault="00642220" w:rsidP="00E17A48">
      <w:pPr>
        <w:pStyle w:val="ListBullet"/>
        <w:keepNext/>
        <w:keepLines/>
      </w:pPr>
      <w:r>
        <w:t>small and medium enterprises (SME) and</w:t>
      </w:r>
    </w:p>
    <w:p w:rsidR="00642220" w:rsidRDefault="00642220" w:rsidP="00E17A48">
      <w:pPr>
        <w:pStyle w:val="ListBullet"/>
        <w:keepNext/>
        <w:keepLines/>
      </w:pPr>
      <w:proofErr w:type="gramStart"/>
      <w:r>
        <w:t>industrial</w:t>
      </w:r>
      <w:proofErr w:type="gramEnd"/>
      <w:r>
        <w:t xml:space="preserve">. </w:t>
      </w:r>
    </w:p>
    <w:p w:rsidR="00642220" w:rsidRDefault="00642220" w:rsidP="00642220">
      <w:pPr>
        <w:pStyle w:val="BodyText"/>
      </w:pPr>
      <w:r>
        <w:t>Jacobs produced price series for each user type in each region.</w:t>
      </w:r>
      <w:r>
        <w:rPr>
          <w:rStyle w:val="FootnoteReference"/>
        </w:rPr>
        <w:footnoteReference w:id="22"/>
      </w:r>
      <w:r>
        <w:t xml:space="preserve"> Victoria University matched these price series to the different industry sectors in each region within VURM, as outlined in its report. </w:t>
      </w:r>
      <w:r w:rsidR="00CA762C">
        <w:t xml:space="preserve">Figure </w:t>
      </w:r>
      <w:r w:rsidR="00CA762C">
        <w:rPr>
          <w:noProof/>
        </w:rPr>
        <w:t>33</w:t>
      </w:r>
      <w:r>
        <w:t xml:space="preserve"> shows average residential electricity prices for each scenario; electricity prices for SME and industrial users are detailed in Jacobs’ modelling report. </w:t>
      </w:r>
    </w:p>
    <w:p w:rsidR="00642220" w:rsidRDefault="00642220" w:rsidP="00642220">
      <w:pPr>
        <w:pStyle w:val="Caption"/>
      </w:pPr>
      <w:bookmarkStart w:id="828" w:name="_Ref447284895"/>
      <w:bookmarkStart w:id="829" w:name="_Toc447641402"/>
      <w:bookmarkStart w:id="830" w:name="_Toc460318064"/>
      <w:r>
        <w:t xml:space="preserve">Figure </w:t>
      </w:r>
      <w:r w:rsidR="00CA762C">
        <w:rPr>
          <w:noProof/>
        </w:rPr>
        <w:t>33</w:t>
      </w:r>
      <w:bookmarkEnd w:id="828"/>
      <w:r w:rsidR="00A6425D">
        <w:tab/>
      </w:r>
      <w:r>
        <w:t>Average residential electricity prices by scenario, economy-wide modelling, 2020–2050</w:t>
      </w:r>
      <w:bookmarkEnd w:id="829"/>
      <w:bookmarkEnd w:id="830"/>
    </w:p>
    <w:p w:rsidR="00642220" w:rsidRDefault="0016013C" w:rsidP="00642220">
      <w:pPr>
        <w:pStyle w:val="BodyText"/>
        <w:jc w:val="center"/>
      </w:pPr>
      <w:r w:rsidRPr="0016013C">
        <w:rPr>
          <w:noProof/>
          <w:lang w:eastAsia="en-AU"/>
        </w:rPr>
        <w:drawing>
          <wp:inline distT="0" distB="0" distL="0" distR="0" wp14:anchorId="415FE525" wp14:editId="16E69D67">
            <wp:extent cx="5219700" cy="3438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9700" cy="3438525"/>
                    </a:xfrm>
                    <a:prstGeom prst="rect">
                      <a:avLst/>
                    </a:prstGeom>
                    <a:noFill/>
                    <a:ln>
                      <a:noFill/>
                    </a:ln>
                  </pic:spPr>
                </pic:pic>
              </a:graphicData>
            </a:graphic>
          </wp:inline>
        </w:drawing>
      </w:r>
    </w:p>
    <w:p w:rsidR="00642220" w:rsidRDefault="00642220" w:rsidP="00642220">
      <w:pPr>
        <w:pStyle w:val="TableNote"/>
      </w:pPr>
      <w:r>
        <w:rPr>
          <w:b/>
        </w:rPr>
        <w:t xml:space="preserve">Note: </w:t>
      </w:r>
      <w:r>
        <w:t xml:space="preserve">Prices are a load-weighted average of prices in the NEM and WEM. </w:t>
      </w:r>
      <w:r>
        <w:rPr>
          <w:b/>
        </w:rPr>
        <w:br/>
      </w:r>
      <w:r w:rsidRPr="005524A3">
        <w:rPr>
          <w:b/>
        </w:rPr>
        <w:t>Source:</w:t>
      </w:r>
      <w:r w:rsidR="00C1208D">
        <w:rPr>
          <w:b/>
        </w:rPr>
        <w:t xml:space="preserve"> </w:t>
      </w:r>
      <w:bookmarkStart w:id="831" w:name="_CTVP00131bd77049531401eabfe09a8292a0339"/>
      <w:r w:rsidR="0059109A">
        <w:t>Jacobs 2016d</w:t>
      </w:r>
      <w:bookmarkEnd w:id="831"/>
      <w:r>
        <w:t>.</w:t>
      </w:r>
    </w:p>
    <w:p w:rsidR="00642220" w:rsidRDefault="00642220" w:rsidP="00642220">
      <w:pPr>
        <w:pStyle w:val="BodyText"/>
      </w:pPr>
      <w:r>
        <w:t xml:space="preserve">Jacobs also modelled a range of details about how the share of different generation technologies changes in response to emissions reduction policies. Differences in the generation technology share flow through to a range of impacts in VURM, such as investment, employment and profits for different generation types in different regions. </w:t>
      </w:r>
      <w:r w:rsidR="00CA762C">
        <w:t xml:space="preserve">Table </w:t>
      </w:r>
      <w:r w:rsidR="00CA762C">
        <w:rPr>
          <w:noProof/>
        </w:rPr>
        <w:t>11</w:t>
      </w:r>
      <w:r>
        <w:t xml:space="preserve"> shows that technology shares are remarkably similar across the three scenarios. This in turn indicates that the differences between the scenarios will </w:t>
      </w:r>
      <w:r>
        <w:lastRenderedPageBreak/>
        <w:t xml:space="preserve">primarily stem from differences in electricity prices and the use of carbon revenue, rather than from differences in the composition of the electricity generation sector. </w:t>
      </w:r>
    </w:p>
    <w:p w:rsidR="00642220" w:rsidRDefault="00642220" w:rsidP="00642220">
      <w:pPr>
        <w:pStyle w:val="Caption"/>
      </w:pPr>
      <w:bookmarkStart w:id="832" w:name="_Ref447285070"/>
      <w:bookmarkStart w:id="833" w:name="_Toc447641419"/>
      <w:bookmarkStart w:id="834" w:name="_Toc460318079"/>
      <w:r>
        <w:t xml:space="preserve">Table </w:t>
      </w:r>
      <w:r w:rsidR="00CA762C">
        <w:rPr>
          <w:noProof/>
        </w:rPr>
        <w:t>11</w:t>
      </w:r>
      <w:bookmarkEnd w:id="832"/>
      <w:r w:rsidR="00A6425D">
        <w:tab/>
      </w:r>
      <w:r>
        <w:t>Share of generation by technology type</w:t>
      </w:r>
      <w:bookmarkEnd w:id="833"/>
      <w:r>
        <w:t xml:space="preserve"> by scenario, economy-wide modelling, 2030 and 2050</w:t>
      </w:r>
      <w:bookmarkEnd w:id="834"/>
    </w:p>
    <w:tbl>
      <w:tblPr>
        <w:tblStyle w:val="CCATable"/>
        <w:tblW w:w="5000" w:type="pct"/>
        <w:tblLayout w:type="fixed"/>
        <w:tblLook w:val="04A0" w:firstRow="1" w:lastRow="0" w:firstColumn="1" w:lastColumn="0" w:noHBand="0" w:noVBand="1"/>
      </w:tblPr>
      <w:tblGrid>
        <w:gridCol w:w="1809"/>
        <w:gridCol w:w="790"/>
        <w:gridCol w:w="629"/>
        <w:gridCol w:w="1275"/>
        <w:gridCol w:w="1275"/>
        <w:gridCol w:w="850"/>
        <w:gridCol w:w="714"/>
        <w:gridCol w:w="1275"/>
        <w:gridCol w:w="1238"/>
      </w:tblGrid>
      <w:tr w:rsidR="00642220" w:rsidRPr="00C1684C" w:rsidTr="00642220">
        <w:trPr>
          <w:cnfStyle w:val="100000000000" w:firstRow="1" w:lastRow="0" w:firstColumn="0" w:lastColumn="0" w:oddVBand="0" w:evenVBand="0" w:oddHBand="0" w:evenHBand="0" w:firstRowFirstColumn="0" w:firstRowLastColumn="0" w:lastRowFirstColumn="0" w:lastRowLastColumn="0"/>
          <w:trHeight w:val="300"/>
        </w:trPr>
        <w:tc>
          <w:tcPr>
            <w:tcW w:w="918" w:type="pct"/>
            <w:vMerge w:val="restart"/>
            <w:noWrap/>
            <w:hideMark/>
          </w:tcPr>
          <w:p w:rsidR="00642220" w:rsidRPr="00C1684C" w:rsidRDefault="00642220" w:rsidP="00642220">
            <w:pPr>
              <w:pStyle w:val="TableHeading"/>
              <w:spacing w:before="40" w:after="80"/>
            </w:pPr>
            <w:r>
              <w:t>Scenario</w:t>
            </w:r>
          </w:p>
        </w:tc>
        <w:tc>
          <w:tcPr>
            <w:tcW w:w="2014" w:type="pct"/>
            <w:gridSpan w:val="4"/>
            <w:noWrap/>
            <w:hideMark/>
          </w:tcPr>
          <w:p w:rsidR="00642220" w:rsidRPr="00C1684C" w:rsidRDefault="00642220" w:rsidP="00642220">
            <w:pPr>
              <w:pStyle w:val="TableHeading"/>
              <w:spacing w:before="40" w:after="80"/>
              <w:jc w:val="center"/>
            </w:pPr>
            <w:r w:rsidRPr="00C1684C">
              <w:t>2030</w:t>
            </w:r>
          </w:p>
        </w:tc>
        <w:tc>
          <w:tcPr>
            <w:tcW w:w="2068" w:type="pct"/>
            <w:gridSpan w:val="4"/>
            <w:noWrap/>
            <w:hideMark/>
          </w:tcPr>
          <w:p w:rsidR="00642220" w:rsidRPr="00C1684C" w:rsidRDefault="00642220" w:rsidP="00642220">
            <w:pPr>
              <w:pStyle w:val="TableHeading"/>
              <w:spacing w:before="40" w:after="80"/>
              <w:jc w:val="center"/>
            </w:pPr>
            <w:r w:rsidRPr="00C1684C">
              <w:t>2050</w:t>
            </w:r>
          </w:p>
        </w:tc>
      </w:tr>
      <w:tr w:rsidR="00642220" w:rsidRPr="00C1684C" w:rsidTr="00642220">
        <w:trPr>
          <w:cnfStyle w:val="000000100000" w:firstRow="0" w:lastRow="0" w:firstColumn="0" w:lastColumn="0" w:oddVBand="0" w:evenVBand="0" w:oddHBand="1" w:evenHBand="0" w:firstRowFirstColumn="0" w:firstRowLastColumn="0" w:lastRowFirstColumn="0" w:lastRowLastColumn="0"/>
          <w:trHeight w:val="300"/>
        </w:trPr>
        <w:tc>
          <w:tcPr>
            <w:tcW w:w="918" w:type="pct"/>
            <w:vMerge/>
            <w:noWrap/>
            <w:hideMark/>
          </w:tcPr>
          <w:p w:rsidR="00642220" w:rsidRPr="00C1684C" w:rsidRDefault="00642220" w:rsidP="00642220">
            <w:pPr>
              <w:pStyle w:val="TableHeading"/>
              <w:spacing w:before="40" w:after="80"/>
            </w:pPr>
          </w:p>
        </w:tc>
        <w:tc>
          <w:tcPr>
            <w:tcW w:w="401" w:type="pct"/>
            <w:shd w:val="clear" w:color="auto" w:fill="797B7E" w:themeFill="accent1"/>
            <w:noWrap/>
            <w:hideMark/>
          </w:tcPr>
          <w:p w:rsidR="00642220" w:rsidRPr="00C1684C" w:rsidRDefault="00642220" w:rsidP="00642220">
            <w:pPr>
              <w:pStyle w:val="TableHeading"/>
              <w:spacing w:before="40" w:after="80"/>
              <w:jc w:val="center"/>
            </w:pPr>
            <w:r w:rsidRPr="00C1684C">
              <w:t>Coal</w:t>
            </w:r>
          </w:p>
        </w:tc>
        <w:tc>
          <w:tcPr>
            <w:tcW w:w="319" w:type="pct"/>
            <w:shd w:val="clear" w:color="auto" w:fill="797B7E" w:themeFill="accent1"/>
            <w:noWrap/>
            <w:hideMark/>
          </w:tcPr>
          <w:p w:rsidR="00642220" w:rsidRPr="00C1684C" w:rsidRDefault="00642220" w:rsidP="00642220">
            <w:pPr>
              <w:pStyle w:val="TableHeading"/>
              <w:spacing w:before="40" w:after="80"/>
              <w:jc w:val="center"/>
            </w:pPr>
            <w:r w:rsidRPr="00C1684C">
              <w:t>Gas</w:t>
            </w:r>
          </w:p>
        </w:tc>
        <w:tc>
          <w:tcPr>
            <w:tcW w:w="647" w:type="pct"/>
            <w:shd w:val="clear" w:color="auto" w:fill="797B7E" w:themeFill="accent1"/>
            <w:noWrap/>
            <w:hideMark/>
          </w:tcPr>
          <w:p w:rsidR="00642220" w:rsidRPr="00C1684C" w:rsidRDefault="00642220" w:rsidP="00642220">
            <w:pPr>
              <w:pStyle w:val="TableHeading"/>
              <w:spacing w:before="40" w:after="80"/>
              <w:jc w:val="center"/>
            </w:pPr>
            <w:r w:rsidRPr="00C1684C">
              <w:t>Renewable</w:t>
            </w:r>
          </w:p>
        </w:tc>
        <w:tc>
          <w:tcPr>
            <w:tcW w:w="647" w:type="pct"/>
            <w:shd w:val="clear" w:color="auto" w:fill="797B7E" w:themeFill="accent1"/>
            <w:noWrap/>
            <w:hideMark/>
          </w:tcPr>
          <w:p w:rsidR="00642220" w:rsidRPr="00C1684C" w:rsidRDefault="00642220" w:rsidP="00642220">
            <w:pPr>
              <w:pStyle w:val="TableHeading"/>
              <w:spacing w:before="40" w:after="80"/>
              <w:jc w:val="center"/>
            </w:pPr>
            <w:r w:rsidRPr="00C1684C">
              <w:t>Other low emission</w:t>
            </w:r>
          </w:p>
        </w:tc>
        <w:tc>
          <w:tcPr>
            <w:tcW w:w="431" w:type="pct"/>
            <w:shd w:val="clear" w:color="auto" w:fill="797B7E" w:themeFill="accent1"/>
            <w:noWrap/>
            <w:hideMark/>
          </w:tcPr>
          <w:p w:rsidR="00642220" w:rsidRPr="00C1684C" w:rsidRDefault="00642220" w:rsidP="00642220">
            <w:pPr>
              <w:pStyle w:val="TableHeading"/>
              <w:spacing w:before="40" w:after="80"/>
              <w:jc w:val="center"/>
            </w:pPr>
            <w:r w:rsidRPr="00C1684C">
              <w:t>Coal</w:t>
            </w:r>
          </w:p>
        </w:tc>
        <w:tc>
          <w:tcPr>
            <w:tcW w:w="362" w:type="pct"/>
            <w:shd w:val="clear" w:color="auto" w:fill="797B7E" w:themeFill="accent1"/>
            <w:noWrap/>
            <w:hideMark/>
          </w:tcPr>
          <w:p w:rsidR="00642220" w:rsidRPr="00C1684C" w:rsidRDefault="00642220" w:rsidP="00642220">
            <w:pPr>
              <w:pStyle w:val="TableHeading"/>
              <w:spacing w:before="40" w:after="80"/>
              <w:jc w:val="center"/>
            </w:pPr>
            <w:r w:rsidRPr="00C1684C">
              <w:t>Gas</w:t>
            </w:r>
          </w:p>
        </w:tc>
        <w:tc>
          <w:tcPr>
            <w:tcW w:w="647" w:type="pct"/>
            <w:shd w:val="clear" w:color="auto" w:fill="797B7E" w:themeFill="accent1"/>
            <w:noWrap/>
            <w:hideMark/>
          </w:tcPr>
          <w:p w:rsidR="00642220" w:rsidRPr="00C1684C" w:rsidRDefault="00642220" w:rsidP="00642220">
            <w:pPr>
              <w:pStyle w:val="TableHeading"/>
              <w:spacing w:before="40" w:after="80"/>
              <w:jc w:val="center"/>
            </w:pPr>
            <w:r w:rsidRPr="00C1684C">
              <w:t>Renewable</w:t>
            </w:r>
          </w:p>
        </w:tc>
        <w:tc>
          <w:tcPr>
            <w:tcW w:w="628" w:type="pct"/>
            <w:shd w:val="clear" w:color="auto" w:fill="797B7E" w:themeFill="accent1"/>
            <w:noWrap/>
            <w:hideMark/>
          </w:tcPr>
          <w:p w:rsidR="00642220" w:rsidRPr="00C1684C" w:rsidRDefault="00642220" w:rsidP="00642220">
            <w:pPr>
              <w:pStyle w:val="TableHeading"/>
              <w:spacing w:before="40" w:after="80"/>
              <w:jc w:val="center"/>
            </w:pPr>
            <w:r w:rsidRPr="00C1684C">
              <w:t>Other low emission</w:t>
            </w:r>
          </w:p>
        </w:tc>
      </w:tr>
      <w:tr w:rsidR="00642220" w:rsidRPr="00C1684C" w:rsidTr="00642220">
        <w:trPr>
          <w:trHeight w:val="300"/>
        </w:trPr>
        <w:tc>
          <w:tcPr>
            <w:tcW w:w="918" w:type="pct"/>
            <w:noWrap/>
            <w:hideMark/>
          </w:tcPr>
          <w:p w:rsidR="00642220" w:rsidRPr="00C1684C" w:rsidRDefault="00642220" w:rsidP="00642220">
            <w:pPr>
              <w:pStyle w:val="TableText"/>
            </w:pPr>
            <w:r>
              <w:t>Cap and trade (lump sum)</w:t>
            </w:r>
          </w:p>
        </w:tc>
        <w:tc>
          <w:tcPr>
            <w:tcW w:w="40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4%</w:t>
            </w:r>
          </w:p>
        </w:tc>
        <w:tc>
          <w:tcPr>
            <w:tcW w:w="319"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37%</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47%</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12%</w:t>
            </w:r>
          </w:p>
        </w:tc>
        <w:tc>
          <w:tcPr>
            <w:tcW w:w="43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0%</w:t>
            </w:r>
          </w:p>
        </w:tc>
        <w:tc>
          <w:tcPr>
            <w:tcW w:w="362"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8%</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69%</w:t>
            </w:r>
          </w:p>
        </w:tc>
        <w:tc>
          <w:tcPr>
            <w:tcW w:w="628"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24%</w:t>
            </w:r>
          </w:p>
        </w:tc>
      </w:tr>
      <w:tr w:rsidR="00642220" w:rsidRPr="00C1684C" w:rsidTr="00642220">
        <w:trPr>
          <w:cnfStyle w:val="000000100000" w:firstRow="0" w:lastRow="0" w:firstColumn="0" w:lastColumn="0" w:oddVBand="0" w:evenVBand="0" w:oddHBand="1" w:evenHBand="0" w:firstRowFirstColumn="0" w:firstRowLastColumn="0" w:lastRowFirstColumn="0" w:lastRowLastColumn="0"/>
          <w:trHeight w:val="300"/>
        </w:trPr>
        <w:tc>
          <w:tcPr>
            <w:tcW w:w="918" w:type="pct"/>
            <w:noWrap/>
            <w:hideMark/>
          </w:tcPr>
          <w:p w:rsidR="00642220" w:rsidRPr="00C1684C" w:rsidRDefault="00642220" w:rsidP="00C1208D">
            <w:pPr>
              <w:pStyle w:val="TableText"/>
            </w:pPr>
            <w:r>
              <w:t>Cap and trade</w:t>
            </w:r>
            <w:r w:rsidR="00C1208D">
              <w:t xml:space="preserve"> (tax </w:t>
            </w:r>
            <w:r>
              <w:t>cuts)</w:t>
            </w:r>
          </w:p>
        </w:tc>
        <w:tc>
          <w:tcPr>
            <w:tcW w:w="40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4%</w:t>
            </w:r>
          </w:p>
        </w:tc>
        <w:tc>
          <w:tcPr>
            <w:tcW w:w="319"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38%</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46%</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13%</w:t>
            </w:r>
          </w:p>
        </w:tc>
        <w:tc>
          <w:tcPr>
            <w:tcW w:w="43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0%</w:t>
            </w:r>
          </w:p>
        </w:tc>
        <w:tc>
          <w:tcPr>
            <w:tcW w:w="362"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8%</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69%</w:t>
            </w:r>
          </w:p>
        </w:tc>
        <w:tc>
          <w:tcPr>
            <w:tcW w:w="628"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23%</w:t>
            </w:r>
          </w:p>
        </w:tc>
      </w:tr>
      <w:tr w:rsidR="00642220" w:rsidRPr="00C1684C" w:rsidTr="00642220">
        <w:trPr>
          <w:trHeight w:val="300"/>
        </w:trPr>
        <w:tc>
          <w:tcPr>
            <w:tcW w:w="918" w:type="pct"/>
            <w:noWrap/>
            <w:hideMark/>
          </w:tcPr>
          <w:p w:rsidR="00642220" w:rsidRPr="00C1684C" w:rsidRDefault="00642220" w:rsidP="00642220">
            <w:pPr>
              <w:pStyle w:val="TableText"/>
            </w:pPr>
            <w:r>
              <w:t>Emissions intensity scheme</w:t>
            </w:r>
          </w:p>
        </w:tc>
        <w:tc>
          <w:tcPr>
            <w:tcW w:w="40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3%</w:t>
            </w:r>
          </w:p>
        </w:tc>
        <w:tc>
          <w:tcPr>
            <w:tcW w:w="319"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38%</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47%</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13%</w:t>
            </w:r>
          </w:p>
        </w:tc>
        <w:tc>
          <w:tcPr>
            <w:tcW w:w="431"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0%</w:t>
            </w:r>
          </w:p>
        </w:tc>
        <w:tc>
          <w:tcPr>
            <w:tcW w:w="362"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8%</w:t>
            </w:r>
          </w:p>
        </w:tc>
        <w:tc>
          <w:tcPr>
            <w:tcW w:w="647"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68%</w:t>
            </w:r>
          </w:p>
        </w:tc>
        <w:tc>
          <w:tcPr>
            <w:tcW w:w="628" w:type="pct"/>
            <w:noWrap/>
            <w:vAlign w:val="bottom"/>
          </w:tcPr>
          <w:p w:rsidR="00642220" w:rsidRPr="00226B01" w:rsidRDefault="00642220" w:rsidP="00642220">
            <w:pPr>
              <w:pStyle w:val="TableText"/>
              <w:jc w:val="center"/>
              <w:rPr>
                <w:rFonts w:cs="Arial"/>
                <w:color w:val="000000" w:themeColor="text1"/>
                <w:szCs w:val="18"/>
              </w:rPr>
            </w:pPr>
            <w:r>
              <w:rPr>
                <w:rFonts w:cs="Arial"/>
                <w:color w:val="000000" w:themeColor="text1"/>
                <w:szCs w:val="18"/>
              </w:rPr>
              <w:t>24%</w:t>
            </w:r>
          </w:p>
        </w:tc>
      </w:tr>
    </w:tbl>
    <w:p w:rsidR="00642220" w:rsidRDefault="00642220" w:rsidP="00642220">
      <w:pPr>
        <w:pStyle w:val="TableNote"/>
      </w:pPr>
      <w:r w:rsidRPr="00226B01">
        <w:rPr>
          <w:b/>
        </w:rPr>
        <w:t>Note:</w:t>
      </w:r>
      <w:r>
        <w:t xml:space="preserve"> R</w:t>
      </w:r>
      <w:r w:rsidRPr="00C1684C">
        <w:t xml:space="preserve">ows may </w:t>
      </w:r>
      <w:r>
        <w:t>not sum</w:t>
      </w:r>
      <w:r w:rsidRPr="00C1684C">
        <w:t xml:space="preserve"> up to 100 due to rounding.</w:t>
      </w:r>
      <w:r>
        <w:t xml:space="preserve"> ‘Other low emission’ is gas CCS and nuclear (coal CCS was available but not deployed in any scenario).</w:t>
      </w:r>
      <w:r>
        <w:br/>
      </w:r>
      <w:r w:rsidRPr="00226B01">
        <w:rPr>
          <w:b/>
        </w:rPr>
        <w:t>Source:</w:t>
      </w:r>
      <w:r>
        <w:t xml:space="preserve"> </w:t>
      </w:r>
      <w:bookmarkStart w:id="835" w:name="_CTVP001e7812a9ecf964d0596e5b65eda1ab114"/>
      <w:r w:rsidR="0059109A">
        <w:t>Jacobs 2016d</w:t>
      </w:r>
      <w:bookmarkEnd w:id="835"/>
      <w:r>
        <w:t>.</w:t>
      </w:r>
    </w:p>
    <w:p w:rsidR="00642220" w:rsidRPr="0058193B" w:rsidRDefault="00642220" w:rsidP="00642220">
      <w:pPr>
        <w:pStyle w:val="AppendixHeading3"/>
        <w:rPr>
          <w:lang w:val="en-GB"/>
        </w:rPr>
      </w:pPr>
      <w:bookmarkStart w:id="836" w:name="_Toc460318029"/>
      <w:r>
        <w:rPr>
          <w:lang w:val="en-GB"/>
        </w:rPr>
        <w:t>Economy-wide modelling results</w:t>
      </w:r>
      <w:bookmarkEnd w:id="836"/>
    </w:p>
    <w:p w:rsidR="00642220" w:rsidRDefault="00642220" w:rsidP="00642220">
      <w:pPr>
        <w:pStyle w:val="ChapterHeading4"/>
        <w:numPr>
          <w:ilvl w:val="3"/>
          <w:numId w:val="15"/>
        </w:numPr>
      </w:pPr>
      <w:r>
        <w:t>Electricity demand</w:t>
      </w:r>
    </w:p>
    <w:p w:rsidR="00642220" w:rsidRDefault="00642220" w:rsidP="00642220">
      <w:pPr>
        <w:pStyle w:val="BodyText"/>
      </w:pPr>
      <w:r>
        <w:t>Electricity demand is higher in the emissions intensity scenario than the two cap and trade scenarios (</w:t>
      </w:r>
      <w:r w:rsidR="00CA762C">
        <w:t xml:space="preserve">Figure </w:t>
      </w:r>
      <w:r w:rsidR="00CA762C">
        <w:rPr>
          <w:noProof/>
        </w:rPr>
        <w:t>34</w:t>
      </w:r>
      <w:r>
        <w:t xml:space="preserve">). This is because electricity prices are lower in the emissions intensity scenario, particularly in the early years of the scheme when the emissions intensity target is higher. Electricity demand is slightly higher in the cap and trade (tax cuts) scenario than the cap and trade (lump sum) scenario because tax cuts stimulate economic activity, and therefore increase electricity demand. </w:t>
      </w:r>
      <w:r w:rsidR="00CC5622">
        <w:t>Other policies to promote energy efficiency could be put in place t</w:t>
      </w:r>
      <w:r w:rsidR="009E0E8F">
        <w:t>o realise the demand</w:t>
      </w:r>
      <w:r w:rsidR="009E0E8F">
        <w:noBreakHyphen/>
      </w:r>
      <w:r w:rsidR="00CC5622">
        <w:t xml:space="preserve">side </w:t>
      </w:r>
      <w:r w:rsidR="00D83A83">
        <w:t>emissions reductions.</w:t>
      </w:r>
    </w:p>
    <w:p w:rsidR="00642220" w:rsidRDefault="00642220" w:rsidP="00642220">
      <w:pPr>
        <w:pStyle w:val="Caption"/>
      </w:pPr>
      <w:bookmarkStart w:id="837" w:name="_Ref447550881"/>
      <w:bookmarkStart w:id="838" w:name="_Toc447641403"/>
      <w:bookmarkStart w:id="839" w:name="_Toc460318065"/>
      <w:r>
        <w:t xml:space="preserve">Figure </w:t>
      </w:r>
      <w:r w:rsidR="00CA762C">
        <w:rPr>
          <w:noProof/>
        </w:rPr>
        <w:t>34</w:t>
      </w:r>
      <w:bookmarkEnd w:id="837"/>
      <w:r w:rsidR="00A6425D">
        <w:tab/>
      </w:r>
      <w:r>
        <w:t>Change in electricity demand, economy-wide modelling, relative to cap and trade (lump sum) scenario</w:t>
      </w:r>
      <w:bookmarkEnd w:id="838"/>
      <w:r>
        <w:t>, 2020–2050</w:t>
      </w:r>
      <w:bookmarkEnd w:id="839"/>
    </w:p>
    <w:p w:rsidR="00642220" w:rsidRDefault="0016013C" w:rsidP="00642220">
      <w:pPr>
        <w:pStyle w:val="BodyText"/>
        <w:jc w:val="center"/>
      </w:pPr>
      <w:r w:rsidRPr="0016013C">
        <w:rPr>
          <w:noProof/>
          <w:lang w:eastAsia="en-AU"/>
        </w:rPr>
        <w:drawing>
          <wp:inline distT="0" distB="0" distL="0" distR="0" wp14:anchorId="28312D8B" wp14:editId="01ACFF06">
            <wp:extent cx="5200650" cy="3133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0650" cy="3133725"/>
                    </a:xfrm>
                    <a:prstGeom prst="rect">
                      <a:avLst/>
                    </a:prstGeom>
                    <a:noFill/>
                    <a:ln>
                      <a:noFill/>
                    </a:ln>
                  </pic:spPr>
                </pic:pic>
              </a:graphicData>
            </a:graphic>
          </wp:inline>
        </w:drawing>
      </w:r>
    </w:p>
    <w:p w:rsidR="00642220" w:rsidRDefault="00642220" w:rsidP="00642220">
      <w:pPr>
        <w:pStyle w:val="TableNote"/>
      </w:pPr>
      <w:r w:rsidRPr="005524A3">
        <w:rPr>
          <w:b/>
        </w:rPr>
        <w:t>Source:</w:t>
      </w:r>
      <w:r w:rsidR="00E17A48">
        <w:t xml:space="preserve"> </w:t>
      </w:r>
      <w:bookmarkStart w:id="840" w:name="_CTVP0017e6153e1a5e14299afee63475efd0277"/>
      <w:r w:rsidR="0059109A">
        <w:t>Adams 2016</w:t>
      </w:r>
      <w:bookmarkEnd w:id="840"/>
      <w:r>
        <w:t>.</w:t>
      </w:r>
    </w:p>
    <w:p w:rsidR="00642220" w:rsidRDefault="00642220" w:rsidP="00642220">
      <w:pPr>
        <w:pStyle w:val="ChapterHeading4"/>
        <w:numPr>
          <w:ilvl w:val="3"/>
          <w:numId w:val="15"/>
        </w:numPr>
      </w:pPr>
      <w:r>
        <w:lastRenderedPageBreak/>
        <w:t>Emissions</w:t>
      </w:r>
    </w:p>
    <w:p w:rsidR="00642220" w:rsidRDefault="00642220" w:rsidP="00642220">
      <w:pPr>
        <w:pStyle w:val="BodyText"/>
      </w:pPr>
      <w:r>
        <w:t>Higher electricity demand results in generally higher Australian emissions in the emissions intensity and the cap and trade (tax cuts) scenarios than in the cap and trade (lump sum) scenario (</w:t>
      </w:r>
      <w:r w:rsidR="00CA762C">
        <w:t xml:space="preserve">Figure </w:t>
      </w:r>
      <w:r w:rsidR="00CA762C">
        <w:rPr>
          <w:noProof/>
        </w:rPr>
        <w:t>35</w:t>
      </w:r>
      <w:r>
        <w:t>). Emissions grow both due to higher electricity demand and due to increased output in a range of energy and emissions-intensive sectors. Emissions under the emissions intensity scenario briefly fall below the cap and trade (lump sum) scenario as the higher electricity demand in that scenario bring</w:t>
      </w:r>
      <w:r w:rsidR="006F129B">
        <w:t>s forward investment in new low</w:t>
      </w:r>
      <w:r w:rsidR="006F129B">
        <w:noBreakHyphen/>
      </w:r>
      <w:r>
        <w:t>emissions generators, but this effect is only temporary. As is discussed above, differences in domestic emissions between scenarios are offset by changes in purchases of international permits</w:t>
      </w:r>
      <w:r w:rsidR="00BA12C7">
        <w:t xml:space="preserve"> or credits</w:t>
      </w:r>
      <w:r>
        <w:t xml:space="preserve"> to achieve a common net national emissions budget across all three scenarios. </w:t>
      </w:r>
    </w:p>
    <w:p w:rsidR="00642220" w:rsidRDefault="00642220" w:rsidP="00642220">
      <w:pPr>
        <w:pStyle w:val="ChapterHeading4"/>
        <w:numPr>
          <w:ilvl w:val="3"/>
          <w:numId w:val="15"/>
        </w:numPr>
      </w:pPr>
      <w:r>
        <w:t>Personal and company income tax rates</w:t>
      </w:r>
    </w:p>
    <w:p w:rsidR="00642220" w:rsidRDefault="00642220" w:rsidP="00642220">
      <w:pPr>
        <w:pStyle w:val="BodyText"/>
      </w:pPr>
      <w:r>
        <w:t xml:space="preserve">Personal and company income tax rates in the emissions intensity and cap and trade (lump sum) scenarios are held constant from 2020 to 2050. </w:t>
      </w:r>
      <w:r w:rsidR="00D83A83">
        <w:t>T</w:t>
      </w:r>
      <w:r>
        <w:t>he cap and trade (tax cuts) scenario uses all revenue raised by selling permits to electricity generators to apply equivalent percentage cuts to both personal and company income taxes (</w:t>
      </w:r>
      <w:r w:rsidR="00CA762C">
        <w:t xml:space="preserve">Figure </w:t>
      </w:r>
      <w:r w:rsidR="00CA762C">
        <w:rPr>
          <w:noProof/>
        </w:rPr>
        <w:t>36</w:t>
      </w:r>
      <w:r>
        <w:t>).</w:t>
      </w:r>
    </w:p>
    <w:p w:rsidR="00642220" w:rsidRDefault="00642220" w:rsidP="00642220">
      <w:pPr>
        <w:pStyle w:val="Caption"/>
      </w:pPr>
      <w:bookmarkStart w:id="841" w:name="_Ref447557379"/>
      <w:bookmarkStart w:id="842" w:name="_Toc447641404"/>
      <w:bookmarkStart w:id="843" w:name="_Toc460318066"/>
      <w:r>
        <w:t xml:space="preserve">Figure </w:t>
      </w:r>
      <w:r w:rsidR="00CA762C">
        <w:rPr>
          <w:noProof/>
        </w:rPr>
        <w:t>35</w:t>
      </w:r>
      <w:bookmarkEnd w:id="841"/>
      <w:r w:rsidR="00A6425D">
        <w:tab/>
      </w:r>
      <w:r>
        <w:t>Change in Australian domestic emissions, economy-wide modelling, relative to cap and trade (lump sum) scenario</w:t>
      </w:r>
      <w:bookmarkEnd w:id="842"/>
      <w:r>
        <w:t>,</w:t>
      </w:r>
      <w:r w:rsidRPr="00C1142F">
        <w:t xml:space="preserve"> </w:t>
      </w:r>
      <w:r>
        <w:t>2020–2050</w:t>
      </w:r>
      <w:bookmarkEnd w:id="843"/>
    </w:p>
    <w:p w:rsidR="00642220" w:rsidRDefault="00516747" w:rsidP="00642220">
      <w:pPr>
        <w:pStyle w:val="BodyText"/>
        <w:jc w:val="center"/>
      </w:pPr>
      <w:r w:rsidRPr="00516747">
        <w:rPr>
          <w:noProof/>
          <w:lang w:eastAsia="en-AU"/>
        </w:rPr>
        <w:drawing>
          <wp:inline distT="0" distB="0" distL="0" distR="0" wp14:anchorId="64C02E44" wp14:editId="3BBBE389">
            <wp:extent cx="5172075" cy="3200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2075" cy="3200400"/>
                    </a:xfrm>
                    <a:prstGeom prst="rect">
                      <a:avLst/>
                    </a:prstGeom>
                    <a:noFill/>
                    <a:ln>
                      <a:noFill/>
                    </a:ln>
                  </pic:spPr>
                </pic:pic>
              </a:graphicData>
            </a:graphic>
          </wp:inline>
        </w:drawing>
      </w:r>
    </w:p>
    <w:p w:rsidR="00642220" w:rsidRDefault="00642220" w:rsidP="00642220">
      <w:pPr>
        <w:pStyle w:val="TableNote"/>
      </w:pPr>
      <w:r>
        <w:rPr>
          <w:b/>
        </w:rPr>
        <w:t xml:space="preserve">Note: </w:t>
      </w:r>
      <w:r>
        <w:t>Net national emissions are constant between scenarios. Therefore this chart could also be interpreted as showing differences in purchases of international permits</w:t>
      </w:r>
      <w:r w:rsidR="00BA12C7">
        <w:t xml:space="preserve"> or credits</w:t>
      </w:r>
      <w:r>
        <w:t xml:space="preserve"> relative to the cap and trade (lump sum) scenario. </w:t>
      </w:r>
      <w:r>
        <w:rPr>
          <w:b/>
        </w:rPr>
        <w:br/>
      </w:r>
      <w:r w:rsidRPr="005524A3">
        <w:rPr>
          <w:b/>
        </w:rPr>
        <w:t>Source:</w:t>
      </w:r>
      <w:r>
        <w:t xml:space="preserve"> </w:t>
      </w:r>
      <w:bookmarkStart w:id="844" w:name="_CTVP001503bc229b1a7446eb1d7e4f6cbbec8a3"/>
      <w:r w:rsidR="0059109A">
        <w:t>Adams 2016</w:t>
      </w:r>
      <w:bookmarkEnd w:id="844"/>
      <w:r>
        <w:t>.</w:t>
      </w:r>
    </w:p>
    <w:p w:rsidR="00642220" w:rsidRDefault="00642220" w:rsidP="00642220">
      <w:pPr>
        <w:pStyle w:val="Caption"/>
      </w:pPr>
      <w:bookmarkStart w:id="845" w:name="_Ref447552687"/>
      <w:bookmarkStart w:id="846" w:name="_Toc447641405"/>
      <w:bookmarkStart w:id="847" w:name="_Toc460318067"/>
      <w:r>
        <w:lastRenderedPageBreak/>
        <w:t xml:space="preserve">Figure </w:t>
      </w:r>
      <w:r w:rsidR="00CA762C">
        <w:rPr>
          <w:noProof/>
        </w:rPr>
        <w:t>36</w:t>
      </w:r>
      <w:bookmarkEnd w:id="845"/>
      <w:r w:rsidR="00A6425D">
        <w:tab/>
      </w:r>
      <w:r>
        <w:t>Personal and company income tax rates</w:t>
      </w:r>
      <w:bookmarkEnd w:id="846"/>
      <w:r>
        <w:t xml:space="preserve"> by scenario, economy-wide modelling</w:t>
      </w:r>
      <w:bookmarkEnd w:id="847"/>
      <w:r>
        <w:t xml:space="preserve"> </w:t>
      </w:r>
    </w:p>
    <w:p w:rsidR="00642220" w:rsidRDefault="00642220" w:rsidP="00642220">
      <w:pPr>
        <w:pStyle w:val="BodyText"/>
        <w:keepNext/>
        <w:jc w:val="center"/>
      </w:pPr>
      <w:r w:rsidRPr="004A0977">
        <w:t xml:space="preserve"> </w:t>
      </w:r>
      <w:r w:rsidR="00516747" w:rsidRPr="00516747">
        <w:rPr>
          <w:noProof/>
          <w:lang w:eastAsia="en-AU"/>
        </w:rPr>
        <w:drawing>
          <wp:inline distT="0" distB="0" distL="0" distR="0" wp14:anchorId="3214E0C7" wp14:editId="65FFFC3F">
            <wp:extent cx="5019675" cy="3219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9675" cy="3219450"/>
                    </a:xfrm>
                    <a:prstGeom prst="rect">
                      <a:avLst/>
                    </a:prstGeom>
                    <a:noFill/>
                    <a:ln>
                      <a:noFill/>
                    </a:ln>
                  </pic:spPr>
                </pic:pic>
              </a:graphicData>
            </a:graphic>
          </wp:inline>
        </w:drawing>
      </w:r>
    </w:p>
    <w:p w:rsidR="00642220" w:rsidRDefault="00642220" w:rsidP="00642220">
      <w:pPr>
        <w:pStyle w:val="TableNote"/>
      </w:pPr>
      <w:r>
        <w:rPr>
          <w:b/>
        </w:rPr>
        <w:t xml:space="preserve">Note: </w:t>
      </w:r>
      <w:r>
        <w:t xml:space="preserve">Personal income tax is represented in the modelling as a single flat rate, as shown, rather than as a tiered system as occurs in practice. The company tax rates shown are effective rates on the total capital base, and differs from the statutory company tax rate due to differences between the taxable and the actual capital base (for example, due to depreciation or other deductions). </w:t>
      </w:r>
      <w:r>
        <w:br/>
      </w:r>
      <w:r w:rsidRPr="005524A3">
        <w:rPr>
          <w:b/>
        </w:rPr>
        <w:t>Source:</w:t>
      </w:r>
      <w:r>
        <w:t xml:space="preserve"> </w:t>
      </w:r>
      <w:bookmarkStart w:id="848" w:name="_CTVP001459525e6b1944b10b7476d0bd8951b9d"/>
      <w:r w:rsidR="0059109A">
        <w:t>Adams 2016</w:t>
      </w:r>
      <w:bookmarkEnd w:id="848"/>
      <w:r>
        <w:t>.</w:t>
      </w:r>
    </w:p>
    <w:p w:rsidR="00642220" w:rsidRDefault="00642220" w:rsidP="00642220">
      <w:pPr>
        <w:pStyle w:val="ChapterHeading4"/>
        <w:numPr>
          <w:ilvl w:val="3"/>
          <w:numId w:val="15"/>
        </w:numPr>
      </w:pPr>
      <w:r>
        <w:t>Economy-wide effects</w:t>
      </w:r>
    </w:p>
    <w:p w:rsidR="00642220" w:rsidRDefault="00642220" w:rsidP="00642220">
      <w:pPr>
        <w:pStyle w:val="BodyText"/>
      </w:pPr>
      <w:r>
        <w:t>The Authority has primarily used gross national income (GNI) to assess the cost effectiveness of different policy options, as GNI is a better (albeit imperfect) measure of Australia’s economic welfare than gross domestic product (GDP). Unlike GDP, GNI excludes income accruing to foreign residents, and takes into account changes in Australians’ purchasing power due to changes in the terms of trade, and so better depicts the potential living standard of Australians.</w:t>
      </w:r>
    </w:p>
    <w:p w:rsidR="00642220" w:rsidRDefault="00CA762C" w:rsidP="00642220">
      <w:pPr>
        <w:pStyle w:val="BodyText"/>
      </w:pPr>
      <w:r>
        <w:t xml:space="preserve">Table </w:t>
      </w:r>
      <w:r>
        <w:rPr>
          <w:noProof/>
        </w:rPr>
        <w:t>12</w:t>
      </w:r>
      <w:r w:rsidR="00642220">
        <w:t xml:space="preserve"> summarises the overall cost effectiveness of three policy options modelled. These results show that:</w:t>
      </w:r>
    </w:p>
    <w:p w:rsidR="00642220" w:rsidRDefault="00642220" w:rsidP="00642220">
      <w:pPr>
        <w:pStyle w:val="ListBullet"/>
      </w:pPr>
      <w:r>
        <w:t>The relative performance of cap and trade an</w:t>
      </w:r>
      <w:r w:rsidR="00E17A48">
        <w:t>d</w:t>
      </w:r>
      <w:r>
        <w:t xml:space="preserve"> emissions intensity schemes depends on how revenue from the cap and trade scheme is recycled. A cap and trade scheme with all revenue recycled through tax cuts is likely to be </w:t>
      </w:r>
      <w:r w:rsidR="00D83A83">
        <w:t xml:space="preserve">somewhat </w:t>
      </w:r>
      <w:r>
        <w:t xml:space="preserve">more cost-effective than an emissions intensity scheme, while a cap and trade scheme with lump sum revenue recycling is likely to be the least cost-effective of the three. </w:t>
      </w:r>
    </w:p>
    <w:p w:rsidR="00642220" w:rsidRDefault="00642220" w:rsidP="00642220">
      <w:pPr>
        <w:pStyle w:val="ListBullet"/>
      </w:pPr>
      <w:r>
        <w:t xml:space="preserve">An emissions intensity scheme reduces tax interaction effects relative to a cap and trade scheme. Compared to the cap and trade (lump sum) scenario, an emissions intensity scheme can increase GNI by around 0.15 per cent </w:t>
      </w:r>
      <w:r w:rsidR="00D83A83">
        <w:t xml:space="preserve">over 2020–2050 </w:t>
      </w:r>
      <w:r>
        <w:t>by muting the impact on electricity prices</w:t>
      </w:r>
      <w:r w:rsidR="00C10CAE">
        <w:t xml:space="preserve"> relative to a cap and trade scheme</w:t>
      </w:r>
      <w:r>
        <w:t>, which in turn stimulates investment and activity in a range of electricity</w:t>
      </w:r>
      <w:r w:rsidR="005D0C0E">
        <w:noBreakHyphen/>
      </w:r>
      <w:r>
        <w:t xml:space="preserve">using sectors. </w:t>
      </w:r>
    </w:p>
    <w:p w:rsidR="00642220" w:rsidRDefault="00642220" w:rsidP="00E17A48">
      <w:pPr>
        <w:pStyle w:val="ListBullet"/>
        <w:keepLines/>
        <w:ind w:left="357" w:hanging="357"/>
      </w:pPr>
      <w:r>
        <w:lastRenderedPageBreak/>
        <w:t xml:space="preserve">Recycling revenue through tax cuts delivers benefits, as is illustrated by comparing the two cap and trade scenarios. Recycling revenue through tax cuts can increase GNI by around 0.33 per cent </w:t>
      </w:r>
      <w:r w:rsidR="00D83A83">
        <w:t xml:space="preserve">over 2020–2050 </w:t>
      </w:r>
      <w:r>
        <w:t xml:space="preserve">relative to doing so through lump sum payments. This occurs because tax cuts can increase economic output by increasing investment and employment, whereas lump sum payments do not. </w:t>
      </w:r>
    </w:p>
    <w:p w:rsidR="00642220" w:rsidRDefault="00642220" w:rsidP="00642220">
      <w:pPr>
        <w:pStyle w:val="ListBullet"/>
      </w:pPr>
      <w:r>
        <w:t xml:space="preserve">While large in absolute terms, the differences between the scenarios are small in the context of the overall economy. </w:t>
      </w:r>
    </w:p>
    <w:p w:rsidR="00642220" w:rsidRDefault="00642220" w:rsidP="00642220">
      <w:pPr>
        <w:pStyle w:val="Caption"/>
      </w:pPr>
      <w:bookmarkStart w:id="849" w:name="_Ref447553349"/>
      <w:bookmarkStart w:id="850" w:name="_Toc447641420"/>
      <w:bookmarkStart w:id="851" w:name="_Toc460318080"/>
      <w:r>
        <w:t xml:space="preserve">Table </w:t>
      </w:r>
      <w:r w:rsidR="00CA762C">
        <w:rPr>
          <w:noProof/>
        </w:rPr>
        <w:t>12</w:t>
      </w:r>
      <w:bookmarkEnd w:id="849"/>
      <w:r w:rsidR="00A6425D">
        <w:tab/>
      </w:r>
      <w:r>
        <w:t>Projections of gross national income, economy-wide modelling, relative to cap and trade (lump sum), 2020–2050</w:t>
      </w:r>
      <w:bookmarkEnd w:id="850"/>
      <w:bookmarkEnd w:id="851"/>
    </w:p>
    <w:tbl>
      <w:tblPr>
        <w:tblStyle w:val="CCATable"/>
        <w:tblW w:w="0" w:type="auto"/>
        <w:tblLook w:val="04A0" w:firstRow="1" w:lastRow="0" w:firstColumn="1" w:lastColumn="0" w:noHBand="0" w:noVBand="1"/>
      </w:tblPr>
      <w:tblGrid>
        <w:gridCol w:w="2943"/>
        <w:gridCol w:w="709"/>
        <w:gridCol w:w="1418"/>
        <w:gridCol w:w="1417"/>
        <w:gridCol w:w="1701"/>
        <w:gridCol w:w="1667"/>
      </w:tblGrid>
      <w:tr w:rsidR="00642220" w:rsidTr="00642220">
        <w:trPr>
          <w:cnfStyle w:val="100000000000" w:firstRow="1" w:lastRow="0" w:firstColumn="0" w:lastColumn="0" w:oddVBand="0" w:evenVBand="0" w:oddHBand="0" w:evenHBand="0" w:firstRowFirstColumn="0" w:firstRowLastColumn="0" w:lastRowFirstColumn="0" w:lastRowLastColumn="0"/>
        </w:trPr>
        <w:tc>
          <w:tcPr>
            <w:tcW w:w="2943" w:type="dxa"/>
            <w:vAlign w:val="center"/>
          </w:tcPr>
          <w:p w:rsidR="00642220" w:rsidRPr="00C37C69" w:rsidRDefault="00642220" w:rsidP="00642220">
            <w:pPr>
              <w:pStyle w:val="BodyText"/>
              <w:spacing w:after="80" w:line="240" w:lineRule="auto"/>
              <w:rPr>
                <w:b/>
                <w:color w:val="FFFFFF" w:themeColor="background1"/>
                <w:sz w:val="18"/>
                <w:szCs w:val="18"/>
              </w:rPr>
            </w:pPr>
            <w:r w:rsidRPr="00C37C69">
              <w:rPr>
                <w:b/>
                <w:color w:val="FFFFFF" w:themeColor="background1"/>
                <w:sz w:val="18"/>
                <w:szCs w:val="18"/>
              </w:rPr>
              <w:t>Scenario</w:t>
            </w:r>
          </w:p>
        </w:tc>
        <w:tc>
          <w:tcPr>
            <w:tcW w:w="709" w:type="dxa"/>
            <w:vAlign w:val="center"/>
          </w:tcPr>
          <w:p w:rsidR="00642220" w:rsidRPr="00C37C69" w:rsidRDefault="00642220" w:rsidP="00642220">
            <w:pPr>
              <w:pStyle w:val="BodyText"/>
              <w:spacing w:after="80" w:line="240" w:lineRule="auto"/>
              <w:rPr>
                <w:b/>
                <w:color w:val="FFFFFF" w:themeColor="background1"/>
                <w:sz w:val="18"/>
                <w:szCs w:val="18"/>
              </w:rPr>
            </w:pPr>
            <w:r w:rsidRPr="00C37C69">
              <w:rPr>
                <w:b/>
                <w:color w:val="FFFFFF" w:themeColor="background1"/>
                <w:sz w:val="18"/>
                <w:szCs w:val="18"/>
              </w:rPr>
              <w:t>Unit</w:t>
            </w:r>
          </w:p>
        </w:tc>
        <w:tc>
          <w:tcPr>
            <w:tcW w:w="1418" w:type="dxa"/>
            <w:vAlign w:val="center"/>
          </w:tcPr>
          <w:p w:rsidR="00642220" w:rsidRPr="00C37C69" w:rsidRDefault="00642220" w:rsidP="00642220">
            <w:pPr>
              <w:pStyle w:val="BodyText"/>
              <w:spacing w:after="80" w:line="240" w:lineRule="auto"/>
              <w:jc w:val="center"/>
              <w:rPr>
                <w:b/>
                <w:color w:val="FFFFFF" w:themeColor="background1"/>
                <w:sz w:val="18"/>
                <w:szCs w:val="18"/>
              </w:rPr>
            </w:pPr>
            <w:r w:rsidRPr="00C37C69">
              <w:rPr>
                <w:b/>
                <w:color w:val="FFFFFF" w:themeColor="background1"/>
                <w:sz w:val="18"/>
                <w:szCs w:val="18"/>
              </w:rPr>
              <w:t>GNI in 2030</w:t>
            </w:r>
          </w:p>
        </w:tc>
        <w:tc>
          <w:tcPr>
            <w:tcW w:w="1417" w:type="dxa"/>
            <w:vAlign w:val="center"/>
          </w:tcPr>
          <w:p w:rsidR="00642220" w:rsidRPr="00C37C69" w:rsidRDefault="00642220" w:rsidP="00642220">
            <w:pPr>
              <w:pStyle w:val="BodyText"/>
              <w:spacing w:after="80" w:line="240" w:lineRule="auto"/>
              <w:jc w:val="center"/>
              <w:rPr>
                <w:b/>
                <w:color w:val="FFFFFF" w:themeColor="background1"/>
                <w:sz w:val="18"/>
                <w:szCs w:val="18"/>
              </w:rPr>
            </w:pPr>
            <w:r w:rsidRPr="00C37C69">
              <w:rPr>
                <w:b/>
                <w:color w:val="FFFFFF" w:themeColor="background1"/>
                <w:sz w:val="18"/>
                <w:szCs w:val="18"/>
              </w:rPr>
              <w:t>GNI in 2050</w:t>
            </w:r>
          </w:p>
        </w:tc>
        <w:tc>
          <w:tcPr>
            <w:tcW w:w="1701" w:type="dxa"/>
            <w:vAlign w:val="center"/>
          </w:tcPr>
          <w:p w:rsidR="00642220" w:rsidRPr="00C37C69" w:rsidRDefault="008B2628" w:rsidP="00642220">
            <w:pPr>
              <w:pStyle w:val="BodyText"/>
              <w:spacing w:after="80" w:line="240" w:lineRule="auto"/>
              <w:jc w:val="center"/>
              <w:rPr>
                <w:b/>
                <w:color w:val="FFFFFF" w:themeColor="background1"/>
                <w:sz w:val="18"/>
                <w:szCs w:val="18"/>
              </w:rPr>
            </w:pPr>
            <w:r>
              <w:rPr>
                <w:b/>
                <w:color w:val="FFFFFF" w:themeColor="background1"/>
                <w:sz w:val="18"/>
                <w:szCs w:val="18"/>
              </w:rPr>
              <w:t>Cumulative discounted GNI, 2020–</w:t>
            </w:r>
            <w:r w:rsidR="00642220" w:rsidRPr="00C37C69">
              <w:rPr>
                <w:b/>
                <w:color w:val="FFFFFF" w:themeColor="background1"/>
                <w:sz w:val="18"/>
                <w:szCs w:val="18"/>
              </w:rPr>
              <w:t>2030</w:t>
            </w:r>
          </w:p>
        </w:tc>
        <w:tc>
          <w:tcPr>
            <w:tcW w:w="1667" w:type="dxa"/>
            <w:vAlign w:val="center"/>
          </w:tcPr>
          <w:p w:rsidR="00642220" w:rsidRPr="00C37C69" w:rsidRDefault="008B2628" w:rsidP="00642220">
            <w:pPr>
              <w:pStyle w:val="BodyText"/>
              <w:spacing w:after="80" w:line="240" w:lineRule="auto"/>
              <w:jc w:val="center"/>
              <w:rPr>
                <w:b/>
                <w:color w:val="FFFFFF" w:themeColor="background1"/>
                <w:sz w:val="18"/>
                <w:szCs w:val="18"/>
              </w:rPr>
            </w:pPr>
            <w:r>
              <w:rPr>
                <w:b/>
                <w:color w:val="FFFFFF" w:themeColor="background1"/>
                <w:sz w:val="18"/>
                <w:szCs w:val="18"/>
              </w:rPr>
              <w:t>Cumulative discounted GNI, 2020–</w:t>
            </w:r>
            <w:r w:rsidR="00642220" w:rsidRPr="00C37C69">
              <w:rPr>
                <w:b/>
                <w:color w:val="FFFFFF" w:themeColor="background1"/>
                <w:sz w:val="18"/>
                <w:szCs w:val="18"/>
              </w:rPr>
              <w:t>2050</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42220" w:rsidRPr="00C37C69" w:rsidRDefault="00642220" w:rsidP="00642220">
            <w:pPr>
              <w:pStyle w:val="BodyText"/>
              <w:keepNext w:val="0"/>
              <w:spacing w:after="80" w:line="240" w:lineRule="auto"/>
              <w:rPr>
                <w:sz w:val="18"/>
                <w:szCs w:val="18"/>
              </w:rPr>
            </w:pPr>
            <w:r>
              <w:rPr>
                <w:sz w:val="18"/>
                <w:szCs w:val="18"/>
              </w:rPr>
              <w:t>Emissions intensity scheme, absolute change</w:t>
            </w:r>
          </w:p>
        </w:tc>
        <w:tc>
          <w:tcPr>
            <w:tcW w:w="709" w:type="dxa"/>
            <w:vAlign w:val="center"/>
          </w:tcPr>
          <w:p w:rsidR="00642220" w:rsidRPr="00C37C69" w:rsidRDefault="00642220" w:rsidP="00642220">
            <w:pPr>
              <w:pStyle w:val="BodyText"/>
              <w:keepNext w:val="0"/>
              <w:spacing w:after="80" w:line="240" w:lineRule="auto"/>
              <w:rPr>
                <w:sz w:val="18"/>
                <w:szCs w:val="18"/>
              </w:rPr>
            </w:pPr>
            <w:r w:rsidRPr="00C37C69">
              <w:rPr>
                <w:sz w:val="18"/>
                <w:szCs w:val="18"/>
              </w:rPr>
              <w:t>$</w:t>
            </w:r>
            <w:proofErr w:type="spellStart"/>
            <w:r w:rsidRPr="00C37C69">
              <w:rPr>
                <w:sz w:val="18"/>
                <w:szCs w:val="18"/>
              </w:rPr>
              <w:t>bn</w:t>
            </w:r>
            <w:proofErr w:type="spellEnd"/>
          </w:p>
        </w:tc>
        <w:tc>
          <w:tcPr>
            <w:tcW w:w="1418"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$3</w:t>
            </w:r>
          </w:p>
        </w:tc>
        <w:tc>
          <w:tcPr>
            <w:tcW w:w="141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$7</w:t>
            </w:r>
          </w:p>
        </w:tc>
        <w:tc>
          <w:tcPr>
            <w:tcW w:w="1701"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$20</w:t>
            </w:r>
          </w:p>
        </w:tc>
        <w:tc>
          <w:tcPr>
            <w:tcW w:w="166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$45</w:t>
            </w:r>
          </w:p>
        </w:tc>
      </w:tr>
      <w:tr w:rsidR="00642220" w:rsidTr="00642220">
        <w:tc>
          <w:tcPr>
            <w:tcW w:w="2943" w:type="dxa"/>
            <w:vAlign w:val="center"/>
          </w:tcPr>
          <w:p w:rsidR="00642220" w:rsidRPr="00C37C69" w:rsidRDefault="00642220" w:rsidP="00642220">
            <w:pPr>
              <w:pStyle w:val="BodyText"/>
              <w:keepNext w:val="0"/>
              <w:spacing w:after="80" w:line="240" w:lineRule="auto"/>
              <w:rPr>
                <w:sz w:val="18"/>
                <w:szCs w:val="18"/>
              </w:rPr>
            </w:pPr>
            <w:r w:rsidRPr="00C37C69">
              <w:rPr>
                <w:sz w:val="18"/>
                <w:szCs w:val="18"/>
              </w:rPr>
              <w:t>Emissions intensity scheme</w:t>
            </w:r>
            <w:r>
              <w:rPr>
                <w:sz w:val="18"/>
                <w:szCs w:val="18"/>
              </w:rPr>
              <w:t>, percentage change</w:t>
            </w:r>
          </w:p>
        </w:tc>
        <w:tc>
          <w:tcPr>
            <w:tcW w:w="709" w:type="dxa"/>
            <w:vAlign w:val="center"/>
          </w:tcPr>
          <w:p w:rsidR="00642220" w:rsidRPr="00C37C69" w:rsidRDefault="00642220" w:rsidP="00642220">
            <w:pPr>
              <w:pStyle w:val="BodyText"/>
              <w:keepNext w:val="0"/>
              <w:spacing w:after="80" w:line="240" w:lineRule="auto"/>
              <w:rPr>
                <w:sz w:val="18"/>
                <w:szCs w:val="18"/>
              </w:rPr>
            </w:pPr>
            <w:r>
              <w:rPr>
                <w:sz w:val="18"/>
                <w:szCs w:val="18"/>
              </w:rPr>
              <w:t>%</w:t>
            </w:r>
          </w:p>
        </w:tc>
        <w:tc>
          <w:tcPr>
            <w:tcW w:w="1418"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0.13%</w:t>
            </w:r>
          </w:p>
        </w:tc>
        <w:tc>
          <w:tcPr>
            <w:tcW w:w="141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0.18%</w:t>
            </w:r>
          </w:p>
        </w:tc>
        <w:tc>
          <w:tcPr>
            <w:tcW w:w="1701"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0.14%</w:t>
            </w:r>
          </w:p>
        </w:tc>
        <w:tc>
          <w:tcPr>
            <w:tcW w:w="166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0.15%</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42220" w:rsidRPr="00642220" w:rsidRDefault="00642220" w:rsidP="00642220">
            <w:pPr>
              <w:pStyle w:val="BodyText"/>
              <w:keepNext w:val="0"/>
              <w:spacing w:after="80" w:line="240" w:lineRule="auto"/>
              <w:rPr>
                <w:sz w:val="18"/>
                <w:szCs w:val="18"/>
              </w:rPr>
            </w:pPr>
            <w:r>
              <w:rPr>
                <w:sz w:val="18"/>
                <w:szCs w:val="18"/>
              </w:rPr>
              <w:t>Cap and trade (tax cuts), absolute change</w:t>
            </w:r>
          </w:p>
        </w:tc>
        <w:tc>
          <w:tcPr>
            <w:tcW w:w="709" w:type="dxa"/>
            <w:vAlign w:val="center"/>
          </w:tcPr>
          <w:p w:rsidR="00642220" w:rsidRPr="00C37C69" w:rsidRDefault="00642220" w:rsidP="00642220">
            <w:pPr>
              <w:pStyle w:val="BodyText"/>
              <w:keepNext w:val="0"/>
              <w:spacing w:after="80" w:line="240" w:lineRule="auto"/>
              <w:rPr>
                <w:sz w:val="18"/>
                <w:szCs w:val="18"/>
              </w:rPr>
            </w:pPr>
            <w:r w:rsidRPr="00C37C69">
              <w:rPr>
                <w:sz w:val="18"/>
                <w:szCs w:val="18"/>
              </w:rPr>
              <w:t>$</w:t>
            </w:r>
            <w:proofErr w:type="spellStart"/>
            <w:r w:rsidRPr="00C37C69">
              <w:rPr>
                <w:sz w:val="18"/>
                <w:szCs w:val="18"/>
              </w:rPr>
              <w:t>bn</w:t>
            </w:r>
            <w:proofErr w:type="spellEnd"/>
          </w:p>
        </w:tc>
        <w:tc>
          <w:tcPr>
            <w:tcW w:w="1418"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$5</w:t>
            </w:r>
          </w:p>
        </w:tc>
        <w:tc>
          <w:tcPr>
            <w:tcW w:w="141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$13</w:t>
            </w:r>
          </w:p>
        </w:tc>
        <w:tc>
          <w:tcPr>
            <w:tcW w:w="1701"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$51</w:t>
            </w:r>
          </w:p>
        </w:tc>
        <w:tc>
          <w:tcPr>
            <w:tcW w:w="166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$97</w:t>
            </w:r>
          </w:p>
        </w:tc>
      </w:tr>
      <w:tr w:rsidR="00642220" w:rsidTr="00642220">
        <w:tc>
          <w:tcPr>
            <w:tcW w:w="2943" w:type="dxa"/>
            <w:vAlign w:val="center"/>
          </w:tcPr>
          <w:p w:rsidR="00642220" w:rsidRPr="00642220" w:rsidRDefault="00642220" w:rsidP="00642220">
            <w:pPr>
              <w:pStyle w:val="BodyText"/>
              <w:keepNext w:val="0"/>
              <w:spacing w:after="80" w:line="240" w:lineRule="auto"/>
              <w:rPr>
                <w:sz w:val="18"/>
                <w:szCs w:val="18"/>
              </w:rPr>
            </w:pPr>
            <w:r>
              <w:rPr>
                <w:sz w:val="18"/>
                <w:szCs w:val="18"/>
              </w:rPr>
              <w:t>Cap and trade (tax cuts), percentage change</w:t>
            </w:r>
          </w:p>
        </w:tc>
        <w:tc>
          <w:tcPr>
            <w:tcW w:w="709" w:type="dxa"/>
            <w:vAlign w:val="center"/>
          </w:tcPr>
          <w:p w:rsidR="00642220" w:rsidRPr="00C37C69" w:rsidRDefault="00642220" w:rsidP="00642220">
            <w:pPr>
              <w:pStyle w:val="BodyText"/>
              <w:keepNext w:val="0"/>
              <w:spacing w:after="80" w:line="240" w:lineRule="auto"/>
              <w:rPr>
                <w:sz w:val="18"/>
                <w:szCs w:val="18"/>
              </w:rPr>
            </w:pPr>
            <w:r w:rsidRPr="00C37C69">
              <w:rPr>
                <w:sz w:val="18"/>
                <w:szCs w:val="18"/>
              </w:rPr>
              <w:t>%</w:t>
            </w:r>
          </w:p>
        </w:tc>
        <w:tc>
          <w:tcPr>
            <w:tcW w:w="1418"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0.25%</w:t>
            </w:r>
          </w:p>
        </w:tc>
        <w:tc>
          <w:tcPr>
            <w:tcW w:w="141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0.36%</w:t>
            </w:r>
          </w:p>
        </w:tc>
        <w:tc>
          <w:tcPr>
            <w:tcW w:w="1701"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0.35%</w:t>
            </w:r>
          </w:p>
        </w:tc>
        <w:tc>
          <w:tcPr>
            <w:tcW w:w="1667" w:type="dxa"/>
            <w:vAlign w:val="center"/>
          </w:tcPr>
          <w:p w:rsidR="00642220" w:rsidRPr="00C37C69" w:rsidRDefault="00642220" w:rsidP="00642220">
            <w:pPr>
              <w:pStyle w:val="BodyText"/>
              <w:keepNext w:val="0"/>
              <w:spacing w:after="80" w:line="240" w:lineRule="auto"/>
              <w:jc w:val="center"/>
              <w:rPr>
                <w:sz w:val="18"/>
                <w:szCs w:val="18"/>
              </w:rPr>
            </w:pPr>
            <w:r w:rsidRPr="00C37C69">
              <w:rPr>
                <w:sz w:val="18"/>
                <w:szCs w:val="18"/>
              </w:rPr>
              <w:t>0.33%</w:t>
            </w:r>
          </w:p>
        </w:tc>
      </w:tr>
    </w:tbl>
    <w:p w:rsidR="00642220" w:rsidRDefault="00642220" w:rsidP="00642220">
      <w:pPr>
        <w:pStyle w:val="TableNote"/>
        <w:keepNext/>
      </w:pPr>
      <w:r w:rsidRPr="005524A3">
        <w:rPr>
          <w:b/>
        </w:rPr>
        <w:t>Note:</w:t>
      </w:r>
      <w:r w:rsidRPr="00E13380">
        <w:t xml:space="preserve"> </w:t>
      </w:r>
      <w:r>
        <w:t>Cumulative discounted gross national income is calculated using a seven per </w:t>
      </w:r>
      <w:r w:rsidRPr="00E13380">
        <w:t>cent discount rate.</w:t>
      </w:r>
      <w:r>
        <w:rPr>
          <w:b/>
        </w:rPr>
        <w:br/>
      </w:r>
      <w:r w:rsidRPr="005524A3">
        <w:rPr>
          <w:b/>
        </w:rPr>
        <w:t>Source:</w:t>
      </w:r>
      <w:r>
        <w:t xml:space="preserve"> Climate Change Authority</w:t>
      </w:r>
      <w:r w:rsidRPr="002545EC">
        <w:t xml:space="preserve"> </w:t>
      </w:r>
      <w:r>
        <w:t xml:space="preserve">based on </w:t>
      </w:r>
      <w:bookmarkStart w:id="852" w:name="_CTVP0017c4e72f2d9034f76bd88091d01fded3e"/>
      <w:r w:rsidR="0059109A">
        <w:t>Adams 2016</w:t>
      </w:r>
      <w:bookmarkEnd w:id="852"/>
      <w:r>
        <w:t xml:space="preserve"> and </w:t>
      </w:r>
      <w:bookmarkStart w:id="853" w:name="_CTVP001d0c9b9271a8846468c05f99c25fdb6a6"/>
      <w:r w:rsidR="0059109A">
        <w:t>Jacobs 2016d</w:t>
      </w:r>
      <w:bookmarkEnd w:id="853"/>
      <w:r>
        <w:t>.</w:t>
      </w:r>
    </w:p>
    <w:p w:rsidR="00642220" w:rsidRDefault="00CA762C" w:rsidP="00642220">
      <w:pPr>
        <w:pStyle w:val="BodyText"/>
      </w:pPr>
      <w:r>
        <w:t xml:space="preserve">Figure </w:t>
      </w:r>
      <w:r>
        <w:rPr>
          <w:noProof/>
        </w:rPr>
        <w:t>37</w:t>
      </w:r>
      <w:r w:rsidR="00642220">
        <w:t xml:space="preserve"> compares the three scenarios on a range of economic metrics. This figure shows that both an emissions intensity scheme and a cap and trade scheme that recycles revenue through tax cuts will increase economic output (as measured by GNI or GDP), investment, exports and employment relative to a cap and trade scheme with lump sum recycling. While using carbon revenue to cut taxes improves economic output and employment more than an emissions intensity scheme, investment outcomes are broadly similar and an emissions intensity scheme has a greater effect on exports.  </w:t>
      </w:r>
    </w:p>
    <w:p w:rsidR="005D0C0E" w:rsidRDefault="005D0C0E" w:rsidP="005D0C0E">
      <w:pPr>
        <w:pStyle w:val="BodyText"/>
      </w:pPr>
      <w:r>
        <w:t>GNI and GDP are higher under the cap and trade (tax cuts) scenario than the emissions intensity scenario. The difference in GNI results between these two scenarios is slightly larger than the difference in the GDP results. This is for two main reasons:</w:t>
      </w:r>
    </w:p>
    <w:p w:rsidR="005D0C0E" w:rsidRDefault="005D0C0E" w:rsidP="005D0C0E">
      <w:pPr>
        <w:pStyle w:val="ListBullet"/>
      </w:pPr>
      <w:r>
        <w:t xml:space="preserve">Higher domestic emissions under the emissions intensity scenario mean more international permits or credits are required to meet the same net national emissions target. These purchases are netted out of GNI but not GDP. This effect reduces GNI under the emissions intensity scenario but has a negligible effect under the cap and trade (tax cuts) scenario. </w:t>
      </w:r>
    </w:p>
    <w:p w:rsidR="005D0C0E" w:rsidRDefault="005D0C0E" w:rsidP="005D0C0E">
      <w:pPr>
        <w:pStyle w:val="ListBullet"/>
      </w:pPr>
      <w:r>
        <w:t xml:space="preserve">Australia’s terms of trade (the ratio of export to import prices) is generally slightly lower under the emissions intensity scenario than the cap and trade (tax cuts) scenario. This is because Australia exports more under the emissions intensity scenario. Australia’s increased export volume increases supply of electricity intensive goods in the international market, marginally reducing their price and therefore the terms of trade. </w:t>
      </w:r>
    </w:p>
    <w:p w:rsidR="005D0C0E" w:rsidRDefault="005D0C0E" w:rsidP="00642220">
      <w:pPr>
        <w:pStyle w:val="BodyText"/>
      </w:pPr>
    </w:p>
    <w:p w:rsidR="00642220" w:rsidRDefault="00642220" w:rsidP="00642220">
      <w:pPr>
        <w:pStyle w:val="Caption"/>
      </w:pPr>
      <w:bookmarkStart w:id="854" w:name="_Ref447553798"/>
      <w:bookmarkStart w:id="855" w:name="_Toc447641406"/>
      <w:bookmarkStart w:id="856" w:name="_Toc460318068"/>
      <w:r>
        <w:lastRenderedPageBreak/>
        <w:t xml:space="preserve">Figure </w:t>
      </w:r>
      <w:r w:rsidR="00CA762C">
        <w:rPr>
          <w:noProof/>
        </w:rPr>
        <w:t>37</w:t>
      </w:r>
      <w:bookmarkEnd w:id="854"/>
      <w:r w:rsidR="00A6425D">
        <w:tab/>
      </w:r>
      <w:r>
        <w:t>Percentage change in various economic metrics, economy-wide modelling, relative to cap and trade (lump sum) scenario</w:t>
      </w:r>
      <w:bookmarkEnd w:id="855"/>
      <w:r>
        <w:t>, 2020–2050</w:t>
      </w:r>
      <w:bookmarkEnd w:id="856"/>
    </w:p>
    <w:p w:rsidR="00642220" w:rsidRPr="00713CE4" w:rsidRDefault="00516747" w:rsidP="00642220">
      <w:pPr>
        <w:pStyle w:val="BodyText"/>
        <w:keepNext/>
        <w:jc w:val="center"/>
        <w:rPr>
          <w:lang w:val="en-GB" w:eastAsia="en-AU"/>
        </w:rPr>
      </w:pPr>
      <w:r w:rsidRPr="00516747">
        <w:rPr>
          <w:noProof/>
          <w:lang w:eastAsia="en-AU"/>
        </w:rPr>
        <w:drawing>
          <wp:inline distT="0" distB="0" distL="0" distR="0" wp14:anchorId="287CE171" wp14:editId="59E17CBF">
            <wp:extent cx="4695825" cy="3257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5825" cy="3257550"/>
                    </a:xfrm>
                    <a:prstGeom prst="rect">
                      <a:avLst/>
                    </a:prstGeom>
                    <a:noFill/>
                    <a:ln>
                      <a:noFill/>
                    </a:ln>
                  </pic:spPr>
                </pic:pic>
              </a:graphicData>
            </a:graphic>
          </wp:inline>
        </w:drawing>
      </w:r>
    </w:p>
    <w:p w:rsidR="00642220" w:rsidRDefault="00642220" w:rsidP="00642220">
      <w:pPr>
        <w:pStyle w:val="TableNote"/>
      </w:pPr>
      <w:r w:rsidRPr="005524A3">
        <w:rPr>
          <w:b/>
        </w:rPr>
        <w:t>Note:</w:t>
      </w:r>
      <w:r w:rsidRPr="00E13380">
        <w:t xml:space="preserve"> </w:t>
      </w:r>
      <w:bookmarkStart w:id="857" w:name="_GoBack"/>
      <w:r>
        <w:t>GNI, GDP, investment and exports are calculated as a present value over the period 2020 to 2050, using a seven per </w:t>
      </w:r>
      <w:r w:rsidRPr="00E13380">
        <w:t>cent discount rate</w:t>
      </w:r>
      <w:r>
        <w:t>. Employment is a cumulative undiscounted figure over the period 2020 to 2050.</w:t>
      </w:r>
      <w:bookmarkEnd w:id="857"/>
      <w:r>
        <w:rPr>
          <w:b/>
        </w:rPr>
        <w:br/>
      </w:r>
      <w:r w:rsidRPr="005524A3">
        <w:rPr>
          <w:b/>
        </w:rPr>
        <w:t>Source:</w:t>
      </w:r>
      <w:r>
        <w:t xml:space="preserve"> Climate Change Authority</w:t>
      </w:r>
      <w:r w:rsidRPr="002545EC">
        <w:t xml:space="preserve"> </w:t>
      </w:r>
      <w:r>
        <w:t xml:space="preserve">based on </w:t>
      </w:r>
      <w:bookmarkStart w:id="858" w:name="_CTVP0017cc154d0abb14a9fa575160345de5284"/>
      <w:r w:rsidR="0059109A">
        <w:t>Adams 2016</w:t>
      </w:r>
      <w:bookmarkEnd w:id="858"/>
      <w:r>
        <w:t xml:space="preserve"> and </w:t>
      </w:r>
      <w:bookmarkStart w:id="859" w:name="_CTVP00184b075a86c944db7a70090c450679fb5"/>
      <w:r w:rsidR="0059109A">
        <w:t>Jacobs 2016d</w:t>
      </w:r>
      <w:bookmarkEnd w:id="859"/>
      <w:r>
        <w:t>.</w:t>
      </w:r>
    </w:p>
    <w:p w:rsidR="00642220" w:rsidRDefault="00642220" w:rsidP="00642220">
      <w:pPr>
        <w:pStyle w:val="ChapterHeading4"/>
        <w:numPr>
          <w:ilvl w:val="3"/>
          <w:numId w:val="15"/>
        </w:numPr>
      </w:pPr>
      <w:r>
        <w:t>Sectoral effects</w:t>
      </w:r>
    </w:p>
    <w:p w:rsidR="00642220" w:rsidRDefault="00642220" w:rsidP="00642220">
      <w:pPr>
        <w:pStyle w:val="BodyText"/>
      </w:pPr>
      <w:r>
        <w:t xml:space="preserve">An emissions intensity scheme and recycling cap and trade revenue through tax cuts represent two different ways of increasing economic output relative to a cap and trade scheme with lump sum recycling. An emissions intensity scheme increases economic output by reducing electricity prices, which increases production of a range of goods and services, particularly electricity-intensive goods and services. Alternatively, using carbon revenue to cut taxes on labour and capital makes it cheaper to employ these factors of production, and so stimulates economic output. </w:t>
      </w:r>
    </w:p>
    <w:p w:rsidR="00642220" w:rsidRDefault="00642220" w:rsidP="00642220">
      <w:pPr>
        <w:pStyle w:val="BodyText"/>
      </w:pPr>
      <w:r>
        <w:t>These differing approaches have different effects on sectoral output. This can be seen by comparing the change in sectoral gross value added (GVA) in each economic sector modelled in VURM under these two scenarios relative to the cap and trade (lump sum) scenario (</w:t>
      </w:r>
      <w:r w:rsidR="00CA762C">
        <w:t xml:space="preserve">Table </w:t>
      </w:r>
      <w:r w:rsidR="00CA762C">
        <w:rPr>
          <w:noProof/>
        </w:rPr>
        <w:t>13</w:t>
      </w:r>
      <w:r>
        <w:t>). This comparison illustrates that 22 out of the 70 sectors depicted contract relative to the cap and trade (lump sum) scenario in the emissions intensity scenario, compared to only four under the cap and trade (tax cuts) scenario.</w:t>
      </w:r>
      <w:r>
        <w:rPr>
          <w:rStyle w:val="FootnoteReference"/>
        </w:rPr>
        <w:footnoteReference w:id="23"/>
      </w:r>
      <w:r>
        <w:t xml:space="preserve"> This result reflects the fact that capital and labour are used in more similar proportions</w:t>
      </w:r>
      <w:r w:rsidR="00E17A48">
        <w:t xml:space="preserve"> across economic sectors than</w:t>
      </w:r>
      <w:r>
        <w:t xml:space="preserve"> electricity, and so cutting labour and company taxes gives a more evenly distributed stimulus than does reducing electricity prices. </w:t>
      </w:r>
    </w:p>
    <w:p w:rsidR="00642220" w:rsidRDefault="00642220" w:rsidP="00642220">
      <w:pPr>
        <w:pStyle w:val="Caption"/>
      </w:pPr>
      <w:bookmarkStart w:id="860" w:name="_Ref447615275"/>
      <w:bookmarkStart w:id="861" w:name="_Toc447641421"/>
      <w:bookmarkStart w:id="862" w:name="_Toc460318081"/>
      <w:r>
        <w:lastRenderedPageBreak/>
        <w:t xml:space="preserve">Table </w:t>
      </w:r>
      <w:r w:rsidR="00CA762C">
        <w:rPr>
          <w:noProof/>
        </w:rPr>
        <w:t>13</w:t>
      </w:r>
      <w:bookmarkEnd w:id="860"/>
      <w:r w:rsidR="00A6425D">
        <w:tab/>
      </w:r>
      <w:r>
        <w:t>Change in sect</w:t>
      </w:r>
      <w:r w:rsidR="001F3A35">
        <w:t>oral gross value added, economy</w:t>
      </w:r>
      <w:r w:rsidR="001F3A35">
        <w:noBreakHyphen/>
      </w:r>
      <w:r>
        <w:t>wide modelling, relative to cap and trade (lump sum) scenario</w:t>
      </w:r>
      <w:bookmarkEnd w:id="861"/>
      <w:r>
        <w:t>, 2020–2050</w:t>
      </w:r>
      <w:bookmarkEnd w:id="862"/>
    </w:p>
    <w:tbl>
      <w:tblPr>
        <w:tblStyle w:val="CCATable"/>
        <w:tblW w:w="0" w:type="auto"/>
        <w:tblLook w:val="04A0" w:firstRow="1" w:lastRow="0" w:firstColumn="1" w:lastColumn="0" w:noHBand="0" w:noVBand="1"/>
      </w:tblPr>
      <w:tblGrid>
        <w:gridCol w:w="3227"/>
        <w:gridCol w:w="2410"/>
        <w:gridCol w:w="2268"/>
        <w:gridCol w:w="1950"/>
      </w:tblGrid>
      <w:tr w:rsidR="00642220" w:rsidTr="00642220">
        <w:trPr>
          <w:cnfStyle w:val="100000000000" w:firstRow="1" w:lastRow="0" w:firstColumn="0" w:lastColumn="0" w:oddVBand="0" w:evenVBand="0" w:oddHBand="0" w:evenHBand="0" w:firstRowFirstColumn="0" w:firstRowLastColumn="0" w:lastRowFirstColumn="0" w:lastRowLastColumn="0"/>
        </w:trPr>
        <w:tc>
          <w:tcPr>
            <w:tcW w:w="3227" w:type="dxa"/>
          </w:tcPr>
          <w:p w:rsidR="00642220" w:rsidRPr="00D465BE" w:rsidRDefault="00642220" w:rsidP="00642220">
            <w:pPr>
              <w:pStyle w:val="BodyText"/>
              <w:spacing w:after="80" w:line="240" w:lineRule="auto"/>
              <w:rPr>
                <w:b/>
                <w:color w:val="FFFFFF" w:themeColor="background1"/>
                <w:sz w:val="18"/>
                <w:szCs w:val="18"/>
              </w:rPr>
            </w:pPr>
            <w:r>
              <w:rPr>
                <w:b/>
                <w:color w:val="FFFFFF" w:themeColor="background1"/>
                <w:sz w:val="18"/>
                <w:szCs w:val="18"/>
              </w:rPr>
              <w:t xml:space="preserve">VURM </w:t>
            </w:r>
            <w:r w:rsidRPr="00D465BE">
              <w:rPr>
                <w:b/>
                <w:color w:val="FFFFFF" w:themeColor="background1"/>
                <w:sz w:val="18"/>
                <w:szCs w:val="18"/>
              </w:rPr>
              <w:t>Sector</w:t>
            </w:r>
          </w:p>
        </w:tc>
        <w:tc>
          <w:tcPr>
            <w:tcW w:w="2410" w:type="dxa"/>
          </w:tcPr>
          <w:p w:rsidR="00642220" w:rsidRPr="00D465BE" w:rsidRDefault="00642220" w:rsidP="00642220">
            <w:pPr>
              <w:pStyle w:val="BodyText"/>
              <w:spacing w:after="80" w:line="240" w:lineRule="auto"/>
              <w:jc w:val="center"/>
              <w:rPr>
                <w:b/>
                <w:color w:val="FFFFFF" w:themeColor="background1"/>
                <w:sz w:val="18"/>
                <w:szCs w:val="18"/>
              </w:rPr>
            </w:pPr>
            <w:r w:rsidRPr="00D465BE">
              <w:rPr>
                <w:b/>
                <w:color w:val="FFFFFF" w:themeColor="background1"/>
                <w:sz w:val="18"/>
                <w:szCs w:val="18"/>
              </w:rPr>
              <w:t xml:space="preserve">Share of total sectoral GVA (cap and trade </w:t>
            </w:r>
            <w:r w:rsidR="00D60900">
              <w:rPr>
                <w:b/>
                <w:color w:val="FFFFFF" w:themeColor="background1"/>
                <w:sz w:val="18"/>
                <w:szCs w:val="18"/>
              </w:rPr>
              <w:t>(</w:t>
            </w:r>
            <w:r w:rsidRPr="00D465BE">
              <w:rPr>
                <w:b/>
                <w:color w:val="FFFFFF" w:themeColor="background1"/>
                <w:sz w:val="18"/>
                <w:szCs w:val="18"/>
              </w:rPr>
              <w:t>lump sum</w:t>
            </w:r>
            <w:r w:rsidR="00D60900">
              <w:rPr>
                <w:b/>
                <w:color w:val="FFFFFF" w:themeColor="background1"/>
                <w:sz w:val="18"/>
                <w:szCs w:val="18"/>
              </w:rPr>
              <w:t>)</w:t>
            </w:r>
            <w:r w:rsidRPr="00D465BE">
              <w:rPr>
                <w:b/>
                <w:color w:val="FFFFFF" w:themeColor="background1"/>
                <w:sz w:val="18"/>
                <w:szCs w:val="18"/>
              </w:rPr>
              <w:t xml:space="preserve"> scenario)</w:t>
            </w:r>
          </w:p>
        </w:tc>
        <w:tc>
          <w:tcPr>
            <w:tcW w:w="2268" w:type="dxa"/>
          </w:tcPr>
          <w:p w:rsidR="00642220" w:rsidRPr="00D465BE" w:rsidRDefault="00642220" w:rsidP="00642220">
            <w:pPr>
              <w:pStyle w:val="BodyText"/>
              <w:spacing w:after="80" w:line="240" w:lineRule="auto"/>
              <w:jc w:val="center"/>
              <w:rPr>
                <w:b/>
                <w:color w:val="FFFFFF" w:themeColor="background1"/>
                <w:sz w:val="18"/>
                <w:szCs w:val="18"/>
              </w:rPr>
            </w:pPr>
            <w:r w:rsidRPr="00D465BE">
              <w:rPr>
                <w:b/>
                <w:color w:val="FFFFFF" w:themeColor="background1"/>
                <w:sz w:val="18"/>
                <w:szCs w:val="18"/>
              </w:rPr>
              <w:t>Change in GVA – emissions intensity scenario</w:t>
            </w:r>
          </w:p>
        </w:tc>
        <w:tc>
          <w:tcPr>
            <w:tcW w:w="1950" w:type="dxa"/>
          </w:tcPr>
          <w:p w:rsidR="00642220" w:rsidRPr="00D465BE" w:rsidRDefault="00642220" w:rsidP="00642220">
            <w:pPr>
              <w:pStyle w:val="BodyText"/>
              <w:spacing w:after="80" w:line="240" w:lineRule="auto"/>
              <w:jc w:val="center"/>
              <w:rPr>
                <w:b/>
                <w:color w:val="FFFFFF" w:themeColor="background1"/>
                <w:sz w:val="18"/>
                <w:szCs w:val="18"/>
              </w:rPr>
            </w:pPr>
            <w:r w:rsidRPr="00D465BE">
              <w:rPr>
                <w:b/>
                <w:color w:val="FFFFFF" w:themeColor="background1"/>
                <w:sz w:val="18"/>
                <w:szCs w:val="18"/>
              </w:rPr>
              <w:t xml:space="preserve">Change in GVA – cap and trade </w:t>
            </w:r>
            <w:r>
              <w:rPr>
                <w:b/>
                <w:color w:val="FFFFFF" w:themeColor="background1"/>
                <w:sz w:val="18"/>
                <w:szCs w:val="18"/>
              </w:rPr>
              <w:t>(</w:t>
            </w:r>
            <w:r w:rsidRPr="00D465BE">
              <w:rPr>
                <w:b/>
                <w:color w:val="FFFFFF" w:themeColor="background1"/>
                <w:sz w:val="18"/>
                <w:szCs w:val="18"/>
              </w:rPr>
              <w:t>tax cuts</w:t>
            </w:r>
            <w:r>
              <w:rPr>
                <w:b/>
                <w:color w:val="FFFFFF" w:themeColor="background1"/>
                <w:sz w:val="18"/>
                <w:szCs w:val="18"/>
              </w:rPr>
              <w:t>)</w:t>
            </w:r>
            <w:r w:rsidRPr="00D465BE">
              <w:rPr>
                <w:b/>
                <w:color w:val="FFFFFF" w:themeColor="background1"/>
                <w:sz w:val="18"/>
                <w:szCs w:val="18"/>
              </w:rPr>
              <w:t xml:space="preserve"> scenario</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spacing w:after="40" w:line="240" w:lineRule="auto"/>
              <w:rPr>
                <w:rFonts w:cs="Arial"/>
                <w:color w:val="000000"/>
                <w:sz w:val="18"/>
                <w:szCs w:val="18"/>
              </w:rPr>
            </w:pPr>
            <w:r w:rsidRPr="00D465BE">
              <w:rPr>
                <w:rFonts w:cs="Arial"/>
                <w:color w:val="000000"/>
                <w:sz w:val="18"/>
                <w:szCs w:val="18"/>
              </w:rPr>
              <w:t xml:space="preserve">1 </w:t>
            </w:r>
            <w:proofErr w:type="spellStart"/>
            <w:r w:rsidRPr="00D465BE">
              <w:rPr>
                <w:rFonts w:cs="Arial"/>
                <w:color w:val="000000"/>
                <w:sz w:val="18"/>
                <w:szCs w:val="18"/>
              </w:rPr>
              <w:t>SheepCattle</w:t>
            </w:r>
            <w:proofErr w:type="spellEnd"/>
          </w:p>
        </w:tc>
        <w:tc>
          <w:tcPr>
            <w:tcW w:w="2410" w:type="dxa"/>
            <w:vAlign w:val="bottom"/>
          </w:tcPr>
          <w:p w:rsidR="00642220" w:rsidRPr="00D465BE" w:rsidRDefault="00642220" w:rsidP="00642220">
            <w:pPr>
              <w:spacing w:after="40" w:line="240" w:lineRule="auto"/>
              <w:jc w:val="center"/>
              <w:rPr>
                <w:rFonts w:cs="Arial"/>
                <w:color w:val="000000"/>
                <w:sz w:val="18"/>
                <w:szCs w:val="18"/>
              </w:rPr>
            </w:pPr>
            <w:r w:rsidRPr="00D465BE">
              <w:rPr>
                <w:rFonts w:cs="Arial"/>
                <w:color w:val="000000"/>
                <w:sz w:val="18"/>
                <w:szCs w:val="18"/>
              </w:rPr>
              <w:t>0.4%</w:t>
            </w:r>
          </w:p>
        </w:tc>
        <w:tc>
          <w:tcPr>
            <w:tcW w:w="2268" w:type="dxa"/>
            <w:vAlign w:val="bottom"/>
          </w:tcPr>
          <w:p w:rsidR="00642220" w:rsidRPr="00D465BE" w:rsidRDefault="00642220" w:rsidP="00642220">
            <w:pPr>
              <w:spacing w:after="40" w:line="240" w:lineRule="auto"/>
              <w:jc w:val="center"/>
              <w:rPr>
                <w:rFonts w:cs="Arial"/>
                <w:color w:val="000000"/>
                <w:sz w:val="18"/>
                <w:szCs w:val="18"/>
              </w:rPr>
            </w:pPr>
            <w:r w:rsidRPr="00D465BE">
              <w:rPr>
                <w:rFonts w:cs="Arial"/>
                <w:color w:val="000000"/>
                <w:sz w:val="18"/>
                <w:szCs w:val="18"/>
              </w:rPr>
              <w:t>0.06%</w:t>
            </w:r>
          </w:p>
        </w:tc>
        <w:tc>
          <w:tcPr>
            <w:tcW w:w="1950" w:type="dxa"/>
            <w:vAlign w:val="bottom"/>
          </w:tcPr>
          <w:p w:rsidR="00642220" w:rsidRPr="00D465BE" w:rsidRDefault="00642220" w:rsidP="00642220">
            <w:pPr>
              <w:spacing w:after="40" w:line="240" w:lineRule="auto"/>
              <w:jc w:val="center"/>
              <w:rPr>
                <w:rFonts w:cs="Arial"/>
                <w:color w:val="000000"/>
                <w:sz w:val="18"/>
                <w:szCs w:val="18"/>
              </w:rPr>
            </w:pPr>
            <w:r w:rsidRPr="00D465BE">
              <w:rPr>
                <w:rFonts w:cs="Arial"/>
                <w:color w:val="000000"/>
                <w:sz w:val="18"/>
                <w:szCs w:val="18"/>
              </w:rPr>
              <w:t>0.21%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 </w:t>
            </w:r>
            <w:proofErr w:type="spellStart"/>
            <w:r w:rsidRPr="00D465BE">
              <w:rPr>
                <w:rFonts w:cs="Arial"/>
                <w:color w:val="000000"/>
                <w:sz w:val="18"/>
                <w:szCs w:val="18"/>
              </w:rPr>
              <w:t>DairyCattle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0.21%</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 </w:t>
            </w:r>
            <w:proofErr w:type="spellStart"/>
            <w:r w:rsidRPr="00D465BE">
              <w:rPr>
                <w:rFonts w:cs="Arial"/>
                <w:color w:val="000000"/>
                <w:sz w:val="18"/>
                <w:szCs w:val="18"/>
              </w:rPr>
              <w:t>OtherAnimals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4 Crops</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-0.07%</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 </w:t>
            </w:r>
            <w:proofErr w:type="spellStart"/>
            <w:r w:rsidRPr="00D465BE">
              <w:rPr>
                <w:rFonts w:cs="Arial"/>
                <w:color w:val="000000"/>
                <w:sz w:val="18"/>
                <w:szCs w:val="18"/>
              </w:rPr>
              <w:t>OtherAg</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0.8%</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0.20%</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 </w:t>
            </w:r>
            <w:proofErr w:type="spellStart"/>
            <w:r w:rsidRPr="00D465BE">
              <w:rPr>
                <w:rFonts w:cs="Arial"/>
                <w:color w:val="000000"/>
                <w:sz w:val="18"/>
                <w:szCs w:val="18"/>
              </w:rPr>
              <w:t>FishHuntTrap</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7 </w:t>
            </w:r>
            <w:proofErr w:type="spellStart"/>
            <w:r w:rsidRPr="00D465BE">
              <w:rPr>
                <w:rFonts w:cs="Arial"/>
                <w:color w:val="000000"/>
                <w:sz w:val="18"/>
                <w:szCs w:val="18"/>
              </w:rPr>
              <w:t>ForestryLogs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0.08%</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8 </w:t>
            </w:r>
            <w:proofErr w:type="spellStart"/>
            <w:r w:rsidRPr="00D465BE">
              <w:rPr>
                <w:rFonts w:cs="Arial"/>
                <w:color w:val="000000"/>
                <w:sz w:val="18"/>
                <w:szCs w:val="18"/>
              </w:rPr>
              <w:t>AgSrv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0.04%</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0.22%</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9 Coal</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1.69%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10 Oil</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0.04%</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11 </w:t>
            </w:r>
            <w:proofErr w:type="spellStart"/>
            <w:r w:rsidRPr="00D465BE">
              <w:rPr>
                <w:rFonts w:cs="Arial"/>
                <w:color w:val="000000"/>
                <w:sz w:val="18"/>
                <w:szCs w:val="18"/>
              </w:rPr>
              <w:t>GasLNG</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12 </w:t>
            </w:r>
            <w:proofErr w:type="spellStart"/>
            <w:r w:rsidRPr="00D465BE">
              <w:rPr>
                <w:rFonts w:cs="Arial"/>
                <w:color w:val="000000"/>
                <w:sz w:val="18"/>
                <w:szCs w:val="18"/>
              </w:rPr>
              <w:t>IronOre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0.35%</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13 </w:t>
            </w:r>
            <w:proofErr w:type="spellStart"/>
            <w:r w:rsidRPr="00D465BE">
              <w:rPr>
                <w:rFonts w:cs="Arial"/>
                <w:color w:val="000000"/>
                <w:sz w:val="18"/>
                <w:szCs w:val="18"/>
              </w:rPr>
              <w:t>NonFeOres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1.8%</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1.35%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0.38%</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14 </w:t>
            </w:r>
            <w:proofErr w:type="spellStart"/>
            <w:r w:rsidRPr="00D465BE">
              <w:rPr>
                <w:rFonts w:cs="Arial"/>
                <w:color w:val="000000"/>
                <w:sz w:val="18"/>
                <w:szCs w:val="18"/>
              </w:rPr>
              <w:t>NonMetMins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15 </w:t>
            </w:r>
            <w:proofErr w:type="spellStart"/>
            <w:r w:rsidRPr="00D465BE">
              <w:rPr>
                <w:rFonts w:cs="Arial"/>
                <w:color w:val="000000"/>
                <w:sz w:val="18"/>
                <w:szCs w:val="18"/>
              </w:rPr>
              <w:t>MiningSrv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0.92%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16 </w:t>
            </w:r>
            <w:proofErr w:type="spellStart"/>
            <w:r w:rsidRPr="00D465BE">
              <w:rPr>
                <w:rFonts w:cs="Arial"/>
                <w:color w:val="000000"/>
                <w:sz w:val="18"/>
                <w:szCs w:val="18"/>
              </w:rPr>
              <w:t>MeatProds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17 </w:t>
            </w:r>
            <w:proofErr w:type="spellStart"/>
            <w:r w:rsidRPr="00D465BE">
              <w:rPr>
                <w:rFonts w:cs="Arial"/>
                <w:color w:val="000000"/>
                <w:sz w:val="18"/>
                <w:szCs w:val="18"/>
              </w:rPr>
              <w:t>DairyProds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0.08%</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0.22%</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18 </w:t>
            </w:r>
            <w:proofErr w:type="spellStart"/>
            <w:r w:rsidRPr="00D465BE">
              <w:rPr>
                <w:rFonts w:cs="Arial"/>
                <w:color w:val="000000"/>
                <w:sz w:val="18"/>
                <w:szCs w:val="18"/>
              </w:rPr>
              <w:t>OtherFood</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0.9%</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0.25%</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19 Beverages</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20 TCF</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21 </w:t>
            </w:r>
            <w:proofErr w:type="spellStart"/>
            <w:r w:rsidRPr="00D465BE">
              <w:rPr>
                <w:rFonts w:cs="Arial"/>
                <w:color w:val="000000"/>
                <w:sz w:val="18"/>
                <w:szCs w:val="18"/>
              </w:rPr>
              <w:t>WoodProds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0.37%</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0.36%</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22 </w:t>
            </w:r>
            <w:proofErr w:type="spellStart"/>
            <w:r w:rsidRPr="00D465BE">
              <w:rPr>
                <w:rFonts w:cs="Arial"/>
                <w:color w:val="000000"/>
                <w:sz w:val="18"/>
                <w:szCs w:val="18"/>
              </w:rPr>
              <w:t>PulpPaper</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0.18%</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0.30%</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23 Printing</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0.23%</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24 </w:t>
            </w:r>
            <w:proofErr w:type="spellStart"/>
            <w:r w:rsidRPr="00D465BE">
              <w:rPr>
                <w:rFonts w:cs="Arial"/>
                <w:color w:val="000000"/>
                <w:sz w:val="18"/>
                <w:szCs w:val="18"/>
              </w:rPr>
              <w:t>RefineProd</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0.04%</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25 Chemicals</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0.9%</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0.32%</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26 </w:t>
            </w:r>
            <w:proofErr w:type="spellStart"/>
            <w:r w:rsidRPr="00D465BE">
              <w:rPr>
                <w:rFonts w:cs="Arial"/>
                <w:color w:val="000000"/>
                <w:sz w:val="18"/>
                <w:szCs w:val="18"/>
              </w:rPr>
              <w:t>PlasticRub</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27 </w:t>
            </w:r>
            <w:proofErr w:type="spellStart"/>
            <w:r w:rsidRPr="00D465BE">
              <w:rPr>
                <w:rFonts w:cs="Arial"/>
                <w:color w:val="000000"/>
                <w:sz w:val="18"/>
                <w:szCs w:val="18"/>
              </w:rPr>
              <w:t>NonMetalMin</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0.35%</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28 </w:t>
            </w:r>
            <w:proofErr w:type="spellStart"/>
            <w:r w:rsidRPr="00D465BE">
              <w:rPr>
                <w:rFonts w:cs="Arial"/>
                <w:color w:val="000000"/>
                <w:sz w:val="18"/>
                <w:szCs w:val="18"/>
              </w:rPr>
              <w:t>CementLime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29 </w:t>
            </w:r>
            <w:proofErr w:type="spellStart"/>
            <w:r w:rsidRPr="00D465BE">
              <w:rPr>
                <w:rFonts w:cs="Arial"/>
                <w:color w:val="000000"/>
                <w:sz w:val="18"/>
                <w:szCs w:val="18"/>
              </w:rPr>
              <w:t>IronSteel</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30 Aluminium</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0.75%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31 </w:t>
            </w:r>
            <w:proofErr w:type="spellStart"/>
            <w:r w:rsidRPr="00D465BE">
              <w:rPr>
                <w:rFonts w:cs="Arial"/>
                <w:color w:val="000000"/>
                <w:sz w:val="18"/>
                <w:szCs w:val="18"/>
              </w:rPr>
              <w:t>OtherNonFeMt</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2.45%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32 </w:t>
            </w:r>
            <w:proofErr w:type="spellStart"/>
            <w:r w:rsidRPr="00D465BE">
              <w:rPr>
                <w:rFonts w:cs="Arial"/>
                <w:color w:val="000000"/>
                <w:sz w:val="18"/>
                <w:szCs w:val="18"/>
              </w:rPr>
              <w:t>MetalProds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0.7%</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33 </w:t>
            </w:r>
            <w:proofErr w:type="spellStart"/>
            <w:r w:rsidRPr="00D465BE">
              <w:rPr>
                <w:rFonts w:cs="Arial"/>
                <w:color w:val="000000"/>
                <w:sz w:val="18"/>
                <w:szCs w:val="18"/>
              </w:rPr>
              <w:t>MVPOtherTran</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0.77%</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0.32%</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34 </w:t>
            </w:r>
            <w:proofErr w:type="spellStart"/>
            <w:r w:rsidRPr="00D465BE">
              <w:rPr>
                <w:rFonts w:cs="Arial"/>
                <w:color w:val="000000"/>
                <w:sz w:val="18"/>
                <w:szCs w:val="18"/>
              </w:rPr>
              <w:t>OtherEquip</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0.99%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0.30%</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35 </w:t>
            </w:r>
            <w:proofErr w:type="spellStart"/>
            <w:r w:rsidRPr="00D465BE">
              <w:rPr>
                <w:rFonts w:cs="Arial"/>
                <w:color w:val="000000"/>
                <w:sz w:val="18"/>
                <w:szCs w:val="18"/>
              </w:rPr>
              <w:t>OtherMan</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1.59%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36 </w:t>
            </w:r>
            <w:proofErr w:type="spellStart"/>
            <w:r w:rsidRPr="00D465BE">
              <w:rPr>
                <w:rFonts w:cs="Arial"/>
                <w:color w:val="000000"/>
                <w:sz w:val="18"/>
                <w:szCs w:val="18"/>
              </w:rPr>
              <w:t>ElecCoal</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37 </w:t>
            </w:r>
            <w:proofErr w:type="spellStart"/>
            <w:r w:rsidRPr="00D465BE">
              <w:rPr>
                <w:rFonts w:cs="Arial"/>
                <w:color w:val="000000"/>
                <w:sz w:val="18"/>
                <w:szCs w:val="18"/>
              </w:rPr>
              <w:t>ElecGas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2.30%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0.81%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38 </w:t>
            </w:r>
            <w:proofErr w:type="spellStart"/>
            <w:r w:rsidRPr="00D465BE">
              <w:rPr>
                <w:rFonts w:cs="Arial"/>
                <w:color w:val="000000"/>
                <w:sz w:val="18"/>
                <w:szCs w:val="18"/>
              </w:rPr>
              <w:t>ElecHydro</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-0.44%</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0.18%</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39 </w:t>
            </w:r>
            <w:proofErr w:type="spellStart"/>
            <w:r w:rsidRPr="00D465BE">
              <w:rPr>
                <w:rFonts w:cs="Arial"/>
                <w:color w:val="000000"/>
                <w:sz w:val="18"/>
                <w:szCs w:val="18"/>
              </w:rPr>
              <w:t>ElecOther</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-6.03%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-0.23%</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40 </w:t>
            </w:r>
            <w:proofErr w:type="spellStart"/>
            <w:r w:rsidRPr="00D465BE">
              <w:rPr>
                <w:rFonts w:cs="Arial"/>
                <w:color w:val="000000"/>
                <w:sz w:val="18"/>
                <w:szCs w:val="18"/>
              </w:rPr>
              <w:t>ElecNuclear</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-17.60%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-1.27%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41 </w:t>
            </w:r>
            <w:proofErr w:type="spellStart"/>
            <w:r w:rsidRPr="00D465BE">
              <w:rPr>
                <w:rFonts w:cs="Arial"/>
                <w:color w:val="000000"/>
                <w:sz w:val="18"/>
                <w:szCs w:val="18"/>
              </w:rPr>
              <w:t>ElecSupply</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2.56%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42 </w:t>
            </w:r>
            <w:proofErr w:type="spellStart"/>
            <w:r w:rsidRPr="00D465BE">
              <w:rPr>
                <w:rFonts w:cs="Arial"/>
                <w:color w:val="000000"/>
                <w:sz w:val="18"/>
                <w:szCs w:val="18"/>
              </w:rPr>
              <w:t>GasSupply</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43 </w:t>
            </w:r>
            <w:proofErr w:type="spellStart"/>
            <w:r w:rsidRPr="00D465BE">
              <w:rPr>
                <w:rFonts w:cs="Arial"/>
                <w:color w:val="000000"/>
                <w:sz w:val="18"/>
                <w:szCs w:val="18"/>
              </w:rPr>
              <w:t>WaterDrains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lastRenderedPageBreak/>
              <w:t xml:space="preserve">44 </w:t>
            </w:r>
            <w:proofErr w:type="spellStart"/>
            <w:r w:rsidRPr="00D465BE">
              <w:rPr>
                <w:rFonts w:cs="Arial"/>
                <w:color w:val="000000"/>
                <w:sz w:val="18"/>
                <w:szCs w:val="18"/>
              </w:rPr>
              <w:t>ResidCons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0.53%</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45 </w:t>
            </w:r>
            <w:proofErr w:type="spellStart"/>
            <w:r w:rsidRPr="00D465BE">
              <w:rPr>
                <w:rFonts w:cs="Arial"/>
                <w:color w:val="000000"/>
                <w:sz w:val="18"/>
                <w:szCs w:val="18"/>
              </w:rPr>
              <w:t>NonResidCons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0.65%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46 </w:t>
            </w:r>
            <w:proofErr w:type="spellStart"/>
            <w:r w:rsidRPr="00D465BE">
              <w:rPr>
                <w:rFonts w:cs="Arial"/>
                <w:color w:val="000000"/>
                <w:sz w:val="18"/>
                <w:szCs w:val="18"/>
              </w:rPr>
              <w:t>ConsSrv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3.1%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0.14%</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0.31%</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47 </w:t>
            </w:r>
            <w:proofErr w:type="spellStart"/>
            <w:r w:rsidRPr="00D465BE">
              <w:rPr>
                <w:rFonts w:cs="Arial"/>
                <w:color w:val="000000"/>
                <w:sz w:val="18"/>
                <w:szCs w:val="18"/>
              </w:rPr>
              <w:t>WholeTrade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5.5%</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0.18%</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0.28%</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48 </w:t>
            </w:r>
            <w:proofErr w:type="spellStart"/>
            <w:r w:rsidRPr="00D465BE">
              <w:rPr>
                <w:rFonts w:cs="Arial"/>
                <w:color w:val="000000"/>
                <w:sz w:val="18"/>
                <w:szCs w:val="18"/>
              </w:rPr>
              <w:t>RetailTrade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3.6%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0.25%</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49 </w:t>
            </w:r>
            <w:proofErr w:type="spellStart"/>
            <w:r w:rsidRPr="00D465BE">
              <w:rPr>
                <w:rFonts w:cs="Arial"/>
                <w:color w:val="000000"/>
                <w:sz w:val="18"/>
                <w:szCs w:val="18"/>
              </w:rPr>
              <w:t>AccomFood</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-0.13%</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0.40%</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50 </w:t>
            </w:r>
            <w:proofErr w:type="spellStart"/>
            <w:r w:rsidRPr="00D465BE">
              <w:rPr>
                <w:rFonts w:cs="Arial"/>
                <w:color w:val="000000"/>
                <w:sz w:val="18"/>
                <w:szCs w:val="18"/>
              </w:rPr>
              <w:t>RoadFreight</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0.25%</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51 </w:t>
            </w:r>
            <w:proofErr w:type="spellStart"/>
            <w:r w:rsidRPr="00D465BE">
              <w:rPr>
                <w:rFonts w:cs="Arial"/>
                <w:color w:val="000000"/>
                <w:sz w:val="18"/>
                <w:szCs w:val="18"/>
              </w:rPr>
              <w:t>RoadPass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52 </w:t>
            </w:r>
            <w:proofErr w:type="spellStart"/>
            <w:r w:rsidRPr="00D465BE">
              <w:rPr>
                <w:rFonts w:cs="Arial"/>
                <w:color w:val="000000"/>
                <w:sz w:val="18"/>
                <w:szCs w:val="18"/>
              </w:rPr>
              <w:t>RailFreight</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0.72%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0.30%</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53 </w:t>
            </w:r>
            <w:proofErr w:type="spellStart"/>
            <w:r w:rsidRPr="00D465BE">
              <w:rPr>
                <w:rFonts w:cs="Arial"/>
                <w:color w:val="000000"/>
                <w:sz w:val="18"/>
                <w:szCs w:val="18"/>
              </w:rPr>
              <w:t>RailPass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0.00%</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54 Pipeline</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55 </w:t>
            </w:r>
            <w:proofErr w:type="spellStart"/>
            <w:r w:rsidRPr="00D465BE">
              <w:rPr>
                <w:rFonts w:cs="Arial"/>
                <w:color w:val="000000"/>
                <w:sz w:val="18"/>
                <w:szCs w:val="18"/>
              </w:rPr>
              <w:t>WaterTrans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0.52%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0.22%</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56 </w:t>
            </w:r>
            <w:proofErr w:type="spellStart"/>
            <w:r w:rsidRPr="00D465BE">
              <w:rPr>
                <w:rFonts w:cs="Arial"/>
                <w:color w:val="000000"/>
                <w:sz w:val="18"/>
                <w:szCs w:val="18"/>
              </w:rPr>
              <w:t>AirTrans</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3.0%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0.08%</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0.24%</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57 </w:t>
            </w:r>
            <w:proofErr w:type="spellStart"/>
            <w:r w:rsidRPr="00D465BE">
              <w:rPr>
                <w:rFonts w:cs="Arial"/>
                <w:color w:val="000000"/>
                <w:sz w:val="18"/>
                <w:szCs w:val="18"/>
              </w:rPr>
              <w:t>Commun</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3.4%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58 Banking</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5.4%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0.37%</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59 Finance</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4.1%</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60 Dwellings</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8.6%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0.38%</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61 </w:t>
            </w:r>
            <w:proofErr w:type="spellStart"/>
            <w:r w:rsidRPr="00D465BE">
              <w:rPr>
                <w:rFonts w:cs="Arial"/>
                <w:color w:val="000000"/>
                <w:sz w:val="18"/>
                <w:szCs w:val="18"/>
              </w:rPr>
              <w:t>BusinessSrv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14.6%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0.05%</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62 </w:t>
            </w:r>
            <w:proofErr w:type="spellStart"/>
            <w:r w:rsidRPr="00D465BE">
              <w:rPr>
                <w:rFonts w:cs="Arial"/>
                <w:color w:val="000000"/>
                <w:sz w:val="18"/>
                <w:szCs w:val="18"/>
              </w:rPr>
              <w:t>PubAdminReg</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4.4%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-0.04%</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63 Defence</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0.8%</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64 Education</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5.0%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65 </w:t>
            </w:r>
            <w:proofErr w:type="spellStart"/>
            <w:r w:rsidRPr="00D465BE">
              <w:rPr>
                <w:rFonts w:cs="Arial"/>
                <w:color w:val="000000"/>
                <w:sz w:val="18"/>
                <w:szCs w:val="18"/>
              </w:rPr>
              <w:t>HealthSrv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3.9%</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-0.12%</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0.07%</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66 </w:t>
            </w:r>
            <w:proofErr w:type="spellStart"/>
            <w:r w:rsidRPr="00D465BE">
              <w:rPr>
                <w:rFonts w:cs="Arial"/>
                <w:color w:val="000000"/>
                <w:sz w:val="18"/>
                <w:szCs w:val="18"/>
              </w:rPr>
              <w:t>ResidCare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2.6%</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-0.16%</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67 </w:t>
            </w:r>
            <w:proofErr w:type="spellStart"/>
            <w:r w:rsidRPr="00D465BE">
              <w:rPr>
                <w:rFonts w:cs="Arial"/>
                <w:color w:val="000000"/>
                <w:sz w:val="18"/>
                <w:szCs w:val="18"/>
              </w:rPr>
              <w:t>ArtsRecreate</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1.4%</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-0.17%</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0.32%</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68 Repairs</w:t>
            </w:r>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1.7%</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0.24%</w:t>
            </w:r>
          </w:p>
        </w:tc>
      </w:tr>
      <w:tr w:rsidR="00642220" w:rsidTr="00642220">
        <w:trPr>
          <w:cnfStyle w:val="000000100000" w:firstRow="0" w:lastRow="0" w:firstColumn="0" w:lastColumn="0" w:oddVBand="0" w:evenVBand="0" w:oddHBand="1" w:evenHBand="0" w:firstRowFirstColumn="0" w:firstRowLastColumn="0" w:lastRowFirstColumn="0" w:lastRowLastColumn="0"/>
        </w:trPr>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69 </w:t>
            </w:r>
            <w:proofErr w:type="spellStart"/>
            <w:r w:rsidRPr="00D465BE">
              <w:rPr>
                <w:rFonts w:cs="Arial"/>
                <w:color w:val="000000"/>
                <w:sz w:val="18"/>
                <w:szCs w:val="18"/>
              </w:rPr>
              <w:t>OtherSrv</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1.3%</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-0.29%</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0.41%</w:t>
            </w:r>
          </w:p>
        </w:tc>
      </w:tr>
      <w:tr w:rsidR="00642220" w:rsidTr="00642220">
        <w:tc>
          <w:tcPr>
            <w:tcW w:w="3227" w:type="dxa"/>
            <w:vAlign w:val="bottom"/>
          </w:tcPr>
          <w:p w:rsidR="00642220" w:rsidRPr="00D465BE" w:rsidRDefault="00642220" w:rsidP="00642220">
            <w:pPr>
              <w:keepNext w:val="0"/>
              <w:spacing w:after="40" w:line="240" w:lineRule="auto"/>
              <w:rPr>
                <w:rFonts w:cs="Arial"/>
                <w:color w:val="000000"/>
                <w:sz w:val="18"/>
                <w:szCs w:val="18"/>
              </w:rPr>
            </w:pPr>
            <w:r w:rsidRPr="00D465BE">
              <w:rPr>
                <w:rFonts w:cs="Arial"/>
                <w:color w:val="000000"/>
                <w:sz w:val="18"/>
                <w:szCs w:val="18"/>
              </w:rPr>
              <w:t xml:space="preserve">70 </w:t>
            </w:r>
            <w:proofErr w:type="spellStart"/>
            <w:r w:rsidRPr="00D465BE">
              <w:rPr>
                <w:rFonts w:cs="Arial"/>
                <w:color w:val="000000"/>
                <w:sz w:val="18"/>
                <w:szCs w:val="18"/>
              </w:rPr>
              <w:t>UranMining</w:t>
            </w:r>
            <w:proofErr w:type="spellEnd"/>
          </w:p>
        </w:tc>
        <w:tc>
          <w:tcPr>
            <w:tcW w:w="241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0.0%</w:t>
            </w:r>
          </w:p>
        </w:tc>
        <w:tc>
          <w:tcPr>
            <w:tcW w:w="2268"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-0.11%</w:t>
            </w:r>
          </w:p>
        </w:tc>
        <w:tc>
          <w:tcPr>
            <w:tcW w:w="1950" w:type="dxa"/>
            <w:vAlign w:val="bottom"/>
          </w:tcPr>
          <w:p w:rsidR="00642220" w:rsidRPr="00D465BE" w:rsidRDefault="00642220" w:rsidP="00642220">
            <w:pPr>
              <w:keepNext w:val="0"/>
              <w:spacing w:after="40" w:line="240" w:lineRule="auto"/>
              <w:jc w:val="center"/>
              <w:rPr>
                <w:rFonts w:cs="Arial"/>
                <w:color w:val="000000"/>
                <w:sz w:val="18"/>
                <w:szCs w:val="18"/>
              </w:rPr>
            </w:pPr>
            <w:r w:rsidRPr="00D465BE">
              <w:rPr>
                <w:rFonts w:cs="Arial"/>
                <w:color w:val="000000"/>
                <w:sz w:val="18"/>
                <w:szCs w:val="18"/>
              </w:rPr>
              <w:t>0.37%</w:t>
            </w:r>
          </w:p>
        </w:tc>
      </w:tr>
    </w:tbl>
    <w:p w:rsidR="003E33D2" w:rsidRPr="009624A9" w:rsidRDefault="00642220" w:rsidP="009624A9">
      <w:pPr>
        <w:pStyle w:val="TableNote"/>
        <w:sectPr w:rsidR="003E33D2" w:rsidRPr="009624A9" w:rsidSect="007B50DF">
          <w:footerReference w:type="default" r:id="rId71"/>
          <w:pgSz w:w="11907" w:h="16839" w:code="9"/>
          <w:pgMar w:top="1134" w:right="1134" w:bottom="1134" w:left="1134" w:header="720" w:footer="720" w:gutter="0"/>
          <w:cols w:space="720"/>
          <w:docGrid w:linePitch="360"/>
        </w:sectPr>
      </w:pPr>
      <w:r w:rsidRPr="009624A9">
        <w:rPr>
          <w:b/>
        </w:rPr>
        <w:t>Note:</w:t>
      </w:r>
      <w:r w:rsidRPr="009624A9">
        <w:t xml:space="preserve"> Sectoral gross value added (GVA) is calculated as a present value over the period 2020 to 2050, using a </w:t>
      </w:r>
      <w:r w:rsidR="00054B90">
        <w:t>seven per cent discount rate. Seventy</w:t>
      </w:r>
      <w:r w:rsidR="00054B90">
        <w:noBreakHyphen/>
        <w:t>two</w:t>
      </w:r>
      <w:r w:rsidRPr="009624A9">
        <w:t xml:space="preserve"> economic sectors are modelled in VURM. In this analysis the uranium processing and nuclear waste sectors are ignored because they are extremely small.</w:t>
      </w:r>
      <w:r w:rsidRPr="009624A9">
        <w:br/>
      </w:r>
      <w:r w:rsidRPr="009624A9">
        <w:rPr>
          <w:b/>
        </w:rPr>
        <w:t>Source:</w:t>
      </w:r>
      <w:r w:rsidRPr="009624A9">
        <w:t xml:space="preserve"> Climate Change Authority based on </w:t>
      </w:r>
      <w:bookmarkStart w:id="863" w:name="_CTVP001ec27e3ec548c47e9af9331e7a55455fa"/>
      <w:r w:rsidR="0059109A">
        <w:t>Adams 2016</w:t>
      </w:r>
      <w:bookmarkEnd w:id="863"/>
      <w:r w:rsidRPr="009624A9">
        <w:t>.</w:t>
      </w:r>
    </w:p>
    <w:p w:rsidR="00E52DD4" w:rsidRDefault="00E52DD4" w:rsidP="003345E9">
      <w:pPr>
        <w:pStyle w:val="Headingnon-numbered"/>
      </w:pPr>
      <w:bookmarkStart w:id="864" w:name="_Toc447183416"/>
      <w:bookmarkStart w:id="865" w:name="_Toc447183504"/>
      <w:bookmarkStart w:id="866" w:name="_Toc447183563"/>
      <w:bookmarkStart w:id="867" w:name="_Toc448132715"/>
      <w:bookmarkStart w:id="868" w:name="_Toc448151778"/>
      <w:bookmarkStart w:id="869" w:name="_Toc448151846"/>
      <w:bookmarkStart w:id="870" w:name="_Toc460318030"/>
      <w:r>
        <w:lastRenderedPageBreak/>
        <w:t>Glossary of Terms</w:t>
      </w:r>
      <w:bookmarkEnd w:id="864"/>
      <w:bookmarkEnd w:id="865"/>
      <w:bookmarkEnd w:id="866"/>
      <w:bookmarkEnd w:id="867"/>
      <w:bookmarkEnd w:id="868"/>
      <w:bookmarkEnd w:id="869"/>
      <w:bookmarkEnd w:id="870"/>
    </w:p>
    <w:tbl>
      <w:tblPr>
        <w:tblStyle w:val="CCATable"/>
        <w:tblW w:w="5000" w:type="pct"/>
        <w:tblLayout w:type="fixed"/>
        <w:tblLook w:val="0620" w:firstRow="1" w:lastRow="0" w:firstColumn="0" w:lastColumn="0" w:noHBand="1" w:noVBand="1"/>
      </w:tblPr>
      <w:tblGrid>
        <w:gridCol w:w="2091"/>
        <w:gridCol w:w="1926"/>
        <w:gridCol w:w="5838"/>
      </w:tblGrid>
      <w:tr w:rsidR="00F260E6" w:rsidRPr="00D50803" w:rsidTr="00E73743">
        <w:trPr>
          <w:cnfStyle w:val="100000000000" w:firstRow="1" w:lastRow="0" w:firstColumn="0" w:lastColumn="0" w:oddVBand="0" w:evenVBand="0" w:oddHBand="0" w:evenHBand="0" w:firstRowFirstColumn="0" w:firstRowLastColumn="0" w:lastRowFirstColumn="0" w:lastRowLastColumn="0"/>
        </w:trPr>
        <w:tc>
          <w:tcPr>
            <w:tcW w:w="1061" w:type="pct"/>
            <w:noWrap/>
          </w:tcPr>
          <w:p w:rsidR="00F260E6" w:rsidRPr="00B47A1E" w:rsidRDefault="00F260E6" w:rsidP="00E73743">
            <w:pPr>
              <w:pStyle w:val="TableHeading"/>
              <w:keepNext w:val="0"/>
              <w:keepLines w:val="0"/>
            </w:pPr>
            <w:r w:rsidRPr="00B47A1E">
              <w:t>Term</w:t>
            </w:r>
          </w:p>
        </w:tc>
        <w:tc>
          <w:tcPr>
            <w:tcW w:w="977" w:type="pct"/>
          </w:tcPr>
          <w:p w:rsidR="00F260E6" w:rsidRPr="00B47A1E" w:rsidRDefault="00F260E6" w:rsidP="00E73743">
            <w:pPr>
              <w:pStyle w:val="TableHeading"/>
              <w:keepNext w:val="0"/>
              <w:keepLines w:val="0"/>
            </w:pPr>
            <w:r w:rsidRPr="00B47A1E">
              <w:t>Acronym/</w:t>
            </w:r>
            <w:r w:rsidRPr="00B47A1E">
              <w:br/>
              <w:t>abbreviation</w:t>
            </w:r>
          </w:p>
        </w:tc>
        <w:tc>
          <w:tcPr>
            <w:tcW w:w="2962" w:type="pct"/>
          </w:tcPr>
          <w:p w:rsidR="00F260E6" w:rsidRPr="00B47A1E" w:rsidRDefault="00F260E6" w:rsidP="00E73743">
            <w:pPr>
              <w:pStyle w:val="TableHeading"/>
              <w:keepNext w:val="0"/>
              <w:keepLines w:val="0"/>
            </w:pPr>
            <w:r w:rsidRPr="00B47A1E">
              <w:t>Explanation</w:t>
            </w:r>
          </w:p>
        </w:tc>
      </w:tr>
      <w:tr w:rsidR="00F260E6" w:rsidRPr="00D50803" w:rsidTr="00E73743">
        <w:tc>
          <w:tcPr>
            <w:tcW w:w="1061" w:type="pct"/>
          </w:tcPr>
          <w:p w:rsidR="00F260E6" w:rsidRDefault="00F260E6" w:rsidP="00E73743">
            <w:pPr>
              <w:pStyle w:val="TableText"/>
              <w:keepNext w:val="0"/>
              <w:keepLines w:val="0"/>
              <w:rPr>
                <w:szCs w:val="18"/>
              </w:rPr>
            </w:pPr>
            <w:r>
              <w:rPr>
                <w:szCs w:val="18"/>
              </w:rPr>
              <w:t>as generated</w:t>
            </w:r>
          </w:p>
        </w:tc>
        <w:tc>
          <w:tcPr>
            <w:tcW w:w="977" w:type="pct"/>
          </w:tcPr>
          <w:p w:rsidR="00F260E6"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szCs w:val="18"/>
              </w:rPr>
            </w:pPr>
            <w:r>
              <w:rPr>
                <w:szCs w:val="18"/>
              </w:rPr>
              <w:t>Electricity demand that includes generator ‘auxiliary loads’ (</w:t>
            </w:r>
            <w:r>
              <w:t>the electricity required to generate electricity)</w:t>
            </w:r>
          </w:p>
        </w:tc>
      </w:tr>
      <w:tr w:rsidR="00F260E6" w:rsidRPr="00D50803" w:rsidTr="00E73743">
        <w:tc>
          <w:tcPr>
            <w:tcW w:w="1061" w:type="pct"/>
          </w:tcPr>
          <w:p w:rsidR="00F260E6" w:rsidRPr="009617D9" w:rsidRDefault="00F260E6" w:rsidP="00E73743">
            <w:pPr>
              <w:pStyle w:val="TableText"/>
              <w:keepNext w:val="0"/>
              <w:keepLines w:val="0"/>
              <w:rPr>
                <w:szCs w:val="18"/>
              </w:rPr>
            </w:pPr>
            <w:r>
              <w:rPr>
                <w:szCs w:val="18"/>
              </w:rPr>
              <w:t>Australian Energy Market Commission</w:t>
            </w:r>
          </w:p>
        </w:tc>
        <w:tc>
          <w:tcPr>
            <w:tcW w:w="977" w:type="pct"/>
          </w:tcPr>
          <w:p w:rsidR="00F260E6" w:rsidRPr="009617D9" w:rsidRDefault="00F260E6" w:rsidP="00E73743">
            <w:pPr>
              <w:pStyle w:val="TableText"/>
              <w:keepNext w:val="0"/>
              <w:keepLines w:val="0"/>
              <w:rPr>
                <w:szCs w:val="18"/>
              </w:rPr>
            </w:pPr>
            <w:r>
              <w:rPr>
                <w:szCs w:val="18"/>
              </w:rPr>
              <w:t>AEMC</w:t>
            </w:r>
          </w:p>
        </w:tc>
        <w:tc>
          <w:tcPr>
            <w:tcW w:w="2962" w:type="pct"/>
          </w:tcPr>
          <w:p w:rsidR="00F260E6" w:rsidRPr="009617D9" w:rsidRDefault="00F260E6" w:rsidP="00E73743">
            <w:pPr>
              <w:pStyle w:val="TableText"/>
              <w:keepNext w:val="0"/>
              <w:keepLines w:val="0"/>
              <w:rPr>
                <w:szCs w:val="18"/>
              </w:rPr>
            </w:pPr>
            <w:r>
              <w:rPr>
                <w:szCs w:val="18"/>
              </w:rPr>
              <w:t xml:space="preserve">The Australian Energy Market Commission is the statutory rule maker for energy markets and is the expert adviser for Commonwealth, and state and territory governments. </w:t>
            </w:r>
          </w:p>
        </w:tc>
      </w:tr>
      <w:tr w:rsidR="00F260E6" w:rsidRPr="00D50803" w:rsidTr="00E73743">
        <w:tc>
          <w:tcPr>
            <w:tcW w:w="1061" w:type="pct"/>
          </w:tcPr>
          <w:p w:rsidR="00F260E6" w:rsidRPr="009617D9" w:rsidRDefault="00F260E6" w:rsidP="00E73743">
            <w:pPr>
              <w:pStyle w:val="TableText"/>
              <w:keepNext w:val="0"/>
              <w:keepLines w:val="0"/>
              <w:rPr>
                <w:szCs w:val="18"/>
              </w:rPr>
            </w:pPr>
            <w:r w:rsidRPr="009617D9">
              <w:rPr>
                <w:szCs w:val="18"/>
              </w:rPr>
              <w:t>Australian Energy Market Operator</w:t>
            </w:r>
          </w:p>
        </w:tc>
        <w:tc>
          <w:tcPr>
            <w:tcW w:w="977" w:type="pct"/>
          </w:tcPr>
          <w:p w:rsidR="00F260E6" w:rsidRPr="009617D9" w:rsidRDefault="00F260E6" w:rsidP="00E73743">
            <w:pPr>
              <w:pStyle w:val="TableText"/>
              <w:keepNext w:val="0"/>
              <w:keepLines w:val="0"/>
              <w:rPr>
                <w:szCs w:val="18"/>
              </w:rPr>
            </w:pPr>
            <w:r w:rsidRPr="009617D9">
              <w:rPr>
                <w:szCs w:val="18"/>
              </w:rPr>
              <w:t>AEMO</w:t>
            </w:r>
          </w:p>
        </w:tc>
        <w:tc>
          <w:tcPr>
            <w:tcW w:w="2962" w:type="pct"/>
          </w:tcPr>
          <w:p w:rsidR="00F260E6" w:rsidRPr="009617D9" w:rsidRDefault="00F260E6" w:rsidP="00E73743">
            <w:pPr>
              <w:pStyle w:val="TableText"/>
              <w:keepNext w:val="0"/>
              <w:keepLines w:val="0"/>
              <w:rPr>
                <w:szCs w:val="18"/>
              </w:rPr>
            </w:pPr>
            <w:r w:rsidRPr="009617D9">
              <w:rPr>
                <w:szCs w:val="18"/>
              </w:rPr>
              <w:t xml:space="preserve">The Australian Energy Market Operator was established in 2009 and is responsible for the </w:t>
            </w:r>
            <w:r>
              <w:rPr>
                <w:szCs w:val="18"/>
              </w:rPr>
              <w:t xml:space="preserve">planning for and </w:t>
            </w:r>
            <w:r w:rsidRPr="009617D9">
              <w:rPr>
                <w:szCs w:val="18"/>
              </w:rPr>
              <w:t>operation of the National Electricity Market.</w:t>
            </w:r>
            <w:r>
              <w:rPr>
                <w:szCs w:val="18"/>
              </w:rPr>
              <w:t xml:space="preserve"> In 2015 AEMO started to take over operation in the Western Australian Wholesale Electricity Market.</w:t>
            </w:r>
          </w:p>
        </w:tc>
      </w:tr>
      <w:tr w:rsidR="00701431" w:rsidRPr="00D50803" w:rsidTr="00E73743">
        <w:tc>
          <w:tcPr>
            <w:tcW w:w="1061" w:type="pct"/>
            <w:noWrap/>
          </w:tcPr>
          <w:p w:rsidR="00701431" w:rsidRDefault="00701431" w:rsidP="00E73743">
            <w:pPr>
              <w:pStyle w:val="TableText"/>
              <w:rPr>
                <w:lang w:val="en-GB"/>
              </w:rPr>
            </w:pPr>
            <w:r>
              <w:rPr>
                <w:lang w:val="en-GB"/>
              </w:rPr>
              <w:t>bagasse</w:t>
            </w:r>
          </w:p>
        </w:tc>
        <w:tc>
          <w:tcPr>
            <w:tcW w:w="977" w:type="pct"/>
          </w:tcPr>
          <w:p w:rsidR="00701431" w:rsidRPr="009617D9" w:rsidRDefault="00701431" w:rsidP="00E73743">
            <w:pPr>
              <w:pStyle w:val="TableText"/>
              <w:rPr>
                <w:szCs w:val="18"/>
              </w:rPr>
            </w:pPr>
          </w:p>
        </w:tc>
        <w:tc>
          <w:tcPr>
            <w:tcW w:w="2962" w:type="pct"/>
          </w:tcPr>
          <w:p w:rsidR="00701431" w:rsidRPr="000D7E15" w:rsidRDefault="00701431" w:rsidP="00E73743">
            <w:pPr>
              <w:pStyle w:val="TableText"/>
              <w:rPr>
                <w:szCs w:val="18"/>
              </w:rPr>
            </w:pPr>
            <w:r>
              <w:t>The fibrous pulp material left over when sugar is squeezed for its juice. It can be used as a fuel for generation of electricity and heat.</w:t>
            </w:r>
          </w:p>
        </w:tc>
      </w:tr>
      <w:tr w:rsidR="00F260E6" w:rsidRPr="00D50803" w:rsidTr="00E73743">
        <w:tc>
          <w:tcPr>
            <w:tcW w:w="1061" w:type="pct"/>
            <w:noWrap/>
          </w:tcPr>
          <w:p w:rsidR="00F260E6" w:rsidRDefault="00F260E6" w:rsidP="00E73743">
            <w:pPr>
              <w:pStyle w:val="TableText"/>
              <w:keepNext w:val="0"/>
              <w:keepLines w:val="0"/>
              <w:rPr>
                <w:szCs w:val="18"/>
              </w:rPr>
            </w:pPr>
            <w:r>
              <w:rPr>
                <w:lang w:val="en-GB"/>
              </w:rPr>
              <w:t>baseload generator</w:t>
            </w:r>
          </w:p>
        </w:tc>
        <w:tc>
          <w:tcPr>
            <w:tcW w:w="977" w:type="pct"/>
          </w:tcPr>
          <w:p w:rsidR="00F260E6" w:rsidRPr="009617D9"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rFonts w:cs="Arial"/>
                <w:color w:val="333333"/>
                <w:szCs w:val="18"/>
              </w:rPr>
            </w:pPr>
            <w:r w:rsidRPr="000D7E15">
              <w:rPr>
                <w:szCs w:val="18"/>
              </w:rPr>
              <w:t>A plant that generally operates when able, due to low variable operating costs. Baseload power may be non-intermittent (e.g. coal) or intermittent (e.g. wind).</w:t>
            </w:r>
          </w:p>
        </w:tc>
      </w:tr>
      <w:tr w:rsidR="00F260E6" w:rsidRPr="00D50803" w:rsidTr="00E73743">
        <w:tc>
          <w:tcPr>
            <w:tcW w:w="1061" w:type="pct"/>
            <w:noWrap/>
          </w:tcPr>
          <w:p w:rsidR="00F260E6" w:rsidRDefault="00F260E6" w:rsidP="00E73743">
            <w:pPr>
              <w:pStyle w:val="TableText"/>
              <w:keepNext w:val="0"/>
              <w:keepLines w:val="0"/>
              <w:rPr>
                <w:szCs w:val="18"/>
              </w:rPr>
            </w:pPr>
            <w:r>
              <w:rPr>
                <w:szCs w:val="18"/>
              </w:rPr>
              <w:t>capacity</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217160" w:rsidRDefault="00F260E6" w:rsidP="00E73743">
            <w:pPr>
              <w:pStyle w:val="TableText"/>
              <w:keepNext w:val="0"/>
              <w:keepLines w:val="0"/>
              <w:rPr>
                <w:szCs w:val="18"/>
              </w:rPr>
            </w:pPr>
            <w:r>
              <w:rPr>
                <w:rFonts w:cs="Arial"/>
                <w:color w:val="333333"/>
                <w:szCs w:val="18"/>
              </w:rPr>
              <w:t>A measure of power or demand at a point in time, typically measured in gigawatts (GW) or megawatts (MW). For an individual generator it measures the maximum amount of electricity that can be produced under nominated conditions.</w:t>
            </w:r>
          </w:p>
        </w:tc>
      </w:tr>
      <w:tr w:rsidR="00F260E6" w:rsidRPr="00D50803" w:rsidTr="00E73743">
        <w:tc>
          <w:tcPr>
            <w:tcW w:w="1061" w:type="pct"/>
            <w:noWrap/>
          </w:tcPr>
          <w:p w:rsidR="00F260E6" w:rsidRPr="009617D9" w:rsidRDefault="00F260E6" w:rsidP="00E73743">
            <w:pPr>
              <w:pStyle w:val="TableText"/>
              <w:keepNext w:val="0"/>
              <w:keepLines w:val="0"/>
              <w:rPr>
                <w:szCs w:val="18"/>
              </w:rPr>
            </w:pPr>
            <w:r>
              <w:rPr>
                <w:szCs w:val="18"/>
              </w:rPr>
              <w:t>carbon capture and storage</w:t>
            </w:r>
          </w:p>
        </w:tc>
        <w:tc>
          <w:tcPr>
            <w:tcW w:w="977" w:type="pct"/>
          </w:tcPr>
          <w:p w:rsidR="00F260E6" w:rsidRPr="009617D9" w:rsidRDefault="00F260E6" w:rsidP="00E73743">
            <w:pPr>
              <w:pStyle w:val="TableText"/>
              <w:keepNext w:val="0"/>
              <w:keepLines w:val="0"/>
              <w:rPr>
                <w:szCs w:val="18"/>
              </w:rPr>
            </w:pPr>
            <w:r>
              <w:rPr>
                <w:szCs w:val="18"/>
              </w:rPr>
              <w:t>CCS</w:t>
            </w:r>
          </w:p>
        </w:tc>
        <w:tc>
          <w:tcPr>
            <w:tcW w:w="2962" w:type="pct"/>
            <w:shd w:val="clear" w:color="auto" w:fill="auto"/>
          </w:tcPr>
          <w:p w:rsidR="00F260E6" w:rsidRPr="009617D9" w:rsidRDefault="00F260E6" w:rsidP="00E73743">
            <w:pPr>
              <w:pStyle w:val="TableText"/>
              <w:keepNext w:val="0"/>
              <w:keepLines w:val="0"/>
              <w:rPr>
                <w:szCs w:val="18"/>
              </w:rPr>
            </w:pPr>
            <w:r>
              <w:rPr>
                <w:szCs w:val="18"/>
              </w:rPr>
              <w:t>T</w:t>
            </w:r>
            <w:r w:rsidRPr="00157A68">
              <w:rPr>
                <w:szCs w:val="18"/>
              </w:rPr>
              <w:t>echnologies that capture carbon dioxide emissions from energy production or industrial</w:t>
            </w:r>
            <w:r>
              <w:rPr>
                <w:szCs w:val="18"/>
              </w:rPr>
              <w:t xml:space="preserve"> </w:t>
            </w:r>
            <w:r w:rsidRPr="00157A68">
              <w:rPr>
                <w:szCs w:val="18"/>
              </w:rPr>
              <w:t>processes, and inject it below land or the sea into underground geological formations.</w:t>
            </w:r>
          </w:p>
        </w:tc>
      </w:tr>
      <w:tr w:rsidR="00F260E6" w:rsidRPr="00D50803" w:rsidTr="00DB3E5B">
        <w:tc>
          <w:tcPr>
            <w:tcW w:w="1061" w:type="pct"/>
            <w:noWrap/>
            <w:vAlign w:val="bottom"/>
          </w:tcPr>
          <w:p w:rsidR="00F260E6" w:rsidRPr="009617D9" w:rsidRDefault="00F260E6" w:rsidP="00E73743">
            <w:pPr>
              <w:pStyle w:val="TableText"/>
              <w:keepNext w:val="0"/>
              <w:keepLines w:val="0"/>
              <w:rPr>
                <w:szCs w:val="18"/>
              </w:rPr>
            </w:pPr>
            <w:r>
              <w:t>c</w:t>
            </w:r>
            <w:r w:rsidRPr="003362C4">
              <w:t>arbon dioxide equivalent</w:t>
            </w:r>
          </w:p>
        </w:tc>
        <w:tc>
          <w:tcPr>
            <w:tcW w:w="977" w:type="pct"/>
          </w:tcPr>
          <w:p w:rsidR="00F260E6" w:rsidRPr="008019CC" w:rsidRDefault="00F260E6" w:rsidP="00E73743">
            <w:pPr>
              <w:pStyle w:val="TableText"/>
              <w:keepNext w:val="0"/>
              <w:keepLines w:val="0"/>
              <w:rPr>
                <w:b/>
                <w:szCs w:val="18"/>
              </w:rPr>
            </w:pPr>
            <w:r w:rsidRPr="008019CC">
              <w:rPr>
                <w:rStyle w:val="Textbold"/>
                <w:b w:val="0"/>
              </w:rPr>
              <w:t>CO</w:t>
            </w:r>
            <w:r w:rsidRPr="008019CC">
              <w:rPr>
                <w:rStyle w:val="Textbold"/>
                <w:rFonts w:ascii="Arial Bold" w:hAnsi="Arial Bold"/>
                <w:b w:val="0"/>
                <w:vertAlign w:val="subscript"/>
              </w:rPr>
              <w:t>2</w:t>
            </w:r>
            <w:r w:rsidRPr="008019CC">
              <w:rPr>
                <w:rStyle w:val="Textbold"/>
                <w:b w:val="0"/>
              </w:rPr>
              <w:t>-e</w:t>
            </w:r>
          </w:p>
        </w:tc>
        <w:tc>
          <w:tcPr>
            <w:tcW w:w="2962" w:type="pct"/>
            <w:shd w:val="clear" w:color="auto" w:fill="auto"/>
          </w:tcPr>
          <w:p w:rsidR="00F260E6" w:rsidRPr="009617D9" w:rsidRDefault="00F260E6" w:rsidP="00E73743">
            <w:pPr>
              <w:pStyle w:val="TableText"/>
              <w:keepNext w:val="0"/>
              <w:keepLines w:val="0"/>
              <w:rPr>
                <w:szCs w:val="18"/>
              </w:rPr>
            </w:pPr>
            <w:r>
              <w:rPr>
                <w:szCs w:val="18"/>
              </w:rPr>
              <w:t>A measure that quantifies different greenhouse gases in terms of the amount of carbon dioxide that would deliver the same global warming.</w:t>
            </w:r>
          </w:p>
        </w:tc>
      </w:tr>
      <w:tr w:rsidR="00F260E6" w:rsidRPr="00D50803" w:rsidTr="00E73743">
        <w:tc>
          <w:tcPr>
            <w:tcW w:w="1061" w:type="pct"/>
            <w:noWrap/>
          </w:tcPr>
          <w:p w:rsidR="00F260E6" w:rsidRPr="009617D9" w:rsidRDefault="00F260E6" w:rsidP="00E73743">
            <w:pPr>
              <w:pStyle w:val="TableText"/>
              <w:keepNext w:val="0"/>
              <w:keepLines w:val="0"/>
              <w:rPr>
                <w:szCs w:val="18"/>
              </w:rPr>
            </w:pPr>
            <w:r w:rsidRPr="009617D9">
              <w:rPr>
                <w:szCs w:val="18"/>
              </w:rPr>
              <w:t>Climate Change Authority</w:t>
            </w:r>
          </w:p>
        </w:tc>
        <w:tc>
          <w:tcPr>
            <w:tcW w:w="977" w:type="pct"/>
          </w:tcPr>
          <w:p w:rsidR="00F260E6" w:rsidRPr="009617D9" w:rsidRDefault="00F260E6" w:rsidP="00E73743">
            <w:pPr>
              <w:pStyle w:val="TableText"/>
              <w:keepNext w:val="0"/>
              <w:keepLines w:val="0"/>
              <w:rPr>
                <w:szCs w:val="18"/>
              </w:rPr>
            </w:pPr>
            <w:r>
              <w:rPr>
                <w:szCs w:val="18"/>
              </w:rPr>
              <w:t>the Authority</w:t>
            </w:r>
          </w:p>
        </w:tc>
        <w:tc>
          <w:tcPr>
            <w:tcW w:w="2962" w:type="pct"/>
          </w:tcPr>
          <w:p w:rsidR="00F260E6" w:rsidRPr="009617D9" w:rsidRDefault="00F260E6" w:rsidP="00E73743">
            <w:pPr>
              <w:pStyle w:val="TableText"/>
              <w:keepNext w:val="0"/>
              <w:keepLines w:val="0"/>
              <w:rPr>
                <w:szCs w:val="18"/>
              </w:rPr>
            </w:pPr>
            <w:r w:rsidRPr="009617D9">
              <w:rPr>
                <w:szCs w:val="18"/>
              </w:rPr>
              <w:t>Established on 1 July 2012, the Climate Change Authority provides independent expert advice on Australian Government climate change mitigation initiatives.</w:t>
            </w:r>
          </w:p>
        </w:tc>
      </w:tr>
      <w:tr w:rsidR="00F260E6" w:rsidRPr="00D50803" w:rsidTr="00E73743">
        <w:tc>
          <w:tcPr>
            <w:tcW w:w="1061" w:type="pct"/>
            <w:noWrap/>
          </w:tcPr>
          <w:p w:rsidR="00F260E6" w:rsidRDefault="00F260E6" w:rsidP="00E73743">
            <w:pPr>
              <w:pStyle w:val="TableText"/>
              <w:keepNext w:val="0"/>
              <w:keepLines w:val="0"/>
              <w:rPr>
                <w:szCs w:val="18"/>
              </w:rPr>
            </w:pPr>
            <w:r>
              <w:rPr>
                <w:szCs w:val="18"/>
              </w:rPr>
              <w:t>contracts for difference</w:t>
            </w:r>
          </w:p>
        </w:tc>
        <w:tc>
          <w:tcPr>
            <w:tcW w:w="977" w:type="pct"/>
          </w:tcPr>
          <w:p w:rsidR="00F260E6" w:rsidRDefault="00F260E6" w:rsidP="00E73743">
            <w:pPr>
              <w:pStyle w:val="TableText"/>
              <w:keepNext w:val="0"/>
              <w:keepLines w:val="0"/>
              <w:rPr>
                <w:szCs w:val="18"/>
              </w:rPr>
            </w:pPr>
            <w:r>
              <w:rPr>
                <w:szCs w:val="18"/>
              </w:rPr>
              <w:t>CFD</w:t>
            </w:r>
          </w:p>
        </w:tc>
        <w:tc>
          <w:tcPr>
            <w:tcW w:w="2962" w:type="pct"/>
          </w:tcPr>
          <w:p w:rsidR="00F260E6" w:rsidRDefault="00F260E6" w:rsidP="00A124C2">
            <w:pPr>
              <w:pStyle w:val="TableText"/>
              <w:keepNext w:val="0"/>
              <w:keepLines w:val="0"/>
              <w:rPr>
                <w:rFonts w:cs="Arial"/>
                <w:color w:val="333333"/>
                <w:szCs w:val="18"/>
              </w:rPr>
            </w:pPr>
            <w:proofErr w:type="gramStart"/>
            <w:r>
              <w:t>A type of technology pull</w:t>
            </w:r>
            <w:proofErr w:type="gramEnd"/>
            <w:r>
              <w:t xml:space="preserve"> policy for encouraging new zero- or low</w:t>
            </w:r>
            <w:r>
              <w:noBreakHyphen/>
              <w:t xml:space="preserve">emissions generation. </w:t>
            </w:r>
            <w:r w:rsidRPr="006C7F13">
              <w:t xml:space="preserve">Government sets </w:t>
            </w:r>
            <w:r>
              <w:t xml:space="preserve">a required </w:t>
            </w:r>
            <w:r w:rsidRPr="006C7F13">
              <w:t>quantity of new low</w:t>
            </w:r>
            <w:r w:rsidR="00054B90">
              <w:noBreakHyphen/>
            </w:r>
            <w:r w:rsidRPr="006C7F13">
              <w:t xml:space="preserve"> </w:t>
            </w:r>
            <w:r w:rsidR="00054B90">
              <w:t>or zero</w:t>
            </w:r>
            <w:r w:rsidR="00054B90">
              <w:noBreakHyphen/>
            </w:r>
            <w:r w:rsidRPr="006C7F13">
              <w:t>emission</w:t>
            </w:r>
            <w:r>
              <w:t>s</w:t>
            </w:r>
            <w:r w:rsidRPr="006C7F13">
              <w:t xml:space="preserve"> generation</w:t>
            </w:r>
            <w:r>
              <w:t xml:space="preserve">. </w:t>
            </w:r>
            <w:r w:rsidRPr="006C7F13">
              <w:t>Low</w:t>
            </w:r>
            <w:r w:rsidR="008F7F4A">
              <w:noBreakHyphen/>
            </w:r>
            <w:r w:rsidRPr="006C7F13">
              <w:t>e</w:t>
            </w:r>
            <w:r>
              <w:t>mission generators bid for long</w:t>
            </w:r>
            <w:r>
              <w:noBreakHyphen/>
              <w:t>term ‘</w:t>
            </w:r>
            <w:r w:rsidRPr="006C7F13">
              <w:t>contracts</w:t>
            </w:r>
            <w:r>
              <w:t xml:space="preserve"> for difference’</w:t>
            </w:r>
            <w:r w:rsidRPr="006C7F13">
              <w:t xml:space="preserve"> with the government</w:t>
            </w:r>
            <w:r>
              <w:t xml:space="preserve"> which partially </w:t>
            </w:r>
            <w:r w:rsidR="00A124C2">
              <w:t xml:space="preserve">or fully </w:t>
            </w:r>
            <w:r>
              <w:t>specify the price per MWh received by generators.</w:t>
            </w:r>
          </w:p>
        </w:tc>
      </w:tr>
      <w:tr w:rsidR="00F260E6" w:rsidRPr="00D50803" w:rsidTr="00E73743">
        <w:tc>
          <w:tcPr>
            <w:tcW w:w="1061" w:type="pct"/>
            <w:noWrap/>
          </w:tcPr>
          <w:p w:rsidR="00F260E6" w:rsidRPr="009617D9" w:rsidRDefault="00F260E6" w:rsidP="00E73743">
            <w:pPr>
              <w:pStyle w:val="TableText"/>
              <w:keepNext w:val="0"/>
              <w:keepLines w:val="0"/>
              <w:rPr>
                <w:szCs w:val="18"/>
              </w:rPr>
            </w:pPr>
            <w:r>
              <w:rPr>
                <w:szCs w:val="18"/>
              </w:rPr>
              <w:t>combined</w:t>
            </w:r>
            <w:r>
              <w:rPr>
                <w:szCs w:val="18"/>
              </w:rPr>
              <w:noBreakHyphen/>
              <w:t>cycle gas turbine</w:t>
            </w:r>
          </w:p>
        </w:tc>
        <w:tc>
          <w:tcPr>
            <w:tcW w:w="977" w:type="pct"/>
          </w:tcPr>
          <w:p w:rsidR="00F260E6" w:rsidRPr="009617D9" w:rsidRDefault="00F260E6" w:rsidP="00E73743">
            <w:pPr>
              <w:pStyle w:val="TableText"/>
              <w:keepNext w:val="0"/>
              <w:keepLines w:val="0"/>
              <w:rPr>
                <w:szCs w:val="18"/>
              </w:rPr>
            </w:pPr>
            <w:r>
              <w:rPr>
                <w:szCs w:val="18"/>
              </w:rPr>
              <w:t>CCGT</w:t>
            </w:r>
          </w:p>
        </w:tc>
        <w:tc>
          <w:tcPr>
            <w:tcW w:w="2962" w:type="pct"/>
          </w:tcPr>
          <w:p w:rsidR="00F260E6" w:rsidRDefault="00F260E6" w:rsidP="00E73743">
            <w:pPr>
              <w:pStyle w:val="TableText"/>
              <w:keepNext w:val="0"/>
              <w:keepLines w:val="0"/>
              <w:rPr>
                <w:rFonts w:cs="Arial"/>
                <w:color w:val="333333"/>
                <w:szCs w:val="18"/>
              </w:rPr>
            </w:pPr>
            <w:r>
              <w:rPr>
                <w:rFonts w:cs="Arial"/>
                <w:color w:val="333333"/>
                <w:szCs w:val="18"/>
              </w:rPr>
              <w:t xml:space="preserve">A type of gas-fired power plant. </w:t>
            </w:r>
          </w:p>
          <w:p w:rsidR="00F260E6" w:rsidRPr="009617D9" w:rsidRDefault="00992C15" w:rsidP="00E73743">
            <w:pPr>
              <w:pStyle w:val="TableText"/>
              <w:keepNext w:val="0"/>
              <w:keepLines w:val="0"/>
              <w:rPr>
                <w:szCs w:val="18"/>
              </w:rPr>
            </w:pPr>
            <w:r>
              <w:rPr>
                <w:rFonts w:cs="Arial"/>
                <w:color w:val="333333"/>
                <w:szCs w:val="18"/>
              </w:rPr>
              <w:t>Combined</w:t>
            </w:r>
            <w:r>
              <w:rPr>
                <w:rFonts w:cs="Arial"/>
                <w:color w:val="333333"/>
                <w:szCs w:val="18"/>
              </w:rPr>
              <w:noBreakHyphen/>
            </w:r>
            <w:r w:rsidR="00F260E6">
              <w:rPr>
                <w:rFonts w:cs="Arial"/>
                <w:color w:val="333333"/>
                <w:szCs w:val="18"/>
              </w:rPr>
              <w:t xml:space="preserve">cycle technology uses both gas and steam turbine cycles in a single plant to produce electricity with high conversion efficiencies and low emissions. </w:t>
            </w:r>
            <w:r w:rsidR="00F260E6">
              <w:t xml:space="preserve">Combined-cycle gas turbines have higher capital costs than open-cycle gas turbines but are more efficient so have lower fuel costs. </w:t>
            </w:r>
          </w:p>
        </w:tc>
      </w:tr>
      <w:tr w:rsidR="00F260E6" w:rsidRPr="00D50803" w:rsidTr="00E73743">
        <w:trPr>
          <w:trHeight w:val="80"/>
        </w:trPr>
        <w:tc>
          <w:tcPr>
            <w:tcW w:w="1061" w:type="pct"/>
            <w:noWrap/>
          </w:tcPr>
          <w:p w:rsidR="00F260E6" w:rsidRDefault="00F260E6" w:rsidP="00054B90">
            <w:pPr>
              <w:pStyle w:val="TableText"/>
              <w:keepNext w:val="0"/>
              <w:keepLines w:val="0"/>
              <w:rPr>
                <w:szCs w:val="18"/>
              </w:rPr>
            </w:pPr>
            <w:r>
              <w:rPr>
                <w:szCs w:val="18"/>
              </w:rPr>
              <w:t>computable genera</w:t>
            </w:r>
            <w:r w:rsidR="00054B90">
              <w:rPr>
                <w:szCs w:val="18"/>
              </w:rPr>
              <w:t>l</w:t>
            </w:r>
            <w:r>
              <w:rPr>
                <w:szCs w:val="18"/>
              </w:rPr>
              <w:t xml:space="preserve"> equilibrium</w:t>
            </w:r>
          </w:p>
        </w:tc>
        <w:tc>
          <w:tcPr>
            <w:tcW w:w="977" w:type="pct"/>
          </w:tcPr>
          <w:p w:rsidR="00F260E6" w:rsidRPr="009617D9" w:rsidRDefault="00F260E6" w:rsidP="00E73743">
            <w:pPr>
              <w:pStyle w:val="TableText"/>
              <w:keepNext w:val="0"/>
              <w:keepLines w:val="0"/>
              <w:rPr>
                <w:szCs w:val="18"/>
              </w:rPr>
            </w:pPr>
            <w:r>
              <w:rPr>
                <w:szCs w:val="18"/>
              </w:rPr>
              <w:t>CGE</w:t>
            </w:r>
          </w:p>
        </w:tc>
        <w:tc>
          <w:tcPr>
            <w:tcW w:w="2962" w:type="pct"/>
            <w:shd w:val="clear" w:color="auto" w:fill="auto"/>
          </w:tcPr>
          <w:p w:rsidR="00F260E6" w:rsidRPr="009617D9" w:rsidRDefault="00F260E6" w:rsidP="00E73743">
            <w:pPr>
              <w:pStyle w:val="TableText"/>
              <w:keepNext w:val="0"/>
              <w:keepLines w:val="0"/>
              <w:rPr>
                <w:szCs w:val="18"/>
              </w:rPr>
            </w:pPr>
            <w:r>
              <w:rPr>
                <w:szCs w:val="18"/>
              </w:rPr>
              <w:t xml:space="preserve">A form of economic modelling that captures how economic changes flow through an entire economy, given interlinkages between economic sectors and regions. These models seek a ‘general equilibrium’ where supply and demand are in balance in each economic sector at the prevailing price. </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cost of abatement</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Pr="009617D9" w:rsidRDefault="00F260E6" w:rsidP="00E73743">
            <w:pPr>
              <w:pStyle w:val="TableText"/>
              <w:keepNext w:val="0"/>
              <w:keepLines w:val="0"/>
              <w:rPr>
                <w:szCs w:val="18"/>
              </w:rPr>
            </w:pPr>
            <w:r w:rsidRPr="008C4C68">
              <w:rPr>
                <w:szCs w:val="18"/>
              </w:rPr>
              <w:t>The cost per unit of emissions reduced</w:t>
            </w:r>
            <w:r>
              <w:t>. The cost of abatement is a measure of</w:t>
            </w:r>
            <w:r w:rsidRPr="002D2221">
              <w:t xml:space="preserve"> the ov</w:t>
            </w:r>
            <w:r>
              <w:t>erall cost effectiveness of a</w:t>
            </w:r>
            <w:r w:rsidRPr="002D2221">
              <w:t xml:space="preserve"> policy </w:t>
            </w:r>
            <w:r>
              <w:t>in reducing emissions. It is calculated by dividing the costs of meeting the policy by the emissions reductions achieved by the policy.</w:t>
            </w:r>
          </w:p>
        </w:tc>
      </w:tr>
      <w:tr w:rsidR="00F260E6" w:rsidRPr="00D50803" w:rsidTr="00E73743">
        <w:trPr>
          <w:trHeight w:val="80"/>
        </w:trPr>
        <w:tc>
          <w:tcPr>
            <w:tcW w:w="1061" w:type="pct"/>
            <w:noWrap/>
          </w:tcPr>
          <w:p w:rsidR="00F260E6" w:rsidRDefault="00F260E6" w:rsidP="00E73743">
            <w:pPr>
              <w:pStyle w:val="TableText"/>
              <w:rPr>
                <w:szCs w:val="18"/>
              </w:rPr>
            </w:pPr>
            <w:r>
              <w:rPr>
                <w:szCs w:val="18"/>
              </w:rPr>
              <w:lastRenderedPageBreak/>
              <w:t>direct costs</w:t>
            </w:r>
          </w:p>
        </w:tc>
        <w:tc>
          <w:tcPr>
            <w:tcW w:w="977" w:type="pct"/>
          </w:tcPr>
          <w:p w:rsidR="00F260E6" w:rsidRPr="009617D9" w:rsidRDefault="00F260E6" w:rsidP="00E73743">
            <w:pPr>
              <w:pStyle w:val="TableText"/>
              <w:rPr>
                <w:szCs w:val="18"/>
              </w:rPr>
            </w:pPr>
          </w:p>
        </w:tc>
        <w:tc>
          <w:tcPr>
            <w:tcW w:w="2962" w:type="pct"/>
            <w:shd w:val="clear" w:color="auto" w:fill="auto"/>
          </w:tcPr>
          <w:p w:rsidR="00F260E6" w:rsidRDefault="00F260E6" w:rsidP="001406D0">
            <w:pPr>
              <w:pStyle w:val="TableText"/>
            </w:pPr>
            <w:r>
              <w:t xml:space="preserve">The additional costs </w:t>
            </w:r>
            <w:r w:rsidR="00C45898">
              <w:t xml:space="preserve">in the sector </w:t>
            </w:r>
            <w:r>
              <w:t xml:space="preserve">above those that would have occurred in the absence of the policy, such as </w:t>
            </w:r>
            <w:r w:rsidRPr="00305D51">
              <w:t>the added cost of</w:t>
            </w:r>
            <w:r>
              <w:t xml:space="preserve"> investing in a low</w:t>
            </w:r>
            <w:r>
              <w:noBreakHyphen/>
            </w:r>
            <w:r w:rsidRPr="00305D51">
              <w:t>emissions electricity gene</w:t>
            </w:r>
            <w:r>
              <w:t>ration plant rather than a high</w:t>
            </w:r>
            <w:r>
              <w:noBreakHyphen/>
            </w:r>
            <w:r w:rsidRPr="00305D51">
              <w:t>emissions one</w:t>
            </w:r>
            <w:r>
              <w:t xml:space="preserve">. </w:t>
            </w:r>
            <w:r w:rsidR="001406D0">
              <w:t>In this report t</w:t>
            </w:r>
            <w:r>
              <w:t>hese are measured by the ‘resource cost’ of the policy in the electricity sector, before considering its emissions reductions.</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direct emissions</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Pr="009617D9" w:rsidRDefault="00F260E6" w:rsidP="00E73743">
            <w:pPr>
              <w:pStyle w:val="TableText"/>
              <w:keepNext w:val="0"/>
              <w:keepLines w:val="0"/>
              <w:rPr>
                <w:szCs w:val="18"/>
              </w:rPr>
            </w:pPr>
            <w:r>
              <w:t>Greenhouse gas emissions arising directly from an activity rather than associated activities such as the production of inputs. For example, the direct emissions from electricity generation are those from the generation itself rather than (say) the transport of fuel to power stations.</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sidRPr="00300DB8">
              <w:t>discount rate</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Default="00F260E6" w:rsidP="00E77255">
            <w:pPr>
              <w:pStyle w:val="TableText"/>
              <w:keepNext w:val="0"/>
              <w:keepLines w:val="0"/>
              <w:rPr>
                <w:lang w:val="en-GB" w:eastAsia="en-AU"/>
              </w:rPr>
            </w:pPr>
            <w:r w:rsidRPr="00300DB8">
              <w:t>The rate at which future costs and benefits are discounted. For example, a</w:t>
            </w:r>
            <w:r w:rsidR="00E77255">
              <w:t>n annual</w:t>
            </w:r>
            <w:r w:rsidRPr="00300DB8">
              <w:t xml:space="preserve"> discount rate of </w:t>
            </w:r>
            <w:r w:rsidR="00054B90">
              <w:t>seven</w:t>
            </w:r>
            <w:r w:rsidRPr="00300DB8">
              <w:t xml:space="preserve"> per cent means that a cost or benefit in one year will be valued </w:t>
            </w:r>
            <w:r w:rsidR="00E77255">
              <w:t>seven per cent higher th</w:t>
            </w:r>
            <w:r w:rsidRPr="00300DB8">
              <w:t xml:space="preserve">an </w:t>
            </w:r>
            <w:r w:rsidR="00E77255">
              <w:t>the same</w:t>
            </w:r>
            <w:r w:rsidRPr="00300DB8">
              <w:t xml:space="preserve"> cost or benefit incurred a year later. </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t>d</w:t>
            </w:r>
            <w:r w:rsidRPr="00300DB8">
              <w:t>iscounting</w:t>
            </w:r>
            <w:r>
              <w:t xml:space="preserve"> (see also ‘present value’)</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Default="00F260E6" w:rsidP="00E73743">
            <w:pPr>
              <w:pStyle w:val="TableText"/>
              <w:keepNext w:val="0"/>
              <w:keepLines w:val="0"/>
              <w:rPr>
                <w:lang w:val="en-GB" w:eastAsia="en-AU"/>
              </w:rPr>
            </w:pPr>
            <w:r w:rsidRPr="00300DB8">
              <w:t>Discounting is a standard method for adjusting the value of a cost or benefit in the future to a ‘present value’ that reflects how far into the future that cost or benefit will occur. Discounting reflects ‘time preference’ which is the general preference of people for benefits to be received earlier rather than later, and for costs to be incurred later rather than earlier.</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distributed generator</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Pr="009617D9" w:rsidRDefault="00F260E6" w:rsidP="00E73743">
            <w:pPr>
              <w:pStyle w:val="TableText"/>
              <w:keepNext w:val="0"/>
              <w:keepLines w:val="0"/>
              <w:rPr>
                <w:szCs w:val="18"/>
              </w:rPr>
            </w:pPr>
            <w:r>
              <w:rPr>
                <w:rFonts w:cs="Arial"/>
                <w:color w:val="333333"/>
                <w:szCs w:val="18"/>
              </w:rPr>
              <w:t xml:space="preserve">A generating unit, such as rooftop PV, within the premises of a distribution network customer. Often used interchangeably with ‘embedded generator’ in general usage. </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embedded generator</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Pr="009617D9" w:rsidRDefault="00F260E6" w:rsidP="00E73743">
            <w:pPr>
              <w:pStyle w:val="TableText"/>
              <w:keepNext w:val="0"/>
              <w:keepLines w:val="0"/>
              <w:rPr>
                <w:szCs w:val="18"/>
              </w:rPr>
            </w:pPr>
            <w:r>
              <w:rPr>
                <w:rFonts w:cs="Arial"/>
                <w:color w:val="333333"/>
                <w:szCs w:val="18"/>
              </w:rPr>
              <w:t>A generating unit connected to the distribution network, or connected to a distribution network customer.</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emissions intensity</w:t>
            </w:r>
          </w:p>
        </w:tc>
        <w:tc>
          <w:tcPr>
            <w:tcW w:w="977" w:type="pct"/>
          </w:tcPr>
          <w:p w:rsidR="00F260E6" w:rsidRPr="009617D9" w:rsidRDefault="00F260E6" w:rsidP="00E73743">
            <w:pPr>
              <w:pStyle w:val="TableText"/>
              <w:keepNext w:val="0"/>
              <w:keepLines w:val="0"/>
              <w:rPr>
                <w:szCs w:val="18"/>
              </w:rPr>
            </w:pPr>
          </w:p>
        </w:tc>
        <w:tc>
          <w:tcPr>
            <w:tcW w:w="2962" w:type="pct"/>
            <w:shd w:val="clear" w:color="auto" w:fill="auto"/>
          </w:tcPr>
          <w:p w:rsidR="00F260E6" w:rsidRPr="009617D9" w:rsidRDefault="00F260E6" w:rsidP="00E73743">
            <w:pPr>
              <w:pStyle w:val="TableText"/>
              <w:keepNext w:val="0"/>
              <w:keepLines w:val="0"/>
              <w:rPr>
                <w:szCs w:val="18"/>
              </w:rPr>
            </w:pPr>
            <w:r>
              <w:rPr>
                <w:szCs w:val="18"/>
              </w:rPr>
              <w:t>A measure of the amount of emissions associated with a unit of output; for example, emissions per unit of gross domestic product or electricity production.</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fixed operating and maintenance costs</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szCs w:val="18"/>
              </w:rPr>
              <w:t>Business operating costs that are independent of the level of output produced.</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lang w:val="en-GB"/>
              </w:rPr>
              <w:t>generation</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lang w:val="en-GB" w:eastAsia="en-AU"/>
              </w:rPr>
              <w:t>The amount of electrical energy produced or used over a period of time, typically measured in gigawatt hours (</w:t>
            </w:r>
            <w:proofErr w:type="spellStart"/>
            <w:r>
              <w:rPr>
                <w:lang w:val="en-GB" w:eastAsia="en-AU"/>
              </w:rPr>
              <w:t>GWh</w:t>
            </w:r>
            <w:proofErr w:type="spellEnd"/>
            <w:r>
              <w:rPr>
                <w:lang w:val="en-GB" w:eastAsia="en-AU"/>
              </w:rPr>
              <w:t>) or megawatt hours (MWh).</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gigawatt hours</w:t>
            </w:r>
          </w:p>
        </w:tc>
        <w:tc>
          <w:tcPr>
            <w:tcW w:w="977" w:type="pct"/>
          </w:tcPr>
          <w:p w:rsidR="00F260E6" w:rsidRPr="009617D9" w:rsidRDefault="00F260E6" w:rsidP="00E73743">
            <w:pPr>
              <w:pStyle w:val="TableText"/>
              <w:keepNext w:val="0"/>
              <w:keepLines w:val="0"/>
              <w:rPr>
                <w:szCs w:val="18"/>
              </w:rPr>
            </w:pPr>
            <w:proofErr w:type="spellStart"/>
            <w:r w:rsidRPr="009617D9">
              <w:rPr>
                <w:szCs w:val="18"/>
              </w:rPr>
              <w:t>GWh</w:t>
            </w:r>
            <w:proofErr w:type="spellEnd"/>
          </w:p>
        </w:tc>
        <w:tc>
          <w:tcPr>
            <w:tcW w:w="2962" w:type="pct"/>
          </w:tcPr>
          <w:p w:rsidR="00F260E6" w:rsidRPr="009617D9" w:rsidRDefault="00F260E6" w:rsidP="00E73743">
            <w:pPr>
              <w:pStyle w:val="TableText"/>
              <w:keepNext w:val="0"/>
              <w:keepLines w:val="0"/>
              <w:rPr>
                <w:szCs w:val="18"/>
              </w:rPr>
            </w:pPr>
            <w:r w:rsidRPr="009617D9">
              <w:rPr>
                <w:szCs w:val="18"/>
              </w:rPr>
              <w:t>A measure of electricity generation or use over a period of time (or energy).</w:t>
            </w:r>
            <w:r>
              <w:rPr>
                <w:szCs w:val="18"/>
              </w:rPr>
              <w:t xml:space="preserve"> One </w:t>
            </w:r>
            <w:proofErr w:type="spellStart"/>
            <w:r>
              <w:rPr>
                <w:szCs w:val="18"/>
              </w:rPr>
              <w:t>GWh</w:t>
            </w:r>
            <w:proofErr w:type="spellEnd"/>
            <w:r>
              <w:rPr>
                <w:szCs w:val="18"/>
              </w:rPr>
              <w:t xml:space="preserve"> is equivalent to 1,000,000 kWh.</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gross domestic product</w:t>
            </w:r>
          </w:p>
        </w:tc>
        <w:tc>
          <w:tcPr>
            <w:tcW w:w="977" w:type="pct"/>
          </w:tcPr>
          <w:p w:rsidR="00F260E6" w:rsidRDefault="00F260E6" w:rsidP="00E73743">
            <w:pPr>
              <w:pStyle w:val="TableText"/>
              <w:keepNext w:val="0"/>
              <w:keepLines w:val="0"/>
              <w:rPr>
                <w:szCs w:val="18"/>
              </w:rPr>
            </w:pPr>
            <w:r>
              <w:rPr>
                <w:szCs w:val="18"/>
              </w:rPr>
              <w:t>GDP</w:t>
            </w:r>
          </w:p>
        </w:tc>
        <w:tc>
          <w:tcPr>
            <w:tcW w:w="2962" w:type="pct"/>
          </w:tcPr>
          <w:p w:rsidR="00F260E6" w:rsidRDefault="00F260E6" w:rsidP="00E73743">
            <w:pPr>
              <w:pStyle w:val="TableText"/>
              <w:keepNext w:val="0"/>
              <w:keepLines w:val="0"/>
              <w:rPr>
                <w:szCs w:val="18"/>
              </w:rPr>
            </w:pPr>
            <w:r>
              <w:rPr>
                <w:szCs w:val="18"/>
              </w:rPr>
              <w:t xml:space="preserve">A measure of total activity in an economy, such as a country or region. It reflects the total market value of all final goods and services produced in that economy. </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gross national income (see also ‘terms of trade’)</w:t>
            </w:r>
          </w:p>
        </w:tc>
        <w:tc>
          <w:tcPr>
            <w:tcW w:w="977" w:type="pct"/>
          </w:tcPr>
          <w:p w:rsidR="00F260E6" w:rsidRDefault="00F260E6" w:rsidP="00E73743">
            <w:pPr>
              <w:pStyle w:val="TableText"/>
              <w:keepNext w:val="0"/>
              <w:keepLines w:val="0"/>
              <w:rPr>
                <w:szCs w:val="18"/>
              </w:rPr>
            </w:pPr>
            <w:r>
              <w:rPr>
                <w:szCs w:val="18"/>
              </w:rPr>
              <w:t>GNI</w:t>
            </w:r>
          </w:p>
        </w:tc>
        <w:tc>
          <w:tcPr>
            <w:tcW w:w="2962" w:type="pct"/>
          </w:tcPr>
          <w:p w:rsidR="00F260E6" w:rsidRDefault="008F7F4A" w:rsidP="00E73743">
            <w:pPr>
              <w:pStyle w:val="TableText"/>
              <w:keepNext w:val="0"/>
              <w:keepLines w:val="0"/>
              <w:rPr>
                <w:szCs w:val="18"/>
              </w:rPr>
            </w:pPr>
            <w:r w:rsidRPr="00813CE9">
              <w:rPr>
                <w:szCs w:val="18"/>
                <w:lang w:val="en-US"/>
              </w:rPr>
              <w:t>An economic measure of total income earned by residents of an economy that reflects gross domestic product, the terms of trade and international income transfers.</w:t>
            </w:r>
            <w:r w:rsidR="00F260E6">
              <w:rPr>
                <w:szCs w:val="18"/>
              </w:rPr>
              <w:t xml:space="preserve"> </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gross profits</w:t>
            </w:r>
          </w:p>
        </w:tc>
        <w:tc>
          <w:tcPr>
            <w:tcW w:w="977" w:type="pct"/>
          </w:tcPr>
          <w:p w:rsidR="00F260E6"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szCs w:val="18"/>
              </w:rPr>
            </w:pPr>
            <w:r>
              <w:rPr>
                <w:szCs w:val="18"/>
              </w:rPr>
              <w:t>For a business, the difference between revenue and operating costs.</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gross value added</w:t>
            </w:r>
          </w:p>
        </w:tc>
        <w:tc>
          <w:tcPr>
            <w:tcW w:w="977" w:type="pct"/>
          </w:tcPr>
          <w:p w:rsidR="00F260E6" w:rsidRDefault="00F260E6" w:rsidP="00E73743">
            <w:pPr>
              <w:pStyle w:val="TableText"/>
              <w:keepNext w:val="0"/>
              <w:keepLines w:val="0"/>
              <w:rPr>
                <w:szCs w:val="18"/>
              </w:rPr>
            </w:pPr>
            <w:r>
              <w:rPr>
                <w:szCs w:val="18"/>
              </w:rPr>
              <w:t>GVA</w:t>
            </w:r>
          </w:p>
        </w:tc>
        <w:tc>
          <w:tcPr>
            <w:tcW w:w="2962" w:type="pct"/>
          </w:tcPr>
          <w:p w:rsidR="00F260E6" w:rsidRDefault="00F260E6" w:rsidP="00E73743">
            <w:pPr>
              <w:pStyle w:val="TableText"/>
              <w:keepNext w:val="0"/>
              <w:keepLines w:val="0"/>
              <w:rPr>
                <w:szCs w:val="18"/>
              </w:rPr>
            </w:pPr>
            <w:r>
              <w:t>A measure of the economic value created by an economic sector or region. It is equal to the gross value of the sector or region’s output, minus the value of goods and services produced by other sectors that it uses as inputs (intermediate consumption).</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Independent Market Operator</w:t>
            </w:r>
          </w:p>
        </w:tc>
        <w:tc>
          <w:tcPr>
            <w:tcW w:w="977" w:type="pct"/>
          </w:tcPr>
          <w:p w:rsidR="00F260E6" w:rsidRPr="009617D9" w:rsidRDefault="00F260E6" w:rsidP="00E73743">
            <w:pPr>
              <w:pStyle w:val="TableText"/>
              <w:keepNext w:val="0"/>
              <w:keepLines w:val="0"/>
              <w:rPr>
                <w:szCs w:val="18"/>
              </w:rPr>
            </w:pPr>
            <w:r>
              <w:rPr>
                <w:szCs w:val="18"/>
              </w:rPr>
              <w:t>IMO</w:t>
            </w:r>
          </w:p>
        </w:tc>
        <w:tc>
          <w:tcPr>
            <w:tcW w:w="2962" w:type="pct"/>
          </w:tcPr>
          <w:p w:rsidR="00F260E6" w:rsidRPr="009617D9" w:rsidRDefault="00F260E6" w:rsidP="00E73743">
            <w:pPr>
              <w:pStyle w:val="TableText"/>
              <w:keepNext w:val="0"/>
              <w:keepLines w:val="0"/>
              <w:rPr>
                <w:szCs w:val="18"/>
              </w:rPr>
            </w:pPr>
            <w:r>
              <w:rPr>
                <w:szCs w:val="18"/>
              </w:rPr>
              <w:t>T</w:t>
            </w:r>
            <w:r w:rsidRPr="002258BB">
              <w:rPr>
                <w:szCs w:val="18"/>
              </w:rPr>
              <w:t>he entity that manages dispatch and planning in the South-West Interconnected</w:t>
            </w:r>
            <w:r>
              <w:rPr>
                <w:szCs w:val="18"/>
              </w:rPr>
              <w:t xml:space="preserve"> System</w:t>
            </w:r>
            <w:r w:rsidRPr="002258BB">
              <w:rPr>
                <w:szCs w:val="18"/>
              </w:rPr>
              <w:t>.</w:t>
            </w:r>
            <w:r>
              <w:rPr>
                <w:szCs w:val="18"/>
              </w:rPr>
              <w:t xml:space="preserve"> In 2015 the IMO functions were taken over by AEMO.</w:t>
            </w:r>
          </w:p>
        </w:tc>
      </w:tr>
      <w:tr w:rsidR="00F260E6" w:rsidRPr="00D50803" w:rsidTr="00E73743">
        <w:trPr>
          <w:trHeight w:val="80"/>
        </w:trPr>
        <w:tc>
          <w:tcPr>
            <w:tcW w:w="1061" w:type="pct"/>
            <w:noWrap/>
          </w:tcPr>
          <w:p w:rsidR="00F260E6" w:rsidRDefault="00F260E6" w:rsidP="000037B5">
            <w:pPr>
              <w:pStyle w:val="TableText"/>
              <w:rPr>
                <w:szCs w:val="18"/>
              </w:rPr>
            </w:pPr>
            <w:r>
              <w:rPr>
                <w:szCs w:val="18"/>
              </w:rPr>
              <w:lastRenderedPageBreak/>
              <w:t>indirect costs (see also ‘tax interaction effect’</w:t>
            </w:r>
            <w:r w:rsidR="004229E6">
              <w:rPr>
                <w:szCs w:val="18"/>
              </w:rPr>
              <w:t>)</w:t>
            </w:r>
          </w:p>
        </w:tc>
        <w:tc>
          <w:tcPr>
            <w:tcW w:w="977" w:type="pct"/>
          </w:tcPr>
          <w:p w:rsidR="00F260E6" w:rsidRPr="009617D9" w:rsidRDefault="00F260E6" w:rsidP="00E73743">
            <w:pPr>
              <w:pStyle w:val="TableText"/>
              <w:rPr>
                <w:szCs w:val="18"/>
              </w:rPr>
            </w:pPr>
          </w:p>
        </w:tc>
        <w:tc>
          <w:tcPr>
            <w:tcW w:w="2962" w:type="pct"/>
          </w:tcPr>
          <w:p w:rsidR="00F260E6" w:rsidRDefault="00F260E6" w:rsidP="001406D0">
            <w:pPr>
              <w:pStyle w:val="TableText"/>
            </w:pPr>
            <w:r>
              <w:t xml:space="preserve">In addition to their direct costs, emissions reduction policies often involve indirect costs, including those due to interactions with the tax system (‘tax interaction effects’).In some cases indirect costs can be reduced through recycling revenue raised by emissions reduction policies in way that improve economic efficiency. </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indirect emissions</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t>Greenhouse gas emissions arising from associated activities rather than the activity itself. For example</w:t>
            </w:r>
            <w:r w:rsidR="00054B90">
              <w:t>,</w:t>
            </w:r>
            <w:r>
              <w:t xml:space="preserve"> in the electricity sector indirect emissions from electricity supply would include those from transporting fuel to a power station.</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 xml:space="preserve">Intergovernmental </w:t>
            </w:r>
            <w:r>
              <w:rPr>
                <w:szCs w:val="18"/>
              </w:rPr>
              <w:t>P</w:t>
            </w:r>
            <w:r w:rsidRPr="009617D9">
              <w:rPr>
                <w:szCs w:val="18"/>
              </w:rPr>
              <w:t xml:space="preserve">anel on </w:t>
            </w:r>
            <w:r>
              <w:rPr>
                <w:szCs w:val="18"/>
              </w:rPr>
              <w:t>C</w:t>
            </w:r>
            <w:r w:rsidRPr="009617D9">
              <w:rPr>
                <w:szCs w:val="18"/>
              </w:rPr>
              <w:t xml:space="preserve">limate </w:t>
            </w:r>
            <w:r>
              <w:rPr>
                <w:szCs w:val="18"/>
              </w:rPr>
              <w:t>C</w:t>
            </w:r>
            <w:r w:rsidRPr="009617D9">
              <w:rPr>
                <w:szCs w:val="18"/>
              </w:rPr>
              <w:t>hange</w:t>
            </w:r>
          </w:p>
        </w:tc>
        <w:tc>
          <w:tcPr>
            <w:tcW w:w="977" w:type="pct"/>
          </w:tcPr>
          <w:p w:rsidR="00F260E6" w:rsidRPr="009617D9" w:rsidRDefault="00F260E6" w:rsidP="00E73743">
            <w:pPr>
              <w:pStyle w:val="TableText"/>
              <w:keepNext w:val="0"/>
              <w:keepLines w:val="0"/>
              <w:rPr>
                <w:szCs w:val="18"/>
              </w:rPr>
            </w:pPr>
            <w:r w:rsidRPr="009617D9">
              <w:rPr>
                <w:szCs w:val="18"/>
              </w:rPr>
              <w:t>IPCC</w:t>
            </w:r>
          </w:p>
        </w:tc>
        <w:tc>
          <w:tcPr>
            <w:tcW w:w="2962" w:type="pct"/>
          </w:tcPr>
          <w:p w:rsidR="00F260E6" w:rsidRPr="009617D9" w:rsidRDefault="00F260E6" w:rsidP="00E73743">
            <w:pPr>
              <w:pStyle w:val="TableText"/>
              <w:keepNext w:val="0"/>
              <w:keepLines w:val="0"/>
              <w:rPr>
                <w:szCs w:val="18"/>
              </w:rPr>
            </w:pPr>
            <w:r w:rsidRPr="009617D9">
              <w:rPr>
                <w:szCs w:val="18"/>
              </w:rPr>
              <w:t>Scientific intergovernmental body that produces reports that support the United Nations Framework Convention on Climate Change, which is the main international treaty on climate change</w:t>
            </w:r>
            <w:r>
              <w:rPr>
                <w:szCs w:val="18"/>
              </w:rPr>
              <w: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intermittent generation</w:t>
            </w:r>
          </w:p>
        </w:tc>
        <w:tc>
          <w:tcPr>
            <w:tcW w:w="977" w:type="pct"/>
          </w:tcPr>
          <w:p w:rsidR="00F260E6" w:rsidRPr="009617D9"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rFonts w:cs="Arial"/>
                <w:color w:val="333333"/>
                <w:szCs w:val="18"/>
              </w:rPr>
            </w:pPr>
            <w:r>
              <w:rPr>
                <w:rFonts w:cs="Arial"/>
                <w:color w:val="333333"/>
                <w:szCs w:val="18"/>
              </w:rPr>
              <w:t>A generator whose output is not readily predictable within periods relevant for the market operator. Examples are solar generators, wave generators, wi</w:t>
            </w:r>
            <w:r w:rsidR="00951152">
              <w:rPr>
                <w:rFonts w:cs="Arial"/>
                <w:color w:val="333333"/>
                <w:szCs w:val="18"/>
              </w:rPr>
              <w:t xml:space="preserve">nd turbine generators and hydro </w:t>
            </w:r>
            <w:r>
              <w:rPr>
                <w:rFonts w:cs="Arial"/>
                <w:color w:val="333333"/>
                <w:szCs w:val="18"/>
              </w:rPr>
              <w:t xml:space="preserve">generators without any material storage capability. </w:t>
            </w:r>
          </w:p>
          <w:p w:rsidR="00F260E6" w:rsidRPr="009617D9" w:rsidRDefault="00F260E6" w:rsidP="00E73743">
            <w:pPr>
              <w:pStyle w:val="TableText"/>
              <w:keepNext w:val="0"/>
              <w:keepLines w:val="0"/>
              <w:rPr>
                <w:szCs w:val="18"/>
              </w:rPr>
            </w:pPr>
            <w:r>
              <w:rPr>
                <w:rFonts w:cs="Arial"/>
                <w:color w:val="333333"/>
                <w:szCs w:val="18"/>
              </w:rPr>
              <w:t>A non-intermittent generator is any generator that is not intermittent.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kilowatt hour</w:t>
            </w:r>
          </w:p>
        </w:tc>
        <w:tc>
          <w:tcPr>
            <w:tcW w:w="977" w:type="pct"/>
          </w:tcPr>
          <w:p w:rsidR="00F260E6" w:rsidRPr="009617D9" w:rsidRDefault="00F260E6" w:rsidP="00E73743">
            <w:pPr>
              <w:pStyle w:val="TableText"/>
              <w:keepNext w:val="0"/>
              <w:keepLines w:val="0"/>
              <w:rPr>
                <w:szCs w:val="18"/>
              </w:rPr>
            </w:pPr>
            <w:r w:rsidRPr="009617D9">
              <w:rPr>
                <w:szCs w:val="18"/>
              </w:rPr>
              <w:t>kWh</w:t>
            </w:r>
          </w:p>
        </w:tc>
        <w:tc>
          <w:tcPr>
            <w:tcW w:w="2962" w:type="pct"/>
          </w:tcPr>
          <w:p w:rsidR="00F260E6" w:rsidRPr="009617D9" w:rsidRDefault="00F260E6" w:rsidP="00E73743">
            <w:pPr>
              <w:pStyle w:val="TableText"/>
              <w:keepNext w:val="0"/>
              <w:keepLines w:val="0"/>
              <w:rPr>
                <w:szCs w:val="18"/>
              </w:rPr>
            </w:pPr>
            <w:r w:rsidRPr="009617D9">
              <w:rPr>
                <w:szCs w:val="18"/>
              </w:rPr>
              <w:t>A measure of electricity generation or use over a period of time (or energy).</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lang w:val="en-GB"/>
              </w:rPr>
              <w:t>large</w:t>
            </w:r>
            <w:r>
              <w:rPr>
                <w:lang w:val="en-GB"/>
              </w:rPr>
              <w:noBreakHyphen/>
              <w:t>scale generator</w:t>
            </w:r>
          </w:p>
        </w:tc>
        <w:tc>
          <w:tcPr>
            <w:tcW w:w="977" w:type="pct"/>
          </w:tcPr>
          <w:p w:rsidR="00F260E6" w:rsidRPr="009617D9"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rFonts w:cs="Arial"/>
                <w:color w:val="333333"/>
                <w:szCs w:val="18"/>
              </w:rPr>
            </w:pPr>
            <w:r w:rsidRPr="00580B9F">
              <w:rPr>
                <w:rFonts w:cs="Arial"/>
                <w:color w:val="333333"/>
                <w:szCs w:val="18"/>
              </w:rPr>
              <w:t xml:space="preserve">A generating facility such as a coal-fired power plant or a wind generator, generally </w:t>
            </w:r>
            <w:proofErr w:type="gramStart"/>
            <w:r w:rsidRPr="00580B9F">
              <w:rPr>
                <w:rFonts w:cs="Arial"/>
                <w:color w:val="333333"/>
                <w:szCs w:val="18"/>
              </w:rPr>
              <w:t>either directly</w:t>
            </w:r>
            <w:proofErr w:type="gramEnd"/>
            <w:r w:rsidRPr="00580B9F">
              <w:rPr>
                <w:rFonts w:cs="Arial"/>
                <w:color w:val="333333"/>
                <w:szCs w:val="18"/>
              </w:rPr>
              <w:t xml:space="preserve"> settled in the electricity wholesale market and/or is centrally dispatched or monitored by the market operator. </w:t>
            </w:r>
          </w:p>
          <w:p w:rsidR="00F260E6" w:rsidRPr="009617D9" w:rsidRDefault="00F260E6" w:rsidP="00AD11F0">
            <w:pPr>
              <w:pStyle w:val="TableText"/>
              <w:keepNext w:val="0"/>
              <w:keepLines w:val="0"/>
              <w:rPr>
                <w:szCs w:val="18"/>
              </w:rPr>
            </w:pPr>
            <w:r>
              <w:rPr>
                <w:rFonts w:cs="Arial"/>
                <w:color w:val="333333"/>
                <w:szCs w:val="18"/>
              </w:rPr>
              <w:t>In this report this</w:t>
            </w:r>
            <w:r w:rsidRPr="00580B9F">
              <w:rPr>
                <w:rFonts w:cs="Arial"/>
                <w:color w:val="333333"/>
                <w:szCs w:val="18"/>
              </w:rPr>
              <w:t xml:space="preserve"> term </w:t>
            </w:r>
            <w:r>
              <w:rPr>
                <w:rFonts w:cs="Arial"/>
                <w:color w:val="333333"/>
                <w:szCs w:val="18"/>
              </w:rPr>
              <w:t>is used as a</w:t>
            </w:r>
            <w:r w:rsidRPr="00580B9F">
              <w:rPr>
                <w:rFonts w:cs="Arial"/>
                <w:color w:val="333333"/>
                <w:szCs w:val="18"/>
              </w:rPr>
              <w:t xml:space="preserve"> general </w:t>
            </w:r>
            <w:r>
              <w:rPr>
                <w:rFonts w:cs="Arial"/>
                <w:color w:val="333333"/>
                <w:szCs w:val="18"/>
              </w:rPr>
              <w:t>one</w:t>
            </w:r>
            <w:r w:rsidRPr="00580B9F">
              <w:rPr>
                <w:rFonts w:cs="Arial"/>
                <w:color w:val="333333"/>
                <w:szCs w:val="18"/>
              </w:rPr>
              <w:t xml:space="preserve"> for generators that are not distributed. In practice, some small generating facilities are dispatched by the market operator, and some large </w:t>
            </w:r>
            <w:r>
              <w:rPr>
                <w:rFonts w:cs="Arial"/>
                <w:color w:val="333333"/>
                <w:szCs w:val="18"/>
              </w:rPr>
              <w:t>generators</w:t>
            </w:r>
            <w:r w:rsidRPr="00580B9F">
              <w:rPr>
                <w:rFonts w:cs="Arial"/>
                <w:color w:val="333333"/>
                <w:szCs w:val="18"/>
              </w:rPr>
              <w:t xml:space="preserve"> are distribut</w:t>
            </w:r>
            <w:r>
              <w:rPr>
                <w:rFonts w:cs="Arial"/>
                <w:color w:val="333333"/>
                <w:szCs w:val="18"/>
              </w:rPr>
              <w:t xml:space="preserve">ed. However, giving a precise </w:t>
            </w:r>
            <w:r w:rsidRPr="00580B9F">
              <w:rPr>
                <w:rFonts w:cs="Arial"/>
                <w:color w:val="333333"/>
                <w:szCs w:val="18"/>
              </w:rPr>
              <w:t xml:space="preserve">definition </w:t>
            </w:r>
            <w:r>
              <w:rPr>
                <w:rFonts w:cs="Arial"/>
                <w:color w:val="333333"/>
                <w:szCs w:val="18"/>
              </w:rPr>
              <w:t>would unnecessarily complicate</w:t>
            </w:r>
            <w:r w:rsidRPr="00580B9F">
              <w:rPr>
                <w:rFonts w:cs="Arial"/>
                <w:color w:val="333333"/>
                <w:szCs w:val="18"/>
              </w:rPr>
              <w:t xml:space="preserve"> </w:t>
            </w:r>
            <w:r>
              <w:rPr>
                <w:rFonts w:cs="Arial"/>
                <w:color w:val="333333"/>
                <w:szCs w:val="18"/>
              </w:rPr>
              <w:t>the term for the purposes of</w:t>
            </w:r>
            <w:r w:rsidRPr="00580B9F">
              <w:rPr>
                <w:rFonts w:cs="Arial"/>
                <w:color w:val="333333"/>
                <w:szCs w:val="18"/>
              </w:rPr>
              <w:t xml:space="preserve"> this </w:t>
            </w:r>
            <w:r w:rsidR="00AD11F0">
              <w:rPr>
                <w:rFonts w:cs="Arial"/>
                <w:color w:val="333333"/>
                <w:szCs w:val="18"/>
              </w:rPr>
              <w:t>report</w:t>
            </w:r>
            <w:r w:rsidRPr="00580B9F">
              <w:rPr>
                <w:rFonts w:cs="Arial"/>
                <w:color w:val="333333"/>
                <w:szCs w:val="18"/>
              </w:rPr>
              <w: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Large-scale Renewable Energy Target</w:t>
            </w:r>
          </w:p>
        </w:tc>
        <w:tc>
          <w:tcPr>
            <w:tcW w:w="977" w:type="pct"/>
          </w:tcPr>
          <w:p w:rsidR="00F260E6" w:rsidRPr="009617D9" w:rsidRDefault="00F260E6" w:rsidP="00E73743">
            <w:pPr>
              <w:pStyle w:val="TableText"/>
              <w:keepNext w:val="0"/>
              <w:keepLines w:val="0"/>
              <w:rPr>
                <w:szCs w:val="18"/>
              </w:rPr>
            </w:pPr>
            <w:r w:rsidRPr="009617D9">
              <w:rPr>
                <w:szCs w:val="18"/>
              </w:rPr>
              <w:t>LRET</w:t>
            </w:r>
          </w:p>
        </w:tc>
        <w:tc>
          <w:tcPr>
            <w:tcW w:w="2962" w:type="pct"/>
          </w:tcPr>
          <w:p w:rsidR="00F260E6" w:rsidRPr="009617D9" w:rsidRDefault="00F260E6" w:rsidP="00E73743">
            <w:pPr>
              <w:pStyle w:val="TableText"/>
              <w:keepNext w:val="0"/>
              <w:keepLines w:val="0"/>
              <w:rPr>
                <w:szCs w:val="18"/>
              </w:rPr>
            </w:pPr>
            <w:r>
              <w:rPr>
                <w:szCs w:val="18"/>
              </w:rPr>
              <w:t>Commonwealth policy that creates a financial incentive for the establishment or expansion of renewable energy power stations, such a</w:t>
            </w:r>
            <w:r w:rsidR="003F571E">
              <w:rPr>
                <w:szCs w:val="18"/>
              </w:rPr>
              <w:t>s wind and solar farms or hydro</w:t>
            </w:r>
            <w:r>
              <w:rPr>
                <w:szCs w:val="18"/>
              </w:rPr>
              <w:t>electric power stations.</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low emissions target</w:t>
            </w:r>
          </w:p>
        </w:tc>
        <w:tc>
          <w:tcPr>
            <w:tcW w:w="977" w:type="pct"/>
          </w:tcPr>
          <w:p w:rsidR="00F260E6" w:rsidRDefault="00F260E6" w:rsidP="00E73743">
            <w:pPr>
              <w:pStyle w:val="TableText"/>
              <w:keepNext w:val="0"/>
              <w:keepLines w:val="0"/>
              <w:rPr>
                <w:szCs w:val="18"/>
              </w:rPr>
            </w:pPr>
            <w:r>
              <w:rPr>
                <w:szCs w:val="18"/>
              </w:rPr>
              <w:t>LET</w:t>
            </w:r>
          </w:p>
        </w:tc>
        <w:tc>
          <w:tcPr>
            <w:tcW w:w="2962" w:type="pct"/>
          </w:tcPr>
          <w:p w:rsidR="00F260E6" w:rsidRDefault="00F260E6" w:rsidP="00E73743">
            <w:pPr>
              <w:pStyle w:val="TableText"/>
              <w:keepNext w:val="0"/>
              <w:keepLines w:val="0"/>
              <w:rPr>
                <w:szCs w:val="18"/>
              </w:rPr>
            </w:pPr>
            <w:r>
              <w:t>A type of technology pull policy that creates a market for additional zero or low-emissions electricity that supports investment in new zero- or low-emissions capacity</w:t>
            </w:r>
            <w:r w:rsidRPr="006C7F13">
              <w:t xml:space="preserve">. Eligible generators get certificates to sell (scaled in line with </w:t>
            </w:r>
            <w:r>
              <w:t xml:space="preserve">their </w:t>
            </w:r>
            <w:r w:rsidRPr="006C7F13">
              <w:t xml:space="preserve">emissions intensity), </w:t>
            </w:r>
            <w:r>
              <w:t xml:space="preserve">which electricity </w:t>
            </w:r>
            <w:r w:rsidRPr="006C7F13">
              <w:t>retailers buy</w:t>
            </w:r>
            <w:r>
              <w:t xml:space="preserve"> to meet their target obligations</w:t>
            </w:r>
            <w:r w:rsidRPr="006C7F13">
              <w:t xml:space="preserve">. </w:t>
            </w:r>
            <w:r>
              <w:t xml:space="preserve">Trade in certificates determines their </w:t>
            </w:r>
            <w:r w:rsidR="006F129B">
              <w:t>price, which subsidises new low</w:t>
            </w:r>
            <w:r w:rsidR="006F129B">
              <w:noBreakHyphen/>
            </w:r>
            <w:r>
              <w:t>emissions generation.</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lump sum</w:t>
            </w:r>
          </w:p>
        </w:tc>
        <w:tc>
          <w:tcPr>
            <w:tcW w:w="977" w:type="pct"/>
          </w:tcPr>
          <w:p w:rsidR="00F260E6" w:rsidRDefault="00F260E6" w:rsidP="00E73743">
            <w:pPr>
              <w:pStyle w:val="TableText"/>
              <w:keepNext w:val="0"/>
              <w:keepLines w:val="0"/>
              <w:rPr>
                <w:szCs w:val="18"/>
              </w:rPr>
            </w:pPr>
          </w:p>
        </w:tc>
        <w:tc>
          <w:tcPr>
            <w:tcW w:w="2962" w:type="pct"/>
          </w:tcPr>
          <w:p w:rsidR="00F260E6" w:rsidRDefault="00F260E6" w:rsidP="001406D0">
            <w:pPr>
              <w:pStyle w:val="TableText"/>
              <w:keepNext w:val="0"/>
              <w:keepLines w:val="0"/>
              <w:rPr>
                <w:szCs w:val="18"/>
              </w:rPr>
            </w:pPr>
            <w:r>
              <w:rPr>
                <w:lang w:val="en-GB"/>
              </w:rPr>
              <w:t xml:space="preserve">Lump sum payments are </w:t>
            </w:r>
            <w:r w:rsidR="001406D0">
              <w:rPr>
                <w:lang w:val="en-GB"/>
              </w:rPr>
              <w:t xml:space="preserve">government </w:t>
            </w:r>
            <w:r>
              <w:rPr>
                <w:lang w:val="en-GB"/>
              </w:rPr>
              <w:t>payments such as pensions. While they return government revenue to households, resulting in an increase in consumption, they have a minimal effect on economic efficiency.</w:t>
            </w:r>
          </w:p>
        </w:tc>
      </w:tr>
      <w:tr w:rsidR="00F260E6" w:rsidRPr="00D50803" w:rsidTr="00E73743">
        <w:trPr>
          <w:trHeight w:val="80"/>
        </w:trPr>
        <w:tc>
          <w:tcPr>
            <w:tcW w:w="1061" w:type="pct"/>
            <w:noWrap/>
          </w:tcPr>
          <w:p w:rsidR="00F260E6" w:rsidRDefault="00C10CAE" w:rsidP="001733B9">
            <w:pPr>
              <w:pStyle w:val="TableText"/>
              <w:keepNext w:val="0"/>
              <w:keepLines w:val="0"/>
              <w:rPr>
                <w:szCs w:val="18"/>
              </w:rPr>
            </w:pPr>
            <w:r>
              <w:rPr>
                <w:szCs w:val="18"/>
              </w:rPr>
              <w:t>market mechanisms</w:t>
            </w:r>
          </w:p>
        </w:tc>
        <w:tc>
          <w:tcPr>
            <w:tcW w:w="977" w:type="pct"/>
          </w:tcPr>
          <w:p w:rsidR="00F260E6" w:rsidRDefault="00F260E6" w:rsidP="00E73743">
            <w:pPr>
              <w:pStyle w:val="TableText"/>
              <w:keepNext w:val="0"/>
              <w:keepLines w:val="0"/>
              <w:rPr>
                <w:szCs w:val="18"/>
              </w:rPr>
            </w:pPr>
          </w:p>
        </w:tc>
        <w:tc>
          <w:tcPr>
            <w:tcW w:w="2962" w:type="pct"/>
          </w:tcPr>
          <w:p w:rsidR="00F260E6" w:rsidRDefault="008F7F4A" w:rsidP="001406D0">
            <w:pPr>
              <w:pStyle w:val="TableText"/>
              <w:keepNext w:val="0"/>
              <w:keepLines w:val="0"/>
              <w:rPr>
                <w:szCs w:val="18"/>
              </w:rPr>
            </w:pPr>
            <w:r>
              <w:rPr>
                <w:szCs w:val="18"/>
              </w:rPr>
              <w:t>In this report, ‘market mechanisms’ refers to p</w:t>
            </w:r>
            <w:r w:rsidR="00F260E6">
              <w:rPr>
                <w:szCs w:val="18"/>
              </w:rPr>
              <w:t xml:space="preserve">olicies which use </w:t>
            </w:r>
            <w:r w:rsidR="001406D0">
              <w:rPr>
                <w:szCs w:val="18"/>
              </w:rPr>
              <w:t>markets</w:t>
            </w:r>
            <w:r w:rsidR="00F260E6">
              <w:rPr>
                <w:szCs w:val="18"/>
              </w:rPr>
              <w:t xml:space="preserve"> to change the relative price of goods and services in proportion to their emissions intensity. Examples include cap and trade schemes, emissions intensity schemes and carbon taxes.</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megawatt</w:t>
            </w:r>
          </w:p>
        </w:tc>
        <w:tc>
          <w:tcPr>
            <w:tcW w:w="977" w:type="pct"/>
          </w:tcPr>
          <w:p w:rsidR="00F260E6" w:rsidRPr="009617D9" w:rsidRDefault="00F260E6" w:rsidP="00E73743">
            <w:pPr>
              <w:pStyle w:val="TableText"/>
              <w:keepNext w:val="0"/>
              <w:keepLines w:val="0"/>
              <w:rPr>
                <w:szCs w:val="18"/>
              </w:rPr>
            </w:pPr>
            <w:r w:rsidRPr="009617D9">
              <w:rPr>
                <w:szCs w:val="18"/>
              </w:rPr>
              <w:t>MW</w:t>
            </w:r>
          </w:p>
        </w:tc>
        <w:tc>
          <w:tcPr>
            <w:tcW w:w="2962" w:type="pct"/>
          </w:tcPr>
          <w:p w:rsidR="00F260E6" w:rsidRPr="009617D9" w:rsidRDefault="00F260E6" w:rsidP="00E73743">
            <w:pPr>
              <w:pStyle w:val="TableText"/>
              <w:keepNext w:val="0"/>
              <w:keepLines w:val="0"/>
              <w:rPr>
                <w:szCs w:val="18"/>
              </w:rPr>
            </w:pPr>
            <w:r w:rsidRPr="009617D9">
              <w:rPr>
                <w:szCs w:val="18"/>
              </w:rPr>
              <w:t>A measure of power (or demand).</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megawatt hour</w:t>
            </w:r>
          </w:p>
        </w:tc>
        <w:tc>
          <w:tcPr>
            <w:tcW w:w="977" w:type="pct"/>
          </w:tcPr>
          <w:p w:rsidR="00F260E6" w:rsidRPr="009617D9" w:rsidRDefault="00F260E6" w:rsidP="00E73743">
            <w:pPr>
              <w:pStyle w:val="TableText"/>
              <w:keepNext w:val="0"/>
              <w:keepLines w:val="0"/>
              <w:rPr>
                <w:szCs w:val="18"/>
              </w:rPr>
            </w:pPr>
            <w:r w:rsidRPr="009617D9">
              <w:rPr>
                <w:szCs w:val="18"/>
              </w:rPr>
              <w:t>MWh</w:t>
            </w:r>
          </w:p>
        </w:tc>
        <w:tc>
          <w:tcPr>
            <w:tcW w:w="2962" w:type="pct"/>
          </w:tcPr>
          <w:p w:rsidR="00F260E6" w:rsidRPr="009617D9" w:rsidRDefault="00F260E6" w:rsidP="00E73743">
            <w:pPr>
              <w:pStyle w:val="TableText"/>
              <w:keepNext w:val="0"/>
              <w:keepLines w:val="0"/>
              <w:rPr>
                <w:szCs w:val="18"/>
              </w:rPr>
            </w:pPr>
            <w:r w:rsidRPr="009617D9">
              <w:rPr>
                <w:szCs w:val="18"/>
              </w:rPr>
              <w:t>A measure of electricity generation/use over a period of time (or energy).</w:t>
            </w:r>
            <w:r>
              <w:rPr>
                <w:szCs w:val="18"/>
              </w:rPr>
              <w:t xml:space="preserve"> One MWh is equivalent to 1,000 kWh.</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National Electricity Market</w:t>
            </w:r>
          </w:p>
        </w:tc>
        <w:tc>
          <w:tcPr>
            <w:tcW w:w="977" w:type="pct"/>
          </w:tcPr>
          <w:p w:rsidR="00F260E6" w:rsidRPr="009617D9" w:rsidRDefault="00F260E6" w:rsidP="00E73743">
            <w:pPr>
              <w:pStyle w:val="TableText"/>
              <w:keepNext w:val="0"/>
              <w:keepLines w:val="0"/>
              <w:rPr>
                <w:szCs w:val="18"/>
              </w:rPr>
            </w:pPr>
            <w:r w:rsidRPr="009617D9">
              <w:rPr>
                <w:szCs w:val="18"/>
              </w:rPr>
              <w:t>NEM</w:t>
            </w:r>
          </w:p>
        </w:tc>
        <w:tc>
          <w:tcPr>
            <w:tcW w:w="2962" w:type="pct"/>
          </w:tcPr>
          <w:p w:rsidR="00F260E6" w:rsidRPr="009617D9" w:rsidRDefault="00F260E6" w:rsidP="00E73743">
            <w:pPr>
              <w:pStyle w:val="TableText"/>
              <w:keepNext w:val="0"/>
              <w:keepLines w:val="0"/>
              <w:rPr>
                <w:szCs w:val="18"/>
              </w:rPr>
            </w:pPr>
            <w:r w:rsidRPr="009617D9">
              <w:rPr>
                <w:szCs w:val="18"/>
              </w:rPr>
              <w:t>The National Electricity Market interconnects five regional market jurisdictions (Queensland, New South Wales, Victoria, South Australia and Tasmania). Western Australia and the Northern Territory are not connected to the National Electricity Market.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net national emissions</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szCs w:val="18"/>
              </w:rPr>
              <w:t>National greenhouse gas emissions net of purchases or sales of international permits</w:t>
            </w:r>
            <w:r w:rsidR="00BA12C7">
              <w:rPr>
                <w:szCs w:val="18"/>
              </w:rPr>
              <w:t xml:space="preserve"> or credits</w:t>
            </w:r>
            <w:r>
              <w:rPr>
                <w:szCs w:val="18"/>
              </w:rPr>
              <w: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sidRPr="009617D9">
              <w:rPr>
                <w:szCs w:val="18"/>
              </w:rPr>
              <w:t>net present value</w:t>
            </w:r>
            <w:r>
              <w:rPr>
                <w:szCs w:val="18"/>
              </w:rPr>
              <w:t xml:space="preserve"> </w:t>
            </w:r>
            <w:r>
              <w:rPr>
                <w:lang w:val="en-US"/>
              </w:rPr>
              <w:t>(see also ‘discounting’ and ‘present value’)</w:t>
            </w:r>
          </w:p>
        </w:tc>
        <w:tc>
          <w:tcPr>
            <w:tcW w:w="977" w:type="pct"/>
          </w:tcPr>
          <w:p w:rsidR="00F260E6" w:rsidRPr="009617D9" w:rsidRDefault="00F260E6" w:rsidP="00E73743">
            <w:pPr>
              <w:pStyle w:val="TableText"/>
              <w:keepNext w:val="0"/>
              <w:keepLines w:val="0"/>
              <w:rPr>
                <w:szCs w:val="18"/>
              </w:rPr>
            </w:pPr>
            <w:r w:rsidRPr="009617D9">
              <w:rPr>
                <w:szCs w:val="18"/>
              </w:rPr>
              <w:t>NPV</w:t>
            </w:r>
          </w:p>
        </w:tc>
        <w:tc>
          <w:tcPr>
            <w:tcW w:w="2962" w:type="pct"/>
          </w:tcPr>
          <w:p w:rsidR="00F260E6" w:rsidRPr="009617D9" w:rsidRDefault="00F260E6" w:rsidP="00E73743">
            <w:pPr>
              <w:pStyle w:val="TableText"/>
              <w:keepNext w:val="0"/>
              <w:keepLines w:val="0"/>
              <w:rPr>
                <w:szCs w:val="18"/>
              </w:rPr>
            </w:pPr>
            <w:r w:rsidRPr="009617D9">
              <w:rPr>
                <w:szCs w:val="18"/>
              </w:rPr>
              <w:t>Net present value is a standard method for using the time value of money</w:t>
            </w:r>
            <w:r>
              <w:rPr>
                <w:szCs w:val="18"/>
              </w:rPr>
              <w:t>, or ‘discounting’,</w:t>
            </w:r>
            <w:r w:rsidRPr="009617D9">
              <w:rPr>
                <w:szCs w:val="18"/>
              </w:rPr>
              <w:t xml:space="preserve"> to </w:t>
            </w:r>
            <w:r>
              <w:rPr>
                <w:szCs w:val="18"/>
              </w:rPr>
              <w:t>compare</w:t>
            </w:r>
            <w:r w:rsidRPr="009617D9">
              <w:rPr>
                <w:szCs w:val="18"/>
              </w:rPr>
              <w:t xml:space="preserve"> </w:t>
            </w:r>
            <w:r>
              <w:rPr>
                <w:szCs w:val="18"/>
              </w:rPr>
              <w:t xml:space="preserve">the present value of </w:t>
            </w:r>
            <w:r w:rsidRPr="009617D9">
              <w:rPr>
                <w:szCs w:val="18"/>
              </w:rPr>
              <w:t>future costs</w:t>
            </w:r>
            <w:r>
              <w:rPr>
                <w:szCs w:val="18"/>
              </w:rPr>
              <w:t xml:space="preserve"> and future benefits</w:t>
            </w:r>
            <w:r w:rsidRPr="009617D9">
              <w:rPr>
                <w:szCs w:val="18"/>
              </w:rPr>
              <w:t>.</w:t>
            </w:r>
          </w:p>
        </w:tc>
      </w:tr>
      <w:tr w:rsidR="00F260E6" w:rsidRPr="00D50803" w:rsidTr="00E73743">
        <w:trPr>
          <w:trHeight w:val="80"/>
        </w:trPr>
        <w:tc>
          <w:tcPr>
            <w:tcW w:w="1061" w:type="pct"/>
            <w:noWrap/>
          </w:tcPr>
          <w:p w:rsidR="00F260E6" w:rsidRDefault="00F260E6" w:rsidP="00E73743">
            <w:pPr>
              <w:pStyle w:val="TableText"/>
              <w:keepNext w:val="0"/>
              <w:keepLines w:val="0"/>
              <w:rPr>
                <w:lang w:val="en-GB"/>
              </w:rPr>
            </w:pPr>
            <w:r>
              <w:rPr>
                <w:lang w:val="en-GB"/>
              </w:rPr>
              <w:lastRenderedPageBreak/>
              <w:t>open-cycle gas turbines</w:t>
            </w:r>
          </w:p>
        </w:tc>
        <w:tc>
          <w:tcPr>
            <w:tcW w:w="977" w:type="pct"/>
          </w:tcPr>
          <w:p w:rsidR="00F260E6" w:rsidRPr="009617D9" w:rsidRDefault="00F260E6" w:rsidP="00E73743">
            <w:pPr>
              <w:pStyle w:val="TableText"/>
              <w:keepNext w:val="0"/>
              <w:keepLines w:val="0"/>
              <w:rPr>
                <w:szCs w:val="18"/>
              </w:rPr>
            </w:pPr>
            <w:r>
              <w:rPr>
                <w:szCs w:val="18"/>
              </w:rPr>
              <w:t>OCGT</w:t>
            </w:r>
          </w:p>
        </w:tc>
        <w:tc>
          <w:tcPr>
            <w:tcW w:w="2962" w:type="pct"/>
          </w:tcPr>
          <w:p w:rsidR="00F260E6" w:rsidRDefault="00F260E6" w:rsidP="00E73743">
            <w:pPr>
              <w:pStyle w:val="TableText"/>
              <w:keepNext w:val="0"/>
              <w:keepLines w:val="0"/>
              <w:rPr>
                <w:rFonts w:cs="Arial"/>
                <w:color w:val="333333"/>
                <w:szCs w:val="18"/>
              </w:rPr>
            </w:pPr>
            <w:r>
              <w:rPr>
                <w:rFonts w:cs="Arial"/>
                <w:color w:val="333333"/>
                <w:szCs w:val="18"/>
              </w:rPr>
              <w:t>A type of gas-fired power plant.</w:t>
            </w:r>
          </w:p>
          <w:p w:rsidR="00F260E6" w:rsidRDefault="00F260E6" w:rsidP="00E73743">
            <w:pPr>
              <w:pStyle w:val="TableText"/>
              <w:keepNext w:val="0"/>
              <w:keepLines w:val="0"/>
            </w:pPr>
            <w:r>
              <w:rPr>
                <w:rFonts w:cs="Arial"/>
                <w:color w:val="333333"/>
                <w:szCs w:val="18"/>
              </w:rPr>
              <w:t>Open</w:t>
            </w:r>
            <w:r>
              <w:rPr>
                <w:rFonts w:cs="Arial"/>
                <w:color w:val="333333"/>
                <w:szCs w:val="18"/>
              </w:rPr>
              <w:noBreakHyphen/>
              <w:t xml:space="preserve">cycle technology uses gas turbine cycles in a single plant to produce electricity. </w:t>
            </w:r>
            <w:r>
              <w:t>Open</w:t>
            </w:r>
            <w:r>
              <w:noBreakHyphen/>
              <w:t>cycle gas turbines are have lower capital costs than combined</w:t>
            </w:r>
            <w:r>
              <w:noBreakHyphen/>
              <w:t>cycle gas turbines and are very quick to start but have lower efficiency, so these generators typically operate in a peaking role.</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lang w:val="en-GB"/>
              </w:rPr>
              <w:t>operational demand</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t>A</w:t>
            </w:r>
            <w:r w:rsidRPr="007729CB">
              <w:t xml:space="preserve">ll </w:t>
            </w:r>
            <w:r>
              <w:t xml:space="preserve">electricity demanded by residential, </w:t>
            </w:r>
            <w:r w:rsidRPr="007729CB">
              <w:t>commercial</w:t>
            </w:r>
            <w:r>
              <w:t xml:space="preserve"> and industrial</w:t>
            </w:r>
            <w:r w:rsidRPr="007729CB">
              <w:t xml:space="preserve"> consumers, from the electricity grid, including</w:t>
            </w:r>
            <w:r>
              <w:t xml:space="preserve"> distribution and</w:t>
            </w:r>
            <w:r w:rsidRPr="007729CB">
              <w:t xml:space="preserve"> transmission losses</w:t>
            </w:r>
            <w:r>
              <w:t xml:space="preserve"> and ‘auxiliary loads’ (the electricity required to generate electricity)</w:t>
            </w:r>
            <w:r w:rsidRPr="007729CB">
              <w:t>.</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peak demand</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4229E6" w:rsidP="00E73743">
            <w:pPr>
              <w:pStyle w:val="TableText"/>
              <w:keepNext w:val="0"/>
              <w:keepLines w:val="0"/>
              <w:rPr>
                <w:szCs w:val="18"/>
              </w:rPr>
            </w:pPr>
            <w:r>
              <w:t>The maximum level of demand in a period of time</w:t>
            </w:r>
            <w:r w:rsidR="00F260E6">
              <w:t>.</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lang w:val="en-GB"/>
              </w:rPr>
              <w:t>peaking generator</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7615CF">
            <w:pPr>
              <w:pStyle w:val="TableText"/>
              <w:keepNext w:val="0"/>
              <w:keepLines w:val="0"/>
              <w:rPr>
                <w:szCs w:val="18"/>
              </w:rPr>
            </w:pPr>
            <w:r>
              <w:rPr>
                <w:rFonts w:cs="Arial"/>
                <w:color w:val="333333"/>
                <w:szCs w:val="18"/>
              </w:rPr>
              <w:t xml:space="preserve">A generator </w:t>
            </w:r>
            <w:proofErr w:type="gramStart"/>
            <w:r>
              <w:rPr>
                <w:rFonts w:cs="Arial"/>
                <w:color w:val="333333"/>
                <w:szCs w:val="18"/>
              </w:rPr>
              <w:t>whose</w:t>
            </w:r>
            <w:proofErr w:type="gramEnd"/>
            <w:r>
              <w:rPr>
                <w:rFonts w:cs="Arial"/>
                <w:color w:val="333333"/>
                <w:szCs w:val="18"/>
              </w:rPr>
              <w:t xml:space="preserve"> marginal or opportu</w:t>
            </w:r>
            <w:r w:rsidR="00951152">
              <w:rPr>
                <w:rFonts w:cs="Arial"/>
                <w:color w:val="333333"/>
                <w:szCs w:val="18"/>
              </w:rPr>
              <w:t>nity costs are higher than base</w:t>
            </w:r>
            <w:r>
              <w:rPr>
                <w:rFonts w:cs="Arial"/>
                <w:color w:val="333333"/>
                <w:szCs w:val="18"/>
              </w:rPr>
              <w:t xml:space="preserve">load generators and </w:t>
            </w:r>
            <w:r w:rsidR="007615CF">
              <w:rPr>
                <w:rFonts w:cs="Arial"/>
                <w:color w:val="333333"/>
                <w:szCs w:val="18"/>
              </w:rPr>
              <w:t xml:space="preserve">is </w:t>
            </w:r>
            <w:r>
              <w:rPr>
                <w:rFonts w:cs="Arial"/>
                <w:color w:val="333333"/>
                <w:szCs w:val="18"/>
              </w:rPr>
              <w:t>therefore dispatched infrequently. In Australia, open</w:t>
            </w:r>
            <w:r>
              <w:rPr>
                <w:rFonts w:cs="Arial"/>
                <w:color w:val="333333"/>
                <w:szCs w:val="18"/>
              </w:rPr>
              <w:noBreakHyphen/>
              <w:t>cycle gas tur</w:t>
            </w:r>
            <w:r w:rsidR="00951152">
              <w:rPr>
                <w:rFonts w:cs="Arial"/>
                <w:color w:val="333333"/>
                <w:szCs w:val="18"/>
              </w:rPr>
              <w:t xml:space="preserve">bines and limited-storage hydro </w:t>
            </w:r>
            <w:r>
              <w:rPr>
                <w:rFonts w:cs="Arial"/>
                <w:color w:val="333333"/>
                <w:szCs w:val="18"/>
              </w:rPr>
              <w:t>generators typically operate in a peaking role.</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lang w:val="en-US"/>
              </w:rPr>
              <w:t>present value (see also ‘discounting’, and ‘net present value’)</w:t>
            </w:r>
          </w:p>
        </w:tc>
        <w:tc>
          <w:tcPr>
            <w:tcW w:w="977" w:type="pct"/>
          </w:tcPr>
          <w:p w:rsidR="00F260E6" w:rsidRPr="009617D9" w:rsidRDefault="00F260E6" w:rsidP="00E73743">
            <w:pPr>
              <w:pStyle w:val="TableText"/>
              <w:keepNext w:val="0"/>
              <w:keepLines w:val="0"/>
              <w:rPr>
                <w:szCs w:val="18"/>
              </w:rPr>
            </w:pPr>
          </w:p>
        </w:tc>
        <w:tc>
          <w:tcPr>
            <w:tcW w:w="2962" w:type="pct"/>
          </w:tcPr>
          <w:p w:rsidR="00F260E6" w:rsidRDefault="00F260E6" w:rsidP="00E73743">
            <w:pPr>
              <w:pStyle w:val="TableText"/>
              <w:keepNext w:val="0"/>
              <w:keepLines w:val="0"/>
              <w:rPr>
                <w:szCs w:val="18"/>
              </w:rPr>
            </w:pPr>
            <w:r>
              <w:rPr>
                <w:lang w:val="en-US"/>
              </w:rPr>
              <w:t xml:space="preserve">Present value is a standard method for using the time value of money, or ‘discounting’, to estimate future costs or future benefits. It adjusts the value of a cost or benefit in the future to a ‘present value’ that reflects how far into the future that cost or benefit will occur. </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regulatory policies</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szCs w:val="18"/>
              </w:rPr>
              <w:t>General term for the regulated closures and absolute baselines policy scenarios.</w:t>
            </w:r>
          </w:p>
        </w:tc>
      </w:tr>
      <w:tr w:rsidR="00F260E6" w:rsidRPr="00D50803" w:rsidTr="00E73743">
        <w:trPr>
          <w:trHeight w:val="80"/>
        </w:trPr>
        <w:tc>
          <w:tcPr>
            <w:tcW w:w="1061" w:type="pct"/>
            <w:noWrap/>
          </w:tcPr>
          <w:p w:rsidR="00F260E6" w:rsidRPr="009617D9" w:rsidRDefault="00F260E6" w:rsidP="00E73743">
            <w:pPr>
              <w:pStyle w:val="TableText"/>
              <w:keepNext w:val="0"/>
              <w:keepLines w:val="0"/>
              <w:rPr>
                <w:szCs w:val="18"/>
              </w:rPr>
            </w:pPr>
            <w:r>
              <w:rPr>
                <w:szCs w:val="18"/>
              </w:rPr>
              <w:t>reliability</w:t>
            </w:r>
          </w:p>
        </w:tc>
        <w:tc>
          <w:tcPr>
            <w:tcW w:w="977" w:type="pct"/>
          </w:tcPr>
          <w:p w:rsidR="00F260E6" w:rsidRPr="009617D9"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lang w:val="en-GB" w:eastAsia="en-AU"/>
              </w:rPr>
              <w:t>The power system’s ability to continue supplying sufficient power to satisfy customer demand.</w:t>
            </w:r>
          </w:p>
        </w:tc>
      </w:tr>
      <w:tr w:rsidR="00F260E6" w:rsidRPr="00D50803" w:rsidTr="00E73743">
        <w:trPr>
          <w:trHeight w:val="80"/>
        </w:trPr>
        <w:tc>
          <w:tcPr>
            <w:tcW w:w="1061" w:type="pct"/>
            <w:noWrap/>
          </w:tcPr>
          <w:p w:rsidR="00F260E6" w:rsidRDefault="003F0CFB" w:rsidP="007615CF">
            <w:pPr>
              <w:pStyle w:val="TableText"/>
              <w:keepNext w:val="0"/>
              <w:keepLines w:val="0"/>
              <w:rPr>
                <w:szCs w:val="18"/>
              </w:rPr>
            </w:pPr>
            <w:r>
              <w:rPr>
                <w:szCs w:val="18"/>
              </w:rPr>
              <w:t>r</w:t>
            </w:r>
            <w:r w:rsidR="00F260E6">
              <w:rPr>
                <w:szCs w:val="18"/>
              </w:rPr>
              <w:t xml:space="preserve">enewable </w:t>
            </w:r>
            <w:r w:rsidR="007615CF">
              <w:rPr>
                <w:szCs w:val="18"/>
              </w:rPr>
              <w:t>energy target</w:t>
            </w:r>
          </w:p>
        </w:tc>
        <w:tc>
          <w:tcPr>
            <w:tcW w:w="977" w:type="pct"/>
          </w:tcPr>
          <w:p w:rsidR="00F260E6" w:rsidRDefault="00F260E6" w:rsidP="00E73743">
            <w:pPr>
              <w:pStyle w:val="TableText"/>
              <w:keepNext w:val="0"/>
              <w:keepLines w:val="0"/>
              <w:rPr>
                <w:szCs w:val="18"/>
              </w:rPr>
            </w:pPr>
            <w:r>
              <w:rPr>
                <w:szCs w:val="18"/>
              </w:rPr>
              <w:t>RET</w:t>
            </w:r>
          </w:p>
        </w:tc>
        <w:tc>
          <w:tcPr>
            <w:tcW w:w="2962" w:type="pct"/>
          </w:tcPr>
          <w:p w:rsidR="00F260E6" w:rsidRDefault="00F260E6" w:rsidP="00E73743">
            <w:pPr>
              <w:pStyle w:val="TableText"/>
              <w:rPr>
                <w:i/>
                <w:szCs w:val="18"/>
              </w:rPr>
            </w:pPr>
            <w:r>
              <w:t>A type of technology pull policy that creates a market for additional renewable electricity that supports investment in new renewable capacity.</w:t>
            </w:r>
            <w:r w:rsidRPr="006C7F13">
              <w:t xml:space="preserve"> Eligible generators get certificates to sell, </w:t>
            </w:r>
            <w:r>
              <w:t xml:space="preserve">which electricity </w:t>
            </w:r>
            <w:r w:rsidRPr="006C7F13">
              <w:t>retailers buy</w:t>
            </w:r>
            <w:r>
              <w:t xml:space="preserve"> to meet their target obligations</w:t>
            </w:r>
            <w:r w:rsidRPr="006C7F13">
              <w:t xml:space="preserve">. </w:t>
            </w:r>
            <w:r>
              <w:t xml:space="preserve">Trade in certificates determines their price, </w:t>
            </w:r>
            <w:r w:rsidR="006F129B">
              <w:t xml:space="preserve">which subsidises new </w:t>
            </w:r>
            <w:r w:rsidR="007615CF">
              <w:t>renewable</w:t>
            </w:r>
            <w:r>
              <w:t xml:space="preserve"> generation.</w:t>
            </w:r>
          </w:p>
          <w:p w:rsidR="00F260E6" w:rsidRPr="009617D9" w:rsidRDefault="00F260E6" w:rsidP="00E73743">
            <w:pPr>
              <w:pStyle w:val="TableText"/>
              <w:keepNext w:val="0"/>
              <w:keepLines w:val="0"/>
              <w:rPr>
                <w:szCs w:val="18"/>
              </w:rPr>
            </w:pPr>
            <w:r>
              <w:rPr>
                <w:szCs w:val="18"/>
              </w:rPr>
              <w:t>The current Commonwealth RET is specific example of this general policy type. It operates in two parts—the Small-scale Renewable Energy Scheme and the Large-scale Renewable Energy Target.</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resource costs</w:t>
            </w:r>
          </w:p>
        </w:tc>
        <w:tc>
          <w:tcPr>
            <w:tcW w:w="977" w:type="pct"/>
          </w:tcPr>
          <w:p w:rsidR="00F260E6" w:rsidRDefault="00F260E6" w:rsidP="00E73743">
            <w:pPr>
              <w:pStyle w:val="TableText"/>
              <w:keepNext w:val="0"/>
              <w:keepLines w:val="0"/>
              <w:rPr>
                <w:szCs w:val="18"/>
              </w:rPr>
            </w:pPr>
          </w:p>
        </w:tc>
        <w:tc>
          <w:tcPr>
            <w:tcW w:w="2962" w:type="pct"/>
          </w:tcPr>
          <w:p w:rsidR="00F260E6" w:rsidRPr="009617D9" w:rsidRDefault="00F260E6" w:rsidP="000037B5">
            <w:pPr>
              <w:pStyle w:val="TableText"/>
              <w:keepNext w:val="0"/>
              <w:keepLines w:val="0"/>
              <w:rPr>
                <w:szCs w:val="18"/>
              </w:rPr>
            </w:pPr>
            <w:r>
              <w:rPr>
                <w:szCs w:val="18"/>
              </w:rPr>
              <w:t xml:space="preserve">The resource cost of a policy is a measure of its direct cost to society as a whole. </w:t>
            </w:r>
            <w:r w:rsidR="000037B5">
              <w:rPr>
                <w:szCs w:val="18"/>
              </w:rPr>
              <w:t>It is generally measured relative to the situation without the policy. That is, it measures the</w:t>
            </w:r>
            <w:r>
              <w:rPr>
                <w:szCs w:val="18"/>
              </w:rPr>
              <w:t xml:space="preserve"> net additional costs above those that would have occurred in the absence of a policy, </w:t>
            </w:r>
            <w:r w:rsidRPr="00FE722B">
              <w:rPr>
                <w:szCs w:val="18"/>
              </w:rPr>
              <w:t>before accounting for indirect costs, and before considering the benefit of emissions reductions achieved by the policy.</w:t>
            </w:r>
            <w:r>
              <w:rPr>
                <w:szCs w:val="18"/>
              </w:rPr>
              <w:t xml:space="preserve"> In the electricity sector, resource costs of a policy include the present value relative to the situation without the policy of: fuel costs, operational expenditure, capital expenditure and retirement costs, adjusted for any reductions in electricity demand due to the policy.</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szCs w:val="18"/>
              </w:rPr>
              <w:t>retail price</w:t>
            </w:r>
          </w:p>
        </w:tc>
        <w:tc>
          <w:tcPr>
            <w:tcW w:w="977" w:type="pct"/>
          </w:tcPr>
          <w:p w:rsidR="00F260E6"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lang w:val="en-GB" w:eastAsia="en-AU"/>
              </w:rPr>
              <w:t>The price of electricity that consumers pay. The retail price includes the cost of electricity generation, networks and retail businesses.</w:t>
            </w:r>
          </w:p>
        </w:tc>
      </w:tr>
      <w:tr w:rsidR="00F260E6" w:rsidRPr="00D50803" w:rsidTr="00E73743">
        <w:trPr>
          <w:trHeight w:val="80"/>
        </w:trPr>
        <w:tc>
          <w:tcPr>
            <w:tcW w:w="1061" w:type="pct"/>
            <w:noWrap/>
          </w:tcPr>
          <w:p w:rsidR="00F260E6" w:rsidRDefault="00F260E6" w:rsidP="00E73743">
            <w:pPr>
              <w:pStyle w:val="TableText"/>
              <w:rPr>
                <w:lang w:val="en-GB"/>
              </w:rPr>
            </w:pPr>
            <w:r>
              <w:rPr>
                <w:lang w:val="en-GB"/>
              </w:rPr>
              <w:t>revenue recycling</w:t>
            </w:r>
          </w:p>
        </w:tc>
        <w:tc>
          <w:tcPr>
            <w:tcW w:w="977" w:type="pct"/>
          </w:tcPr>
          <w:p w:rsidR="00F260E6" w:rsidRDefault="00F260E6" w:rsidP="00E73743">
            <w:pPr>
              <w:pStyle w:val="TableText"/>
              <w:rPr>
                <w:szCs w:val="18"/>
              </w:rPr>
            </w:pPr>
          </w:p>
        </w:tc>
        <w:tc>
          <w:tcPr>
            <w:tcW w:w="2962" w:type="pct"/>
          </w:tcPr>
          <w:p w:rsidR="00F260E6" w:rsidRDefault="00F260E6" w:rsidP="00E73743">
            <w:pPr>
              <w:pStyle w:val="TableText"/>
              <w:rPr>
                <w:lang w:val="en-GB" w:eastAsia="en-AU"/>
              </w:rPr>
            </w:pPr>
            <w:r>
              <w:rPr>
                <w:lang w:val="en-GB"/>
              </w:rPr>
              <w:t xml:space="preserve">Refers to how governments use </w:t>
            </w:r>
            <w:r w:rsidR="000037B5">
              <w:rPr>
                <w:lang w:val="en-GB"/>
              </w:rPr>
              <w:t xml:space="preserve">any </w:t>
            </w:r>
            <w:r>
              <w:rPr>
                <w:lang w:val="en-GB"/>
              </w:rPr>
              <w:t>revenue raised by emissions reduction policies.</w:t>
            </w:r>
          </w:p>
        </w:tc>
      </w:tr>
      <w:tr w:rsidR="00F260E6" w:rsidRPr="00D50803" w:rsidTr="00E73743">
        <w:trPr>
          <w:trHeight w:val="80"/>
        </w:trPr>
        <w:tc>
          <w:tcPr>
            <w:tcW w:w="1061" w:type="pct"/>
            <w:noWrap/>
          </w:tcPr>
          <w:p w:rsidR="00F260E6" w:rsidRDefault="00F260E6" w:rsidP="00E73743">
            <w:pPr>
              <w:pStyle w:val="TableText"/>
              <w:keepNext w:val="0"/>
              <w:keepLines w:val="0"/>
              <w:rPr>
                <w:szCs w:val="18"/>
              </w:rPr>
            </w:pPr>
            <w:r>
              <w:rPr>
                <w:lang w:val="en-GB"/>
              </w:rPr>
              <w:t>security of supply</w:t>
            </w:r>
          </w:p>
        </w:tc>
        <w:tc>
          <w:tcPr>
            <w:tcW w:w="977" w:type="pct"/>
          </w:tcPr>
          <w:p w:rsidR="00F260E6" w:rsidRDefault="00F260E6" w:rsidP="00E73743">
            <w:pPr>
              <w:pStyle w:val="TableText"/>
              <w:keepNext w:val="0"/>
              <w:keepLines w:val="0"/>
              <w:rPr>
                <w:szCs w:val="18"/>
              </w:rPr>
            </w:pPr>
          </w:p>
        </w:tc>
        <w:tc>
          <w:tcPr>
            <w:tcW w:w="2962" w:type="pct"/>
          </w:tcPr>
          <w:p w:rsidR="00F260E6" w:rsidRPr="009617D9" w:rsidRDefault="00F260E6" w:rsidP="00E73743">
            <w:pPr>
              <w:pStyle w:val="TableText"/>
              <w:keepNext w:val="0"/>
              <w:keepLines w:val="0"/>
              <w:rPr>
                <w:szCs w:val="18"/>
              </w:rPr>
            </w:pPr>
            <w:r>
              <w:rPr>
                <w:lang w:val="en-GB" w:eastAsia="en-AU"/>
              </w:rPr>
              <w:t>The power system’s ability to continue operating within defined technical limits even if a major power system element, such as a generator or interconnector, fails.</w:t>
            </w:r>
          </w:p>
        </w:tc>
      </w:tr>
      <w:tr w:rsidR="007615CF" w:rsidRPr="00D50803" w:rsidTr="00E73743">
        <w:trPr>
          <w:trHeight w:val="80"/>
        </w:trPr>
        <w:tc>
          <w:tcPr>
            <w:tcW w:w="1061" w:type="pct"/>
            <w:noWrap/>
          </w:tcPr>
          <w:p w:rsidR="007615CF" w:rsidRPr="009617D9" w:rsidRDefault="007615CF" w:rsidP="003721D9">
            <w:pPr>
              <w:pStyle w:val="TableText"/>
              <w:keepNext w:val="0"/>
              <w:keepLines w:val="0"/>
              <w:rPr>
                <w:szCs w:val="18"/>
              </w:rPr>
            </w:pPr>
            <w:r w:rsidRPr="009617D9">
              <w:rPr>
                <w:szCs w:val="18"/>
              </w:rPr>
              <w:t>Small-scale Renewable Energy Scheme</w:t>
            </w:r>
          </w:p>
        </w:tc>
        <w:tc>
          <w:tcPr>
            <w:tcW w:w="977" w:type="pct"/>
          </w:tcPr>
          <w:p w:rsidR="007615CF" w:rsidRPr="009617D9" w:rsidRDefault="007615CF" w:rsidP="003721D9">
            <w:pPr>
              <w:pStyle w:val="TableText"/>
              <w:keepNext w:val="0"/>
              <w:keepLines w:val="0"/>
              <w:rPr>
                <w:szCs w:val="18"/>
              </w:rPr>
            </w:pPr>
            <w:r w:rsidRPr="009617D9">
              <w:rPr>
                <w:szCs w:val="18"/>
              </w:rPr>
              <w:t>SRES</w:t>
            </w:r>
          </w:p>
        </w:tc>
        <w:tc>
          <w:tcPr>
            <w:tcW w:w="2962" w:type="pct"/>
          </w:tcPr>
          <w:p w:rsidR="007615CF" w:rsidRPr="009617D9" w:rsidRDefault="007615CF" w:rsidP="003721D9">
            <w:pPr>
              <w:pStyle w:val="TableText"/>
              <w:keepNext w:val="0"/>
              <w:keepLines w:val="0"/>
              <w:rPr>
                <w:szCs w:val="18"/>
              </w:rPr>
            </w:pPr>
            <w:r>
              <w:rPr>
                <w:szCs w:val="18"/>
              </w:rPr>
              <w:t>Commonwealth policy that s</w:t>
            </w:r>
            <w:r w:rsidRPr="009617D9">
              <w:rPr>
                <w:szCs w:val="18"/>
              </w:rPr>
              <w:t>upports the installation of small-scale systems, including solar photovoltaic systems</w:t>
            </w:r>
            <w:r>
              <w:rPr>
                <w:szCs w:val="18"/>
              </w:rPr>
              <w:t>,</w:t>
            </w:r>
            <w:r w:rsidRPr="009617D9">
              <w:rPr>
                <w:szCs w:val="18"/>
              </w:rPr>
              <w:t xml:space="preserve"> solar water heaters, and small generation units.</w:t>
            </w:r>
          </w:p>
        </w:tc>
      </w:tr>
      <w:tr w:rsidR="007615CF" w:rsidRPr="00D50803" w:rsidTr="00E73743">
        <w:trPr>
          <w:trHeight w:val="80"/>
        </w:trPr>
        <w:tc>
          <w:tcPr>
            <w:tcW w:w="1061" w:type="pct"/>
            <w:noWrap/>
          </w:tcPr>
          <w:p w:rsidR="007615CF" w:rsidRPr="009617D9" w:rsidRDefault="007615CF" w:rsidP="00E73743">
            <w:pPr>
              <w:pStyle w:val="TableText"/>
              <w:keepNext w:val="0"/>
              <w:keepLines w:val="0"/>
              <w:rPr>
                <w:szCs w:val="18"/>
              </w:rPr>
            </w:pPr>
            <w:r w:rsidRPr="009617D9">
              <w:rPr>
                <w:szCs w:val="18"/>
              </w:rPr>
              <w:t>solar photovoltaic</w:t>
            </w:r>
          </w:p>
        </w:tc>
        <w:tc>
          <w:tcPr>
            <w:tcW w:w="977" w:type="pct"/>
          </w:tcPr>
          <w:p w:rsidR="007615CF" w:rsidRPr="009617D9" w:rsidRDefault="007615CF" w:rsidP="00E73743">
            <w:pPr>
              <w:pStyle w:val="TableText"/>
              <w:keepNext w:val="0"/>
              <w:keepLines w:val="0"/>
              <w:rPr>
                <w:szCs w:val="18"/>
              </w:rPr>
            </w:pPr>
            <w:r w:rsidRPr="009617D9">
              <w:rPr>
                <w:szCs w:val="18"/>
              </w:rPr>
              <w:t>PV</w:t>
            </w:r>
          </w:p>
        </w:tc>
        <w:tc>
          <w:tcPr>
            <w:tcW w:w="2962" w:type="pct"/>
          </w:tcPr>
          <w:p w:rsidR="007615CF" w:rsidRPr="009617D9" w:rsidRDefault="007615CF" w:rsidP="00E73743">
            <w:pPr>
              <w:pStyle w:val="TableText"/>
              <w:keepNext w:val="0"/>
              <w:keepLines w:val="0"/>
              <w:rPr>
                <w:szCs w:val="18"/>
              </w:rPr>
            </w:pPr>
            <w:r w:rsidRPr="009617D9">
              <w:rPr>
                <w:szCs w:val="18"/>
              </w:rPr>
              <w:t>A method of generating electricity by converting the sun’s energy into electricity.</w:t>
            </w:r>
          </w:p>
        </w:tc>
      </w:tr>
      <w:tr w:rsidR="007615CF" w:rsidRPr="00D50803" w:rsidTr="00E73743">
        <w:trPr>
          <w:trHeight w:val="80"/>
        </w:trPr>
        <w:tc>
          <w:tcPr>
            <w:tcW w:w="1061" w:type="pct"/>
            <w:noWrap/>
          </w:tcPr>
          <w:p w:rsidR="007615CF" w:rsidRPr="009617D9" w:rsidRDefault="007615CF" w:rsidP="00E73743">
            <w:pPr>
              <w:pStyle w:val="TableText"/>
              <w:keepNext w:val="0"/>
              <w:keepLines w:val="0"/>
              <w:rPr>
                <w:szCs w:val="18"/>
              </w:rPr>
            </w:pPr>
            <w:r>
              <w:rPr>
                <w:szCs w:val="18"/>
              </w:rPr>
              <w:t>South-West Interconnected System</w:t>
            </w:r>
          </w:p>
        </w:tc>
        <w:tc>
          <w:tcPr>
            <w:tcW w:w="977" w:type="pct"/>
          </w:tcPr>
          <w:p w:rsidR="007615CF" w:rsidRPr="009617D9" w:rsidRDefault="007615CF" w:rsidP="00E73743">
            <w:pPr>
              <w:pStyle w:val="TableText"/>
              <w:keepNext w:val="0"/>
              <w:keepLines w:val="0"/>
              <w:rPr>
                <w:szCs w:val="18"/>
              </w:rPr>
            </w:pPr>
            <w:r>
              <w:rPr>
                <w:szCs w:val="18"/>
              </w:rPr>
              <w:t>SWIS</w:t>
            </w:r>
          </w:p>
        </w:tc>
        <w:tc>
          <w:tcPr>
            <w:tcW w:w="2962" w:type="pct"/>
          </w:tcPr>
          <w:p w:rsidR="007615CF" w:rsidRPr="009617D9" w:rsidRDefault="007615CF" w:rsidP="00E73743">
            <w:pPr>
              <w:pStyle w:val="TableText"/>
              <w:keepNext w:val="0"/>
              <w:keepLines w:val="0"/>
              <w:rPr>
                <w:szCs w:val="18"/>
              </w:rPr>
            </w:pPr>
            <w:r>
              <w:rPr>
                <w:szCs w:val="18"/>
              </w:rPr>
              <w:t>The main Western Australian electricity grid, supplying the majority of electricity for the south-west region. It covers the region between Albany in the south, Kalbarri in the north and Kalgoorlie in the east.</w:t>
            </w:r>
          </w:p>
        </w:tc>
      </w:tr>
      <w:tr w:rsidR="007615CF" w:rsidRPr="00D50803" w:rsidTr="00E73743">
        <w:trPr>
          <w:trHeight w:val="80"/>
        </w:trPr>
        <w:tc>
          <w:tcPr>
            <w:tcW w:w="1061" w:type="pct"/>
            <w:noWrap/>
          </w:tcPr>
          <w:p w:rsidR="007615CF" w:rsidRDefault="007615CF" w:rsidP="00E73743">
            <w:pPr>
              <w:pStyle w:val="TableText"/>
              <w:rPr>
                <w:szCs w:val="18"/>
              </w:rPr>
            </w:pPr>
            <w:r>
              <w:rPr>
                <w:szCs w:val="18"/>
              </w:rPr>
              <w:lastRenderedPageBreak/>
              <w:t>tax interaction effect</w:t>
            </w:r>
          </w:p>
        </w:tc>
        <w:tc>
          <w:tcPr>
            <w:tcW w:w="977" w:type="pct"/>
          </w:tcPr>
          <w:p w:rsidR="007615CF" w:rsidRPr="009617D9" w:rsidRDefault="007615CF" w:rsidP="00E73743">
            <w:pPr>
              <w:pStyle w:val="TableText"/>
              <w:rPr>
                <w:szCs w:val="18"/>
              </w:rPr>
            </w:pPr>
          </w:p>
        </w:tc>
        <w:tc>
          <w:tcPr>
            <w:tcW w:w="2962" w:type="pct"/>
          </w:tcPr>
          <w:p w:rsidR="007615CF" w:rsidRDefault="007615CF">
            <w:pPr>
              <w:pStyle w:val="TableText"/>
              <w:rPr>
                <w:szCs w:val="18"/>
              </w:rPr>
            </w:pPr>
            <w:r>
              <w:t>The</w:t>
            </w:r>
            <w:r w:rsidRPr="00C76F38">
              <w:t xml:space="preserve"> magnification of lost economic value due to emissions reduction policies being imposed as well as </w:t>
            </w:r>
            <w:r>
              <w:t>existing taxes</w:t>
            </w:r>
            <w:r w:rsidRPr="00C76F38">
              <w:t>.</w:t>
            </w:r>
          </w:p>
        </w:tc>
      </w:tr>
      <w:tr w:rsidR="007615CF" w:rsidRPr="00D50803" w:rsidTr="00E73743">
        <w:trPr>
          <w:trHeight w:val="80"/>
        </w:trPr>
        <w:tc>
          <w:tcPr>
            <w:tcW w:w="1061" w:type="pct"/>
            <w:noWrap/>
          </w:tcPr>
          <w:p w:rsidR="007615CF" w:rsidRPr="009617D9" w:rsidRDefault="007615CF" w:rsidP="00E73743">
            <w:pPr>
              <w:pStyle w:val="TableText"/>
              <w:keepNext w:val="0"/>
              <w:keepLines w:val="0"/>
              <w:rPr>
                <w:szCs w:val="18"/>
              </w:rPr>
            </w:pPr>
            <w:r>
              <w:rPr>
                <w:szCs w:val="18"/>
              </w:rPr>
              <w:t>technology pull policies</w:t>
            </w:r>
          </w:p>
        </w:tc>
        <w:tc>
          <w:tcPr>
            <w:tcW w:w="977" w:type="pct"/>
          </w:tcPr>
          <w:p w:rsidR="007615CF" w:rsidRPr="009617D9" w:rsidRDefault="007615CF" w:rsidP="00E73743">
            <w:pPr>
              <w:pStyle w:val="TableText"/>
              <w:keepNext w:val="0"/>
              <w:keepLines w:val="0"/>
              <w:rPr>
                <w:szCs w:val="18"/>
              </w:rPr>
            </w:pPr>
          </w:p>
        </w:tc>
        <w:tc>
          <w:tcPr>
            <w:tcW w:w="2962" w:type="pct"/>
          </w:tcPr>
          <w:p w:rsidR="007615CF" w:rsidRPr="009617D9" w:rsidRDefault="007615CF" w:rsidP="00E73743">
            <w:pPr>
              <w:pStyle w:val="TableText"/>
              <w:keepNext w:val="0"/>
              <w:keepLines w:val="0"/>
              <w:rPr>
                <w:szCs w:val="18"/>
              </w:rPr>
            </w:pPr>
            <w:r>
              <w:rPr>
                <w:szCs w:val="18"/>
              </w:rPr>
              <w:t>General name for policies such as renewable energy targets, low emissions targets and contracts for difference that encourage the deployment of additional renewable and/or low</w:t>
            </w:r>
            <w:r>
              <w:rPr>
                <w:szCs w:val="18"/>
              </w:rPr>
              <w:noBreakHyphen/>
              <w:t>emissions generation.</w:t>
            </w:r>
          </w:p>
        </w:tc>
      </w:tr>
      <w:tr w:rsidR="007615CF" w:rsidRPr="00D50803" w:rsidTr="00E73743">
        <w:trPr>
          <w:trHeight w:val="80"/>
        </w:trPr>
        <w:tc>
          <w:tcPr>
            <w:tcW w:w="1061" w:type="pct"/>
            <w:noWrap/>
          </w:tcPr>
          <w:p w:rsidR="007615CF" w:rsidRPr="009617D9" w:rsidRDefault="007615CF" w:rsidP="00E73743">
            <w:pPr>
              <w:pStyle w:val="TableText"/>
              <w:keepNext w:val="0"/>
              <w:keepLines w:val="0"/>
              <w:rPr>
                <w:szCs w:val="18"/>
              </w:rPr>
            </w:pPr>
            <w:r>
              <w:rPr>
                <w:szCs w:val="18"/>
              </w:rPr>
              <w:t>terms of trade</w:t>
            </w:r>
          </w:p>
        </w:tc>
        <w:tc>
          <w:tcPr>
            <w:tcW w:w="977" w:type="pct"/>
          </w:tcPr>
          <w:p w:rsidR="007615CF" w:rsidRPr="009617D9" w:rsidRDefault="007615CF" w:rsidP="00E73743">
            <w:pPr>
              <w:pStyle w:val="TableText"/>
              <w:keepNext w:val="0"/>
              <w:keepLines w:val="0"/>
              <w:rPr>
                <w:szCs w:val="18"/>
              </w:rPr>
            </w:pPr>
          </w:p>
        </w:tc>
        <w:tc>
          <w:tcPr>
            <w:tcW w:w="2962" w:type="pct"/>
          </w:tcPr>
          <w:p w:rsidR="007615CF" w:rsidRPr="009617D9" w:rsidRDefault="007615CF" w:rsidP="00E73743">
            <w:pPr>
              <w:pStyle w:val="TableText"/>
              <w:keepNext w:val="0"/>
              <w:keepLines w:val="0"/>
              <w:rPr>
                <w:szCs w:val="18"/>
              </w:rPr>
            </w:pPr>
            <w:r>
              <w:rPr>
                <w:szCs w:val="18"/>
              </w:rPr>
              <w:t xml:space="preserve">The ratio of the price of a country’s exports to the price of its imports. It is typically expressed as an index. </w:t>
            </w:r>
          </w:p>
        </w:tc>
      </w:tr>
      <w:tr w:rsidR="007615CF" w:rsidRPr="00D50803" w:rsidTr="00E73743">
        <w:trPr>
          <w:trHeight w:val="80"/>
        </w:trPr>
        <w:tc>
          <w:tcPr>
            <w:tcW w:w="1061" w:type="pct"/>
            <w:noWrap/>
          </w:tcPr>
          <w:p w:rsidR="007615CF" w:rsidRDefault="007615CF" w:rsidP="00E73743">
            <w:pPr>
              <w:pStyle w:val="TableText"/>
              <w:keepNext w:val="0"/>
              <w:keepLines w:val="0"/>
              <w:rPr>
                <w:lang w:val="en-GB"/>
              </w:rPr>
            </w:pPr>
            <w:r>
              <w:rPr>
                <w:szCs w:val="18"/>
              </w:rPr>
              <w:t>total factor productivity</w:t>
            </w:r>
          </w:p>
        </w:tc>
        <w:tc>
          <w:tcPr>
            <w:tcW w:w="977" w:type="pct"/>
          </w:tcPr>
          <w:p w:rsidR="007615CF" w:rsidRDefault="007615CF" w:rsidP="00E73743">
            <w:pPr>
              <w:pStyle w:val="TableText"/>
              <w:keepNext w:val="0"/>
              <w:keepLines w:val="0"/>
              <w:rPr>
                <w:szCs w:val="18"/>
              </w:rPr>
            </w:pPr>
          </w:p>
        </w:tc>
        <w:tc>
          <w:tcPr>
            <w:tcW w:w="2962" w:type="pct"/>
          </w:tcPr>
          <w:p w:rsidR="007615CF" w:rsidRDefault="007615CF" w:rsidP="00E73743">
            <w:pPr>
              <w:pStyle w:val="TableText"/>
              <w:keepNext w:val="0"/>
              <w:keepLines w:val="0"/>
            </w:pPr>
            <w:r>
              <w:rPr>
                <w:szCs w:val="18"/>
              </w:rPr>
              <w:t xml:space="preserve">The efficiency with which labour and capital are used within an economy.  </w:t>
            </w:r>
          </w:p>
        </w:tc>
      </w:tr>
      <w:tr w:rsidR="007615CF" w:rsidRPr="00D50803" w:rsidTr="00E73743">
        <w:trPr>
          <w:trHeight w:val="80"/>
        </w:trPr>
        <w:tc>
          <w:tcPr>
            <w:tcW w:w="1061" w:type="pct"/>
            <w:noWrap/>
          </w:tcPr>
          <w:p w:rsidR="007615CF" w:rsidRDefault="007615CF" w:rsidP="00E73743">
            <w:pPr>
              <w:pStyle w:val="TableText"/>
              <w:keepNext w:val="0"/>
              <w:keepLines w:val="0"/>
              <w:rPr>
                <w:szCs w:val="18"/>
              </w:rPr>
            </w:pPr>
            <w:r>
              <w:rPr>
                <w:lang w:val="en-GB"/>
              </w:rPr>
              <w:t>underlying demand</w:t>
            </w:r>
          </w:p>
        </w:tc>
        <w:tc>
          <w:tcPr>
            <w:tcW w:w="977" w:type="pct"/>
          </w:tcPr>
          <w:p w:rsidR="007615CF" w:rsidRDefault="007615CF" w:rsidP="00E73743">
            <w:pPr>
              <w:pStyle w:val="TableText"/>
              <w:keepNext w:val="0"/>
              <w:keepLines w:val="0"/>
              <w:rPr>
                <w:szCs w:val="18"/>
              </w:rPr>
            </w:pPr>
          </w:p>
        </w:tc>
        <w:tc>
          <w:tcPr>
            <w:tcW w:w="2962" w:type="pct"/>
          </w:tcPr>
          <w:p w:rsidR="007615CF" w:rsidRPr="009617D9" w:rsidRDefault="007615CF" w:rsidP="00E73743">
            <w:pPr>
              <w:pStyle w:val="TableText"/>
              <w:keepNext w:val="0"/>
              <w:keepLines w:val="0"/>
              <w:rPr>
                <w:szCs w:val="18"/>
              </w:rPr>
            </w:pPr>
            <w:r>
              <w:t>A</w:t>
            </w:r>
            <w:r w:rsidRPr="007729CB">
              <w:t xml:space="preserve">ll </w:t>
            </w:r>
            <w:r>
              <w:t>electricity demanded</w:t>
            </w:r>
            <w:r w:rsidRPr="007729CB">
              <w:t xml:space="preserve"> by residential</w:t>
            </w:r>
            <w:r>
              <w:t>,</w:t>
            </w:r>
            <w:r w:rsidRPr="007729CB">
              <w:t xml:space="preserve"> commercial </w:t>
            </w:r>
            <w:r>
              <w:t xml:space="preserve">and industrial consumers </w:t>
            </w:r>
            <w:r w:rsidRPr="007729CB">
              <w:t>whether or not from the electricity gri</w:t>
            </w:r>
            <w:r>
              <w:t>d. Includes demand met by distributed generation including rooftop PV.</w:t>
            </w:r>
          </w:p>
        </w:tc>
      </w:tr>
      <w:tr w:rsidR="007615CF" w:rsidRPr="00D50803" w:rsidTr="00E73743">
        <w:trPr>
          <w:trHeight w:val="80"/>
        </w:trPr>
        <w:tc>
          <w:tcPr>
            <w:tcW w:w="1061" w:type="pct"/>
            <w:noWrap/>
          </w:tcPr>
          <w:p w:rsidR="007615CF" w:rsidRPr="009617D9" w:rsidRDefault="007615CF" w:rsidP="00E73743">
            <w:pPr>
              <w:pStyle w:val="TableText"/>
              <w:keepNext w:val="0"/>
              <w:keepLines w:val="0"/>
              <w:rPr>
                <w:szCs w:val="18"/>
              </w:rPr>
            </w:pPr>
            <w:r>
              <w:rPr>
                <w:szCs w:val="18"/>
              </w:rPr>
              <w:t>variable operating and maintenance costs</w:t>
            </w:r>
          </w:p>
        </w:tc>
        <w:tc>
          <w:tcPr>
            <w:tcW w:w="977" w:type="pct"/>
          </w:tcPr>
          <w:p w:rsidR="007615CF" w:rsidRPr="009617D9" w:rsidRDefault="007615CF" w:rsidP="00E73743">
            <w:pPr>
              <w:pStyle w:val="TableText"/>
              <w:keepNext w:val="0"/>
              <w:keepLines w:val="0"/>
              <w:rPr>
                <w:szCs w:val="18"/>
              </w:rPr>
            </w:pPr>
          </w:p>
        </w:tc>
        <w:tc>
          <w:tcPr>
            <w:tcW w:w="2962" w:type="pct"/>
          </w:tcPr>
          <w:p w:rsidR="007615CF" w:rsidRPr="009617D9" w:rsidRDefault="007615CF" w:rsidP="00E73743">
            <w:pPr>
              <w:pStyle w:val="TableText"/>
              <w:keepNext w:val="0"/>
              <w:keepLines w:val="0"/>
              <w:rPr>
                <w:szCs w:val="18"/>
              </w:rPr>
            </w:pPr>
            <w:r>
              <w:rPr>
                <w:szCs w:val="18"/>
              </w:rPr>
              <w:t>Costs incurred in the day-to-day operations and maintenance of business that are determined by the level of output produced. For example, for a fossil</w:t>
            </w:r>
            <w:r>
              <w:rPr>
                <w:szCs w:val="18"/>
              </w:rPr>
              <w:noBreakHyphen/>
              <w:t>fuel generator, fuel costs are a variable operating cost.</w:t>
            </w:r>
          </w:p>
        </w:tc>
      </w:tr>
      <w:tr w:rsidR="007615CF" w:rsidRPr="00D50803" w:rsidTr="00E73743">
        <w:trPr>
          <w:trHeight w:val="80"/>
        </w:trPr>
        <w:tc>
          <w:tcPr>
            <w:tcW w:w="1061" w:type="pct"/>
            <w:noWrap/>
          </w:tcPr>
          <w:p w:rsidR="007615CF" w:rsidRDefault="007615CF" w:rsidP="00E73743">
            <w:pPr>
              <w:pStyle w:val="TableText"/>
              <w:keepNext w:val="0"/>
              <w:keepLines w:val="0"/>
              <w:rPr>
                <w:szCs w:val="18"/>
              </w:rPr>
            </w:pPr>
            <w:r>
              <w:rPr>
                <w:szCs w:val="18"/>
              </w:rPr>
              <w:t>volume weighted prices</w:t>
            </w:r>
          </w:p>
        </w:tc>
        <w:tc>
          <w:tcPr>
            <w:tcW w:w="977" w:type="pct"/>
          </w:tcPr>
          <w:p w:rsidR="007615CF" w:rsidRDefault="007615CF" w:rsidP="00E73743">
            <w:pPr>
              <w:pStyle w:val="TableText"/>
              <w:keepNext w:val="0"/>
              <w:keepLines w:val="0"/>
              <w:rPr>
                <w:szCs w:val="18"/>
              </w:rPr>
            </w:pPr>
          </w:p>
        </w:tc>
        <w:tc>
          <w:tcPr>
            <w:tcW w:w="2962" w:type="pct"/>
          </w:tcPr>
          <w:p w:rsidR="007615CF" w:rsidRDefault="007615CF" w:rsidP="00E73743">
            <w:pPr>
              <w:pStyle w:val="TableText"/>
              <w:keepNext w:val="0"/>
              <w:keepLines w:val="0"/>
            </w:pPr>
            <w:r>
              <w:t xml:space="preserve">Prices weighted by the volume of electricity generation. </w:t>
            </w:r>
          </w:p>
          <w:p w:rsidR="007615CF" w:rsidRPr="009617D9" w:rsidRDefault="007615CF" w:rsidP="00E73743">
            <w:pPr>
              <w:pStyle w:val="TableText"/>
              <w:keepNext w:val="0"/>
              <w:keepLines w:val="0"/>
              <w:rPr>
                <w:szCs w:val="18"/>
              </w:rPr>
            </w:pPr>
            <w:r>
              <w:t>In this report, the v</w:t>
            </w:r>
            <w:r w:rsidRPr="00BB0937">
              <w:t>olume</w:t>
            </w:r>
            <w:r>
              <w:t xml:space="preserve"> weighted price is the</w:t>
            </w:r>
            <w:r w:rsidRPr="00BB0937">
              <w:t xml:space="preserve"> average </w:t>
            </w:r>
            <w:r>
              <w:t>NEM and WEM price</w:t>
            </w:r>
            <w:r w:rsidRPr="00BB0937">
              <w:t xml:space="preserve"> derived by weight</w:t>
            </w:r>
            <w:r>
              <w:t>ing</w:t>
            </w:r>
            <w:r w:rsidRPr="00BB0937">
              <w:t xml:space="preserve"> each region</w:t>
            </w:r>
            <w:r>
              <w:t>al</w:t>
            </w:r>
            <w:r w:rsidRPr="00BB0937">
              <w:t xml:space="preserve"> price by the</w:t>
            </w:r>
            <w:r>
              <w:t xml:space="preserve"> ratio</w:t>
            </w:r>
            <w:r w:rsidRPr="00BB0937">
              <w:t xml:space="preserve"> of each regions energy demand to total demand</w:t>
            </w:r>
            <w:r>
              <w:t>.</w:t>
            </w:r>
          </w:p>
        </w:tc>
      </w:tr>
      <w:tr w:rsidR="007615CF" w:rsidRPr="00D50803" w:rsidTr="00E73743">
        <w:trPr>
          <w:trHeight w:val="80"/>
        </w:trPr>
        <w:tc>
          <w:tcPr>
            <w:tcW w:w="1061" w:type="pct"/>
            <w:noWrap/>
          </w:tcPr>
          <w:p w:rsidR="007615CF" w:rsidRDefault="007615CF" w:rsidP="00E73743">
            <w:pPr>
              <w:pStyle w:val="TableText"/>
              <w:keepNext w:val="0"/>
              <w:keepLines w:val="0"/>
              <w:rPr>
                <w:szCs w:val="18"/>
              </w:rPr>
            </w:pPr>
            <w:r>
              <w:rPr>
                <w:szCs w:val="18"/>
              </w:rPr>
              <w:t>weighted average cost of capital</w:t>
            </w:r>
          </w:p>
        </w:tc>
        <w:tc>
          <w:tcPr>
            <w:tcW w:w="977" w:type="pct"/>
          </w:tcPr>
          <w:p w:rsidR="007615CF" w:rsidRDefault="007615CF" w:rsidP="00E73743">
            <w:pPr>
              <w:pStyle w:val="TableText"/>
              <w:keepNext w:val="0"/>
              <w:keepLines w:val="0"/>
              <w:rPr>
                <w:szCs w:val="18"/>
              </w:rPr>
            </w:pPr>
            <w:r>
              <w:rPr>
                <w:szCs w:val="18"/>
              </w:rPr>
              <w:t>WACC</w:t>
            </w:r>
          </w:p>
        </w:tc>
        <w:tc>
          <w:tcPr>
            <w:tcW w:w="2962" w:type="pct"/>
          </w:tcPr>
          <w:p w:rsidR="007615CF" w:rsidRPr="009617D9" w:rsidRDefault="007615CF" w:rsidP="00E73743">
            <w:pPr>
              <w:pStyle w:val="TableText"/>
              <w:keepNext w:val="0"/>
              <w:keepLines w:val="0"/>
              <w:rPr>
                <w:szCs w:val="18"/>
              </w:rPr>
            </w:pPr>
            <w:r>
              <w:rPr>
                <w:szCs w:val="18"/>
              </w:rPr>
              <w:t>The average rate a business pays to finance its assets.</w:t>
            </w:r>
          </w:p>
        </w:tc>
      </w:tr>
      <w:tr w:rsidR="007615CF" w:rsidRPr="00D50803" w:rsidTr="00E73743">
        <w:trPr>
          <w:trHeight w:val="80"/>
        </w:trPr>
        <w:tc>
          <w:tcPr>
            <w:tcW w:w="1061" w:type="pct"/>
            <w:noWrap/>
          </w:tcPr>
          <w:p w:rsidR="007615CF" w:rsidRDefault="007615CF" w:rsidP="00E73743">
            <w:pPr>
              <w:pStyle w:val="TableText"/>
              <w:keepNext w:val="0"/>
              <w:keepLines w:val="0"/>
              <w:rPr>
                <w:szCs w:val="18"/>
              </w:rPr>
            </w:pPr>
            <w:r>
              <w:rPr>
                <w:szCs w:val="18"/>
              </w:rPr>
              <w:t>Western Australian wholesale electricity market</w:t>
            </w:r>
          </w:p>
        </w:tc>
        <w:tc>
          <w:tcPr>
            <w:tcW w:w="977" w:type="pct"/>
          </w:tcPr>
          <w:p w:rsidR="007615CF" w:rsidRDefault="007615CF" w:rsidP="00E73743">
            <w:pPr>
              <w:pStyle w:val="TableText"/>
              <w:keepNext w:val="0"/>
              <w:keepLines w:val="0"/>
              <w:rPr>
                <w:szCs w:val="18"/>
              </w:rPr>
            </w:pPr>
            <w:r>
              <w:rPr>
                <w:szCs w:val="18"/>
              </w:rPr>
              <w:t>WEM</w:t>
            </w:r>
          </w:p>
        </w:tc>
        <w:tc>
          <w:tcPr>
            <w:tcW w:w="2962" w:type="pct"/>
          </w:tcPr>
          <w:p w:rsidR="007615CF" w:rsidRDefault="007615CF" w:rsidP="00E73743">
            <w:pPr>
              <w:pStyle w:val="TableText"/>
              <w:keepNext w:val="0"/>
              <w:keepLines w:val="0"/>
              <w:rPr>
                <w:szCs w:val="18"/>
              </w:rPr>
            </w:pPr>
            <w:r>
              <w:rPr>
                <w:szCs w:val="18"/>
              </w:rPr>
              <w:t xml:space="preserve">The WEM is the wholesale electricity market that supplies electricity to </w:t>
            </w:r>
            <w:r>
              <w:rPr>
                <w:lang w:val="en-GB"/>
              </w:rPr>
              <w:t xml:space="preserve">the South-West Interconnected System covering </w:t>
            </w:r>
            <w:r>
              <w:rPr>
                <w:szCs w:val="18"/>
              </w:rPr>
              <w:t>south</w:t>
            </w:r>
            <w:r>
              <w:rPr>
                <w:szCs w:val="18"/>
              </w:rPr>
              <w:noBreakHyphen/>
              <w:t>western Western Australia.</w:t>
            </w:r>
          </w:p>
        </w:tc>
      </w:tr>
      <w:tr w:rsidR="007615CF" w:rsidRPr="00D50803" w:rsidTr="00E73743">
        <w:trPr>
          <w:trHeight w:val="80"/>
        </w:trPr>
        <w:tc>
          <w:tcPr>
            <w:tcW w:w="1061" w:type="pct"/>
            <w:noWrap/>
          </w:tcPr>
          <w:p w:rsidR="007615CF" w:rsidRDefault="007615CF" w:rsidP="00E73743">
            <w:pPr>
              <w:pStyle w:val="TableText"/>
              <w:keepNext w:val="0"/>
              <w:keepLines w:val="0"/>
              <w:rPr>
                <w:szCs w:val="18"/>
              </w:rPr>
            </w:pPr>
            <w:r>
              <w:rPr>
                <w:szCs w:val="18"/>
              </w:rPr>
              <w:t>wholesale price</w:t>
            </w:r>
          </w:p>
        </w:tc>
        <w:tc>
          <w:tcPr>
            <w:tcW w:w="977" w:type="pct"/>
          </w:tcPr>
          <w:p w:rsidR="007615CF" w:rsidRDefault="007615CF" w:rsidP="00E73743">
            <w:pPr>
              <w:pStyle w:val="TableText"/>
              <w:keepNext w:val="0"/>
              <w:keepLines w:val="0"/>
              <w:rPr>
                <w:szCs w:val="18"/>
              </w:rPr>
            </w:pPr>
          </w:p>
        </w:tc>
        <w:tc>
          <w:tcPr>
            <w:tcW w:w="2962" w:type="pct"/>
          </w:tcPr>
          <w:p w:rsidR="007615CF" w:rsidRPr="009617D9" w:rsidRDefault="007615CF" w:rsidP="004229E6">
            <w:pPr>
              <w:pStyle w:val="TableText"/>
              <w:keepNext w:val="0"/>
              <w:keepLines w:val="0"/>
              <w:rPr>
                <w:szCs w:val="18"/>
              </w:rPr>
            </w:pPr>
            <w:r>
              <w:rPr>
                <w:szCs w:val="18"/>
              </w:rPr>
              <w:t>The price of electricity in the wholesale market.</w:t>
            </w:r>
          </w:p>
        </w:tc>
      </w:tr>
    </w:tbl>
    <w:p w:rsidR="00F260E6" w:rsidRDefault="00F260E6" w:rsidP="00F260E6">
      <w:pPr>
        <w:pStyle w:val="BodyText"/>
        <w:rPr>
          <w:lang w:val="en-GB" w:eastAsia="en-AU"/>
        </w:rPr>
      </w:pPr>
    </w:p>
    <w:p w:rsidR="00F260E6" w:rsidRDefault="00F260E6" w:rsidP="00F260E6">
      <w:pPr>
        <w:pStyle w:val="BodyText"/>
        <w:rPr>
          <w:lang w:val="en-GB" w:eastAsia="en-AU"/>
        </w:rPr>
        <w:sectPr w:rsidR="00F260E6" w:rsidSect="007B50DF">
          <w:footerReference w:type="default" r:id="rId72"/>
          <w:pgSz w:w="11907" w:h="16839" w:code="9"/>
          <w:pgMar w:top="1134" w:right="1134" w:bottom="1134" w:left="1134" w:header="720" w:footer="720" w:gutter="0"/>
          <w:cols w:space="720"/>
          <w:docGrid w:linePitch="360"/>
        </w:sectPr>
      </w:pPr>
    </w:p>
    <w:p w:rsidR="00894FAA" w:rsidRDefault="00E52DD4" w:rsidP="003345E9">
      <w:pPr>
        <w:pStyle w:val="Headingnon-numbered"/>
      </w:pPr>
      <w:bookmarkStart w:id="871" w:name="_Toc447183417"/>
      <w:bookmarkStart w:id="872" w:name="_Toc447183505"/>
      <w:bookmarkStart w:id="873" w:name="_Toc447183564"/>
      <w:bookmarkStart w:id="874" w:name="_Toc448132716"/>
      <w:bookmarkStart w:id="875" w:name="_Toc448151779"/>
      <w:bookmarkStart w:id="876" w:name="_Toc448151847"/>
      <w:bookmarkStart w:id="877" w:name="_Toc460318031"/>
      <w:r>
        <w:lastRenderedPageBreak/>
        <w:t>Abbreviations and Acronyms</w:t>
      </w:r>
      <w:bookmarkEnd w:id="871"/>
      <w:bookmarkEnd w:id="872"/>
      <w:bookmarkEnd w:id="873"/>
      <w:bookmarkEnd w:id="874"/>
      <w:bookmarkEnd w:id="875"/>
      <w:bookmarkEnd w:id="876"/>
      <w:bookmarkEnd w:id="877"/>
    </w:p>
    <w:tbl>
      <w:tblPr>
        <w:tblW w:w="5000" w:type="pct"/>
        <w:tblCellMar>
          <w:left w:w="15" w:type="dxa"/>
          <w:right w:w="15" w:type="dxa"/>
        </w:tblCellMar>
        <w:tblLook w:val="04A0" w:firstRow="1" w:lastRow="0" w:firstColumn="1" w:lastColumn="0" w:noHBand="0" w:noVBand="1"/>
      </w:tblPr>
      <w:tblGrid>
        <w:gridCol w:w="1388"/>
        <w:gridCol w:w="8491"/>
      </w:tblGrid>
      <w:tr w:rsidR="00894FAA" w:rsidRPr="00620035" w:rsidTr="00393C63">
        <w:trPr>
          <w:trHeight w:hRule="exact" w:val="425"/>
        </w:trPr>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Pr>
                <w:rStyle w:val="Textbold"/>
              </w:rPr>
              <w:t>ABS</w:t>
            </w:r>
          </w:p>
        </w:tc>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t>Australian Bureau of Statistics</w:t>
            </w:r>
          </w:p>
        </w:tc>
      </w:tr>
      <w:tr w:rsidR="00894FAA" w:rsidRPr="00620035" w:rsidTr="00393C63">
        <w:trPr>
          <w:trHeight w:hRule="exact" w:val="425"/>
        </w:trPr>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Pr>
                <w:rStyle w:val="Textbold"/>
              </w:rPr>
              <w:t>ACT</w:t>
            </w:r>
          </w:p>
        </w:tc>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t>Australian Capital Territory</w:t>
            </w:r>
          </w:p>
        </w:tc>
      </w:tr>
      <w:tr w:rsidR="00894FAA" w:rsidRPr="00620035" w:rsidTr="00393C63">
        <w:trPr>
          <w:trHeight w:hRule="exact" w:val="425"/>
        </w:trPr>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AEMC</w:t>
            </w:r>
          </w:p>
        </w:tc>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Australian Energy Market Commission</w:t>
            </w:r>
          </w:p>
        </w:tc>
      </w:tr>
      <w:tr w:rsidR="00894FAA" w:rsidRPr="00620035" w:rsidTr="00393C63">
        <w:trPr>
          <w:trHeight w:hRule="exact" w:val="425"/>
        </w:trPr>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AEMO</w:t>
            </w:r>
          </w:p>
        </w:tc>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Australian Energy Market Operator</w:t>
            </w:r>
          </w:p>
        </w:tc>
      </w:tr>
      <w:tr w:rsidR="00894FAA" w:rsidRPr="00620035" w:rsidTr="00393C63">
        <w:trPr>
          <w:trHeight w:hRule="exact" w:val="425"/>
        </w:trPr>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rPr>
                <w:rStyle w:val="Textbold"/>
              </w:rPr>
            </w:pPr>
            <w:r w:rsidRPr="002E676B">
              <w:rPr>
                <w:rStyle w:val="Textbold"/>
              </w:rPr>
              <w:t>AER</w:t>
            </w:r>
          </w:p>
        </w:tc>
        <w:tc>
          <w:tcPr>
            <w:tcW w:w="0" w:type="auto"/>
            <w:tcBorders>
              <w:top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pPr>
            <w:r w:rsidRPr="002E676B">
              <w:t>Australian Energy Regulator</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APGT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Australian Power Generation Technology report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ASX</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Australian Stock Exchange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CO</w:t>
            </w:r>
            <w:r w:rsidRPr="00D817DA">
              <w:rPr>
                <w:rStyle w:val="Textbold"/>
                <w:rFonts w:ascii="Arial Bold" w:hAnsi="Arial Bold"/>
                <w:vertAlign w:val="subscript"/>
              </w:rPr>
              <w:t>2</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362C4" w:rsidRDefault="00894FAA" w:rsidP="00393C63">
            <w:pPr>
              <w:pStyle w:val="BodyText"/>
              <w:spacing w:line="240" w:lineRule="auto"/>
            </w:pPr>
            <w:r>
              <w:t>c</w:t>
            </w:r>
            <w:r w:rsidRPr="003362C4">
              <w:t>arbon dioxide</w:t>
            </w:r>
            <w:r>
              <w:t>, a greenhouse gas</w:t>
            </w:r>
            <w:r w:rsidRPr="003362C4">
              <w:t xml:space="preserve"> </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CO</w:t>
            </w:r>
            <w:r w:rsidRPr="00D817DA">
              <w:rPr>
                <w:rStyle w:val="Textbold"/>
                <w:rFonts w:ascii="Arial Bold" w:hAnsi="Arial Bold"/>
                <w:vertAlign w:val="subscript"/>
              </w:rPr>
              <w:t>2</w:t>
            </w:r>
            <w:r w:rsidRPr="00352FE8">
              <w:rPr>
                <w:rStyle w:val="Textbold"/>
              </w:rPr>
              <w:t>-e</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362C4" w:rsidRDefault="00894FAA" w:rsidP="00393C63">
            <w:pPr>
              <w:pStyle w:val="BodyText"/>
              <w:spacing w:line="240" w:lineRule="auto"/>
            </w:pPr>
            <w:r>
              <w:t>c</w:t>
            </w:r>
            <w:r w:rsidRPr="003362C4">
              <w:t>arbon dioxide equivalent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CCA</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Climate Change Authority</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CCGT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combined</w:t>
            </w:r>
            <w:r>
              <w:noBreakHyphen/>
              <w:t>cycle gas turbines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CCS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carbon capture and storage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CGE</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rsidRPr="00676E85">
              <w:t>computable general equilibrium</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COAG</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Council of Australian Governments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CPRS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Carbon Pollution Reduction Scheme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CSIRO</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Commonwealth Scientific Industrial and Research Organisation</w:t>
            </w:r>
          </w:p>
          <w:p w:rsidR="00894FAA" w:rsidRDefault="00894FAA" w:rsidP="00393C63">
            <w:pPr>
              <w:pStyle w:val="BodyText"/>
              <w:spacing w:line="240" w:lineRule="auto"/>
            </w:pPr>
            <w:proofErr w:type="spellStart"/>
            <w:r>
              <w:t>ch</w:t>
            </w:r>
            <w:proofErr w:type="spellEnd"/>
            <w:r>
              <w:t xml:space="preserve"> Organisation</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DEDJTR</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Department of Economic Development, Jobs, Transport and Resources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DIIS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Department of Industry, Innovation and Science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DIS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Department of Industry and Science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DoE</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A16021" w:rsidRDefault="00894FAA" w:rsidP="00393C63">
            <w:pPr>
              <w:pStyle w:val="BodyText"/>
              <w:spacing w:line="240" w:lineRule="auto"/>
            </w:pPr>
            <w:r>
              <w:t>Department of the Environment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DRET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Department of Resources, Energy and Tourism</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rPr>
                <w:rStyle w:val="Textbold"/>
              </w:rPr>
            </w:pPr>
            <w:r>
              <w:rPr>
                <w:rStyle w:val="Textbold"/>
              </w:rPr>
              <w:t>EI</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pPr>
            <w:r>
              <w:t>emissions intensity</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rPr>
                <w:rStyle w:val="Textbold"/>
              </w:rPr>
            </w:pPr>
            <w:r w:rsidRPr="002E676B">
              <w:rPr>
                <w:rStyle w:val="Textbold"/>
              </w:rPr>
              <w:t>EITE</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2E676B" w:rsidRDefault="00894FAA" w:rsidP="00393C63">
            <w:pPr>
              <w:pStyle w:val="BodyText"/>
              <w:spacing w:line="240" w:lineRule="auto"/>
            </w:pPr>
            <w:r w:rsidRPr="002E676B">
              <w:t>emissions</w:t>
            </w:r>
            <w:r w:rsidRPr="002E676B">
              <w:noBreakHyphen/>
              <w:t>intensive trade</w:t>
            </w:r>
            <w:r w:rsidRPr="002E676B">
              <w:noBreakHyphen/>
              <w:t>exposed</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lastRenderedPageBreak/>
              <w:t>EITEI</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rsidRPr="002E676B">
              <w:t>emissions</w:t>
            </w:r>
            <w:r w:rsidRPr="002E676B">
              <w:noBreakHyphen/>
              <w:t>intensive trade</w:t>
            </w:r>
            <w:r w:rsidRPr="002E676B">
              <w:noBreakHyphen/>
              <w:t>exposed</w:t>
            </w:r>
            <w:r>
              <w:t xml:space="preserve"> industries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ENA</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Energy Networks Association</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ERF</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Emissions Reduction Fund</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ETS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emissions trading scheme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EU</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A16021" w:rsidRDefault="00894FAA" w:rsidP="00393C63">
            <w:pPr>
              <w:pStyle w:val="BodyText"/>
              <w:spacing w:line="240" w:lineRule="auto"/>
            </w:pPr>
            <w:r w:rsidRPr="00A16021">
              <w:t>European Union</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EY</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Ernst &amp; Young</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GDP</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gross domestic product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GNI</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gross national income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proofErr w:type="spellStart"/>
            <w:r>
              <w:rPr>
                <w:rStyle w:val="Textbold"/>
              </w:rPr>
              <w:t>GWh</w:t>
            </w:r>
            <w:proofErr w:type="spellEnd"/>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gigawatt hours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IEA</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International Energy Agency</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5C5B6E" w:rsidRDefault="00894FAA" w:rsidP="00393C63">
            <w:pPr>
              <w:pStyle w:val="BodyText"/>
              <w:spacing w:line="240" w:lineRule="auto"/>
              <w:rPr>
                <w:rStyle w:val="Textbold"/>
              </w:rPr>
            </w:pPr>
            <w:r w:rsidRPr="005C5B6E">
              <w:rPr>
                <w:rStyle w:val="Textbold"/>
              </w:rPr>
              <w:t>IMO</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5C5B6E" w:rsidRDefault="00894FAA" w:rsidP="00393C63">
            <w:pPr>
              <w:pStyle w:val="BodyText"/>
              <w:spacing w:line="240" w:lineRule="auto"/>
            </w:pPr>
            <w:r w:rsidRPr="005C5B6E">
              <w:t>Independent Market Operator</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IPCC</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A16021" w:rsidRDefault="00894FAA" w:rsidP="00393C63">
            <w:pPr>
              <w:pStyle w:val="BodyText"/>
              <w:spacing w:line="240" w:lineRule="auto"/>
            </w:pPr>
            <w:r>
              <w:t>Intergovernmental Panel on Climate Change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8494D" w:rsidRDefault="00894FAA" w:rsidP="00393C63">
            <w:pPr>
              <w:pStyle w:val="BodyText"/>
              <w:spacing w:line="240" w:lineRule="auto"/>
              <w:rPr>
                <w:rStyle w:val="Textbold"/>
              </w:rPr>
            </w:pPr>
            <w:r>
              <w:rPr>
                <w:rStyle w:val="Textbold"/>
              </w:rPr>
              <w:t>LET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8494D" w:rsidRDefault="00894FAA" w:rsidP="00393C63">
            <w:pPr>
              <w:pStyle w:val="BodyText"/>
              <w:spacing w:line="240" w:lineRule="auto"/>
            </w:pPr>
            <w:r>
              <w:t>low emissions target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8494D" w:rsidRDefault="00894FAA" w:rsidP="00393C63">
            <w:pPr>
              <w:pStyle w:val="BodyText"/>
              <w:spacing w:line="240" w:lineRule="auto"/>
              <w:rPr>
                <w:rStyle w:val="Textbold"/>
              </w:rPr>
            </w:pPr>
            <w:r w:rsidRPr="0048494D">
              <w:rPr>
                <w:rStyle w:val="Textbold"/>
              </w:rPr>
              <w:t>LRET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8494D" w:rsidRDefault="00894FAA" w:rsidP="00393C63">
            <w:pPr>
              <w:pStyle w:val="BodyText"/>
              <w:spacing w:line="240" w:lineRule="auto"/>
            </w:pPr>
            <w:r w:rsidRPr="0048494D">
              <w:t>Large</w:t>
            </w:r>
            <w:r w:rsidRPr="0048494D">
              <w:noBreakHyphen/>
              <w:t>scale Renewable Energy Target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MWh</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megawatt hours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NEM</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National Electricity Market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NPV</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net present value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NSW</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New South Wales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OCGT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open</w:t>
            </w:r>
            <w:r>
              <w:noBreakHyphen/>
              <w:t>cycle gas turbines</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t>OECD</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Organisation for Economic Cooperation and Development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B87EA5" w:rsidRDefault="00894FAA" w:rsidP="00393C63">
            <w:pPr>
              <w:pStyle w:val="BodyText"/>
              <w:spacing w:line="240" w:lineRule="auto"/>
              <w:rPr>
                <w:rStyle w:val="Textbold"/>
              </w:rPr>
            </w:pPr>
            <w:r>
              <w:rPr>
                <w:rStyle w:val="Textbold"/>
              </w:rPr>
              <w:t>PV</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B87EA5" w:rsidRDefault="00894FAA" w:rsidP="00393C63">
            <w:pPr>
              <w:pStyle w:val="BodyText"/>
              <w:spacing w:line="240" w:lineRule="auto"/>
            </w:pPr>
            <w:r>
              <w:t>photovoltaic</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RET</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Renewable Energy Target</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Pr>
                <w:rStyle w:val="Textbold"/>
              </w:rPr>
              <w:t>SME</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t>small and medium enterprise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SRES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Small</w:t>
            </w:r>
            <w:r w:rsidRPr="004447FA">
              <w:noBreakHyphen/>
              <w:t>scale Renewable Energy Scheme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rPr>
                <w:rStyle w:val="Textbold"/>
              </w:rPr>
            </w:pPr>
            <w:r w:rsidRPr="004447FA">
              <w:rPr>
                <w:rStyle w:val="Textbold"/>
              </w:rPr>
              <w:t>SWIS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4447FA" w:rsidRDefault="00894FAA" w:rsidP="00393C63">
            <w:pPr>
              <w:pStyle w:val="BodyText"/>
              <w:spacing w:line="240" w:lineRule="auto"/>
            </w:pPr>
            <w:r w:rsidRPr="004447FA">
              <w:t>South-West Interconnected System</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TCI</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A16021" w:rsidRDefault="00894FAA" w:rsidP="00393C63">
            <w:pPr>
              <w:pStyle w:val="BodyText"/>
              <w:spacing w:line="240" w:lineRule="auto"/>
            </w:pPr>
            <w:r>
              <w:t>The Climate Institute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sidRPr="00352FE8">
              <w:rPr>
                <w:rStyle w:val="Textbold"/>
              </w:rPr>
              <w:lastRenderedPageBreak/>
              <w:t>UNFCCC</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A16021" w:rsidRDefault="00894FAA" w:rsidP="00393C63">
            <w:pPr>
              <w:pStyle w:val="BodyText"/>
              <w:spacing w:line="240" w:lineRule="auto"/>
            </w:pPr>
            <w:r w:rsidRPr="00A16021">
              <w:t>United Nations Framework Convention on Climate Change</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US</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United States of America</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VURM</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Victoria University Regional Model</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rPr>
                <w:rStyle w:val="Textbold"/>
              </w:rPr>
            </w:pPr>
            <w:r>
              <w:rPr>
                <w:rStyle w:val="Textbold"/>
              </w:rPr>
              <w:t>WACC</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Weighted average cost of capital</w:t>
            </w:r>
          </w:p>
        </w:tc>
      </w:tr>
      <w:tr w:rsidR="00894FAA" w:rsidRPr="00620035" w:rsidTr="00393C63">
        <w:trPr>
          <w:trHeight w:hRule="exact" w:val="425"/>
        </w:trPr>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Pr="00352FE8" w:rsidRDefault="00894FAA" w:rsidP="00393C63">
            <w:pPr>
              <w:pStyle w:val="BodyText"/>
              <w:spacing w:line="240" w:lineRule="auto"/>
              <w:rPr>
                <w:rStyle w:val="Textbold"/>
              </w:rPr>
            </w:pPr>
            <w:r>
              <w:rPr>
                <w:rStyle w:val="Textbold"/>
              </w:rPr>
              <w:t>WEM</w:t>
            </w:r>
          </w:p>
        </w:tc>
        <w:tc>
          <w:tcPr>
            <w:tcW w:w="0" w:type="auto"/>
            <w:tcBorders>
              <w:top w:val="single" w:sz="6" w:space="0" w:color="DDDDDD"/>
              <w:bottom w:val="single" w:sz="6" w:space="0" w:color="DDDDDD"/>
            </w:tcBorders>
            <w:shd w:val="clear" w:color="auto" w:fill="auto"/>
            <w:tcMar>
              <w:top w:w="120" w:type="dxa"/>
              <w:left w:w="120" w:type="dxa"/>
              <w:bottom w:w="120" w:type="dxa"/>
              <w:right w:w="120" w:type="dxa"/>
            </w:tcMar>
            <w:vAlign w:val="bottom"/>
          </w:tcPr>
          <w:p w:rsidR="00894FAA" w:rsidRDefault="00894FAA" w:rsidP="00393C63">
            <w:pPr>
              <w:pStyle w:val="BodyText"/>
              <w:spacing w:line="240" w:lineRule="auto"/>
            </w:pPr>
            <w:r>
              <w:t>Wholesale Electricity Market</w:t>
            </w:r>
          </w:p>
          <w:p w:rsidR="002D7D2A" w:rsidRPr="00A16021" w:rsidRDefault="002D7D2A" w:rsidP="00393C63">
            <w:pPr>
              <w:pStyle w:val="BodyText"/>
              <w:spacing w:line="240" w:lineRule="auto"/>
            </w:pPr>
          </w:p>
        </w:tc>
      </w:tr>
    </w:tbl>
    <w:p w:rsidR="002D7D2A" w:rsidRDefault="002D7D2A" w:rsidP="00F53AD0">
      <w:pPr>
        <w:pStyle w:val="CitaviBibliographyHeading"/>
        <w:sectPr w:rsidR="002D7D2A" w:rsidSect="007B50DF">
          <w:footerReference w:type="default" r:id="rId73"/>
          <w:pgSz w:w="11907" w:h="16839" w:code="9"/>
          <w:pgMar w:top="1134" w:right="1134" w:bottom="1134" w:left="1134" w:header="720" w:footer="720" w:gutter="0"/>
          <w:cols w:space="720"/>
          <w:docGrid w:linePitch="360"/>
        </w:sectPr>
      </w:pPr>
    </w:p>
    <w:p w:rsidR="00CA762C" w:rsidRDefault="00CA762C" w:rsidP="00487433">
      <w:pPr>
        <w:pStyle w:val="CitaviBibliographyHeading"/>
        <w:numPr>
          <w:ilvl w:val="0"/>
          <w:numId w:val="0"/>
        </w:numPr>
      </w:pPr>
      <w:bookmarkStart w:id="878" w:name="_CTVBIBLIOGRAPHY1"/>
      <w:bookmarkEnd w:id="878"/>
      <w:r>
        <w:lastRenderedPageBreak/>
        <w:t>References</w:t>
      </w:r>
    </w:p>
    <w:p w:rsidR="00CA762C" w:rsidRDefault="00CA762C" w:rsidP="00CA762C">
      <w:pPr>
        <w:pStyle w:val="CitaviBibliographyEntry"/>
      </w:pPr>
      <w:r w:rsidRPr="00CA762C">
        <w:rPr>
          <w:b/>
        </w:rPr>
        <w:t>ACIL Allen Consulting 2013</w:t>
      </w:r>
      <w:r w:rsidRPr="00CA762C">
        <w:t xml:space="preserve">, </w:t>
      </w:r>
      <w:r w:rsidRPr="00CA762C">
        <w:rPr>
          <w:i/>
        </w:rPr>
        <w:t>Electricity sector emissions: modelling of the Australian electricity generation sector</w:t>
      </w:r>
      <w:r w:rsidRPr="00CA762C">
        <w:t>, report to the Department of Industry, Innovation, Climate Change, Science, Research and Tertiary Education.</w:t>
      </w:r>
    </w:p>
    <w:p w:rsidR="00CA762C" w:rsidRDefault="00CA762C" w:rsidP="00CA762C">
      <w:pPr>
        <w:pStyle w:val="CitaviBibliographyEntry"/>
      </w:pPr>
      <w:r w:rsidRPr="00CA762C">
        <w:rPr>
          <w:b/>
        </w:rPr>
        <w:t>ACIL Allen Consulting 2014</w:t>
      </w:r>
      <w:r w:rsidRPr="00CA762C">
        <w:t xml:space="preserve">, </w:t>
      </w:r>
      <w:r w:rsidRPr="00CA762C">
        <w:rPr>
          <w:i/>
        </w:rPr>
        <w:t>RET review modelling: market modelling of various RET policy options</w:t>
      </w:r>
      <w:r w:rsidRPr="00CA762C">
        <w:t>, report to the RET review expert panel.</w:t>
      </w:r>
    </w:p>
    <w:p w:rsidR="00CA762C" w:rsidRDefault="00CA762C" w:rsidP="00CA762C">
      <w:pPr>
        <w:pStyle w:val="CitaviBibliographyEntry"/>
      </w:pPr>
      <w:r w:rsidRPr="00CA762C">
        <w:rPr>
          <w:b/>
        </w:rPr>
        <w:t>ACIL Allen Consulting 2015</w:t>
      </w:r>
      <w:r w:rsidRPr="00CA762C">
        <w:t xml:space="preserve">, </w:t>
      </w:r>
      <w:r w:rsidRPr="00CA762C">
        <w:rPr>
          <w:i/>
        </w:rPr>
        <w:t>Electricity sector emissions: modelling of the Australian generation sector</w:t>
      </w:r>
      <w:r w:rsidRPr="00CA762C">
        <w:t>, report to the Department of the Environment, ACIL Allen Consulting.</w:t>
      </w:r>
    </w:p>
    <w:p w:rsidR="00CA762C" w:rsidRDefault="00CA762C" w:rsidP="00CA762C">
      <w:pPr>
        <w:pStyle w:val="CitaviBibliographyEntry"/>
      </w:pPr>
      <w:r w:rsidRPr="00CA762C">
        <w:rPr>
          <w:b/>
        </w:rPr>
        <w:t>Adams P</w:t>
      </w:r>
      <w:r w:rsidRPr="00CA762C">
        <w:t xml:space="preserve"> </w:t>
      </w:r>
      <w:r w:rsidRPr="00CA762C">
        <w:rPr>
          <w:b/>
        </w:rPr>
        <w:t>2016</w:t>
      </w:r>
      <w:r w:rsidRPr="00CA762C">
        <w:t xml:space="preserve">, </w:t>
      </w:r>
      <w:r w:rsidRPr="00CA762C">
        <w:rPr>
          <w:i/>
        </w:rPr>
        <w:t xml:space="preserve">Simulations of the effects of greenhouse gas mitigation policies for the Australian electricity sector, </w:t>
      </w:r>
      <w:r w:rsidRPr="00CA762C">
        <w:t>Victoria University, Melbourne.</w:t>
      </w:r>
    </w:p>
    <w:p w:rsidR="00CA762C" w:rsidRDefault="00CA762C" w:rsidP="00CA762C">
      <w:pPr>
        <w:pStyle w:val="CitaviBibliographyEntry"/>
      </w:pPr>
      <w:r w:rsidRPr="00CA762C">
        <w:rPr>
          <w:b/>
        </w:rPr>
        <w:t>AECOM 2013</w:t>
      </w:r>
      <w:r w:rsidRPr="00CA762C">
        <w:t xml:space="preserve">, </w:t>
      </w:r>
      <w:r w:rsidRPr="00CA762C">
        <w:rPr>
          <w:i/>
        </w:rPr>
        <w:t>Australian remote renewables: Opportunities for investment</w:t>
      </w:r>
      <w:r w:rsidRPr="00CA762C">
        <w:t>.</w:t>
      </w:r>
    </w:p>
    <w:p w:rsidR="00CA762C" w:rsidRDefault="00CA762C" w:rsidP="00CA762C">
      <w:pPr>
        <w:pStyle w:val="CitaviBibliographyEntry"/>
      </w:pPr>
      <w:proofErr w:type="gramStart"/>
      <w:r w:rsidRPr="00CA762C">
        <w:rPr>
          <w:b/>
        </w:rPr>
        <w:t>AGL Energy 2014</w:t>
      </w:r>
      <w:r w:rsidRPr="00CA762C">
        <w:t xml:space="preserve">, </w:t>
      </w:r>
      <w:r w:rsidRPr="00CA762C">
        <w:rPr>
          <w:i/>
        </w:rPr>
        <w:t>AGL to mothball South Australian generating units</w:t>
      </w:r>
      <w:r w:rsidRPr="00CA762C">
        <w:t>, viewed 05 Apr. 2016, https://www.agl.com.au/about-agl/media-centre/article-list/2014/december/agl-to-mothball-south-australian-generating-units.</w:t>
      </w:r>
      <w:proofErr w:type="gramEnd"/>
    </w:p>
    <w:p w:rsidR="00CA762C" w:rsidRDefault="00CA762C" w:rsidP="00CA762C">
      <w:pPr>
        <w:pStyle w:val="CitaviBibliographyEntry"/>
      </w:pPr>
      <w:proofErr w:type="gramStart"/>
      <w:r w:rsidRPr="00CA762C">
        <w:rPr>
          <w:b/>
        </w:rPr>
        <w:t>AGL Energy 2016</w:t>
      </w:r>
      <w:r w:rsidRPr="00CA762C">
        <w:t xml:space="preserve">, </w:t>
      </w:r>
      <w:r w:rsidRPr="00CA762C">
        <w:rPr>
          <w:i/>
        </w:rPr>
        <w:t>AGL to defer mothballing of South Australian generating units</w:t>
      </w:r>
      <w:r w:rsidRPr="00CA762C">
        <w:t>, viewed 21 Jul. 2016, https://www.agl.com.au/about-agl/media-centre/article-list/2016/june/agl-to-defer-mothballing-of-south-australian-generating-units.</w:t>
      </w:r>
      <w:proofErr w:type="gramEnd"/>
    </w:p>
    <w:p w:rsidR="00CA762C" w:rsidRDefault="00CA762C" w:rsidP="00CA762C">
      <w:pPr>
        <w:pStyle w:val="CitaviBibliographyEntry"/>
      </w:pPr>
      <w:proofErr w:type="spellStart"/>
      <w:proofErr w:type="gramStart"/>
      <w:r w:rsidRPr="00CA762C">
        <w:rPr>
          <w:b/>
        </w:rPr>
        <w:t>Alinta</w:t>
      </w:r>
      <w:proofErr w:type="spellEnd"/>
      <w:r w:rsidRPr="00CA762C">
        <w:rPr>
          <w:b/>
        </w:rPr>
        <w:t xml:space="preserve"> Energy 2015</w:t>
      </w:r>
      <w:r w:rsidRPr="00CA762C">
        <w:t xml:space="preserve">, </w:t>
      </w:r>
      <w:r w:rsidRPr="00CA762C">
        <w:rPr>
          <w:i/>
        </w:rPr>
        <w:t>Flinders operations update</w:t>
      </w:r>
      <w:r w:rsidRPr="00CA762C">
        <w:t>, viewed 05 Apr. 2016, https://alintaenergy.com.au/about-us/news/flinders-operations-update.</w:t>
      </w:r>
      <w:proofErr w:type="gramEnd"/>
    </w:p>
    <w:p w:rsidR="00CA762C" w:rsidRDefault="00CA762C" w:rsidP="00CA762C">
      <w:pPr>
        <w:pStyle w:val="CitaviBibliographyEntry"/>
      </w:pPr>
      <w:proofErr w:type="spellStart"/>
      <w:r w:rsidRPr="00CA762C">
        <w:rPr>
          <w:b/>
        </w:rPr>
        <w:t>Audoly</w:t>
      </w:r>
      <w:proofErr w:type="spellEnd"/>
      <w:r w:rsidRPr="00CA762C">
        <w:rPr>
          <w:b/>
        </w:rPr>
        <w:t xml:space="preserve"> R, Vogt-</w:t>
      </w:r>
      <w:proofErr w:type="spellStart"/>
      <w:r w:rsidRPr="00CA762C">
        <w:rPr>
          <w:b/>
        </w:rPr>
        <w:t>Schilb</w:t>
      </w:r>
      <w:proofErr w:type="spellEnd"/>
      <w:r w:rsidRPr="00CA762C">
        <w:rPr>
          <w:b/>
        </w:rPr>
        <w:t xml:space="preserve"> </w:t>
      </w:r>
      <w:proofErr w:type="gramStart"/>
      <w:r w:rsidRPr="00CA762C">
        <w:rPr>
          <w:b/>
        </w:rPr>
        <w:t>A</w:t>
      </w:r>
      <w:proofErr w:type="gramEnd"/>
      <w:r w:rsidRPr="00CA762C">
        <w:rPr>
          <w:b/>
        </w:rPr>
        <w:t xml:space="preserve"> &amp; </w:t>
      </w:r>
      <w:proofErr w:type="spellStart"/>
      <w:r w:rsidRPr="00CA762C">
        <w:rPr>
          <w:b/>
        </w:rPr>
        <w:t>Guivarch</w:t>
      </w:r>
      <w:proofErr w:type="spellEnd"/>
      <w:r w:rsidRPr="00CA762C">
        <w:rPr>
          <w:b/>
        </w:rPr>
        <w:t xml:space="preserve"> A</w:t>
      </w:r>
      <w:r w:rsidRPr="00CA762C">
        <w:t xml:space="preserve"> </w:t>
      </w:r>
      <w:r w:rsidRPr="00CA762C">
        <w:rPr>
          <w:b/>
        </w:rPr>
        <w:t>2014</w:t>
      </w:r>
      <w:r w:rsidRPr="00CA762C">
        <w:t xml:space="preserve">, </w:t>
      </w:r>
      <w:r w:rsidRPr="00CA762C">
        <w:rPr>
          <w:i/>
        </w:rPr>
        <w:t xml:space="preserve">Pathways toward zero-carbon electricity required for climate stabilisation, </w:t>
      </w:r>
      <w:r w:rsidRPr="00CA762C">
        <w:t>World Bank Group.</w:t>
      </w:r>
    </w:p>
    <w:p w:rsidR="00CA762C" w:rsidRDefault="00CA762C" w:rsidP="00CA762C">
      <w:pPr>
        <w:pStyle w:val="CitaviBibliographyEntry"/>
      </w:pPr>
      <w:r w:rsidRPr="00CA762C">
        <w:rPr>
          <w:b/>
        </w:rPr>
        <w:t>Australian Bureau of Statistics (ABS) 2014</w:t>
      </w:r>
      <w:r w:rsidRPr="00CA762C">
        <w:t xml:space="preserve">, </w:t>
      </w:r>
      <w:r w:rsidRPr="00CA762C">
        <w:rPr>
          <w:i/>
        </w:rPr>
        <w:t xml:space="preserve">Environmental issues: energy use and conservation: cat. </w:t>
      </w:r>
      <w:proofErr w:type="gramStart"/>
      <w:r w:rsidRPr="00CA762C">
        <w:rPr>
          <w:i/>
        </w:rPr>
        <w:t>no. 4602.0.55.001</w:t>
      </w:r>
      <w:r w:rsidRPr="00CA762C">
        <w:t>, viewed 21 Mar. 2016, http://www.abs.gov.au/AUSSTATS/abs@.nsf/Lookup/4602.0.55.001Main+Features1Mar%202014?OpenDocument.</w:t>
      </w:r>
      <w:proofErr w:type="gramEnd"/>
    </w:p>
    <w:p w:rsidR="00CA762C" w:rsidRDefault="00CA762C" w:rsidP="00CA762C">
      <w:pPr>
        <w:pStyle w:val="CitaviBibliographyEntry"/>
      </w:pPr>
      <w:r w:rsidRPr="00CA762C">
        <w:rPr>
          <w:b/>
        </w:rPr>
        <w:t>ABS 2015</w:t>
      </w:r>
      <w:r w:rsidRPr="00CA762C">
        <w:t xml:space="preserve">, </w:t>
      </w:r>
      <w:r w:rsidRPr="00CA762C">
        <w:rPr>
          <w:i/>
        </w:rPr>
        <w:t xml:space="preserve">Consumer Price Index, Australia, Dec 2015: cat. </w:t>
      </w:r>
      <w:proofErr w:type="gramStart"/>
      <w:r w:rsidRPr="00CA762C">
        <w:rPr>
          <w:i/>
        </w:rPr>
        <w:t>no</w:t>
      </w:r>
      <w:proofErr w:type="gramEnd"/>
      <w:r w:rsidRPr="00CA762C">
        <w:rPr>
          <w:i/>
        </w:rPr>
        <w:t>. 6401.0</w:t>
      </w:r>
      <w:r w:rsidRPr="00CA762C">
        <w:t>, table 7. 6401.0.</w:t>
      </w:r>
    </w:p>
    <w:p w:rsidR="00CA762C" w:rsidRDefault="00CA762C" w:rsidP="00CA762C">
      <w:pPr>
        <w:pStyle w:val="CitaviBibliographyEntry"/>
      </w:pPr>
      <w:r w:rsidRPr="00CA762C">
        <w:rPr>
          <w:b/>
        </w:rPr>
        <w:t>Australian Energy Market Commission (AEMC) 2013</w:t>
      </w:r>
      <w:r w:rsidRPr="00CA762C">
        <w:t xml:space="preserve">, </w:t>
      </w:r>
      <w:r w:rsidRPr="00CA762C">
        <w:rPr>
          <w:i/>
        </w:rPr>
        <w:t>2013 Residential electricity price trends report</w:t>
      </w:r>
      <w:r w:rsidRPr="00CA762C">
        <w:t>, Sydney.</w:t>
      </w:r>
    </w:p>
    <w:p w:rsidR="00CA762C" w:rsidRDefault="00CA762C" w:rsidP="00CA762C">
      <w:pPr>
        <w:pStyle w:val="CitaviBibliographyEntry"/>
      </w:pPr>
      <w:r w:rsidRPr="00CA762C">
        <w:rPr>
          <w:b/>
        </w:rPr>
        <w:t>AEMC 2014</w:t>
      </w:r>
      <w:r w:rsidRPr="00CA762C">
        <w:t xml:space="preserve">, </w:t>
      </w:r>
      <w:r w:rsidRPr="00CA762C">
        <w:rPr>
          <w:i/>
        </w:rPr>
        <w:t>2014 Residential electricity price trends report</w:t>
      </w:r>
      <w:r w:rsidRPr="00CA762C">
        <w:t>, Sydney.</w:t>
      </w:r>
    </w:p>
    <w:p w:rsidR="00CA762C" w:rsidRDefault="00CA762C" w:rsidP="00CA762C">
      <w:pPr>
        <w:pStyle w:val="CitaviBibliographyEntry"/>
      </w:pPr>
      <w:r w:rsidRPr="00CA762C">
        <w:rPr>
          <w:b/>
        </w:rPr>
        <w:t>AEMC 2015a</w:t>
      </w:r>
      <w:r w:rsidRPr="00CA762C">
        <w:t xml:space="preserve">, </w:t>
      </w:r>
      <w:r w:rsidRPr="00CA762C">
        <w:rPr>
          <w:i/>
        </w:rPr>
        <w:t>Barriers to efficient exit decisions by generators, Advice to the COAG Energy Council</w:t>
      </w:r>
      <w:r w:rsidRPr="00CA762C">
        <w:t>, Sydney.</w:t>
      </w:r>
    </w:p>
    <w:p w:rsidR="00CA762C" w:rsidRDefault="00CA762C" w:rsidP="00CA762C">
      <w:pPr>
        <w:pStyle w:val="CitaviBibliographyEntry"/>
      </w:pPr>
      <w:r w:rsidRPr="00CA762C">
        <w:rPr>
          <w:b/>
        </w:rPr>
        <w:t>AEMC 2015b</w:t>
      </w:r>
      <w:r w:rsidRPr="00CA762C">
        <w:t xml:space="preserve">, </w:t>
      </w:r>
      <w:r w:rsidRPr="00CA762C">
        <w:rPr>
          <w:i/>
        </w:rPr>
        <w:t>2015 Residential electricity price trends, final report</w:t>
      </w:r>
      <w:r w:rsidRPr="00CA762C">
        <w:t>, Sydney.</w:t>
      </w:r>
    </w:p>
    <w:p w:rsidR="00CA762C" w:rsidRDefault="00CA762C" w:rsidP="00CA762C">
      <w:pPr>
        <w:pStyle w:val="CitaviBibliographyEntry"/>
      </w:pPr>
      <w:r w:rsidRPr="00CA762C">
        <w:rPr>
          <w:b/>
        </w:rPr>
        <w:t>AEMC 2016</w:t>
      </w:r>
      <w:r w:rsidRPr="00CA762C">
        <w:t xml:space="preserve">, </w:t>
      </w:r>
      <w:r w:rsidRPr="00CA762C">
        <w:rPr>
          <w:i/>
        </w:rPr>
        <w:t>Australian energy market: electricity</w:t>
      </w:r>
      <w:r w:rsidRPr="00CA762C">
        <w:t>, viewed 24 Mar. 2016, http://www.aemc.gov.au/Australias-Energy-Market/Electricity.</w:t>
      </w:r>
    </w:p>
    <w:p w:rsidR="00CA762C" w:rsidRDefault="00CA762C" w:rsidP="00CA762C">
      <w:pPr>
        <w:pStyle w:val="CitaviBibliographyEntry"/>
      </w:pPr>
      <w:r w:rsidRPr="00CA762C">
        <w:rPr>
          <w:b/>
        </w:rPr>
        <w:t>Australian Energy Market Operator (AEMO) 2015a</w:t>
      </w:r>
      <w:r w:rsidRPr="00CA762C">
        <w:t xml:space="preserve">, </w:t>
      </w:r>
      <w:r w:rsidRPr="00CA762C">
        <w:rPr>
          <w:i/>
        </w:rPr>
        <w:t xml:space="preserve">Electricity statement of opportunities: for the National Electricity Market, </w:t>
      </w:r>
      <w:r w:rsidRPr="00CA762C">
        <w:t>Version 2.</w:t>
      </w:r>
    </w:p>
    <w:p w:rsidR="00CA762C" w:rsidRDefault="00CA762C" w:rsidP="00CA762C">
      <w:pPr>
        <w:pStyle w:val="CitaviBibliographyEntry"/>
      </w:pPr>
      <w:r w:rsidRPr="00CA762C">
        <w:rPr>
          <w:b/>
        </w:rPr>
        <w:t>AEMO 2015b</w:t>
      </w:r>
      <w:r w:rsidRPr="00CA762C">
        <w:t xml:space="preserve">, </w:t>
      </w:r>
      <w:r w:rsidRPr="00CA762C">
        <w:rPr>
          <w:i/>
        </w:rPr>
        <w:t>National electricity forecasting report: detailed summary of 2015 electricity forecasts</w:t>
      </w:r>
      <w:r w:rsidRPr="00CA762C">
        <w:t>.</w:t>
      </w:r>
    </w:p>
    <w:p w:rsidR="00CA762C" w:rsidRDefault="00CA762C" w:rsidP="00CA762C">
      <w:pPr>
        <w:pStyle w:val="CitaviBibliographyEntry"/>
      </w:pPr>
      <w:r w:rsidRPr="00CA762C">
        <w:rPr>
          <w:b/>
        </w:rPr>
        <w:t>AEMO 2015c</w:t>
      </w:r>
      <w:r w:rsidRPr="00CA762C">
        <w:t xml:space="preserve">, </w:t>
      </w:r>
      <w:r w:rsidRPr="00CA762C">
        <w:rPr>
          <w:i/>
        </w:rPr>
        <w:t>National electricity forecasting report overview: for the National Electricity Market</w:t>
      </w:r>
      <w:r w:rsidRPr="00CA762C">
        <w:t>.</w:t>
      </w:r>
    </w:p>
    <w:p w:rsidR="00CA762C" w:rsidRDefault="00CA762C" w:rsidP="00CA762C">
      <w:pPr>
        <w:pStyle w:val="CitaviBibliographyEntry"/>
      </w:pPr>
      <w:r w:rsidRPr="00CA762C">
        <w:rPr>
          <w:b/>
        </w:rPr>
        <w:t>AEMO 2015d</w:t>
      </w:r>
      <w:r w:rsidRPr="00CA762C">
        <w:t xml:space="preserve">, </w:t>
      </w:r>
      <w:r w:rsidRPr="00CA762C">
        <w:rPr>
          <w:i/>
        </w:rPr>
        <w:t>South Australian wind study report: South Australian advisory functions</w:t>
      </w:r>
      <w:r w:rsidRPr="00CA762C">
        <w:t>.</w:t>
      </w:r>
    </w:p>
    <w:p w:rsidR="00CA762C" w:rsidRDefault="00CA762C" w:rsidP="00CA762C">
      <w:pPr>
        <w:pStyle w:val="CitaviBibliographyEntry"/>
      </w:pPr>
      <w:r w:rsidRPr="00CA762C">
        <w:rPr>
          <w:b/>
        </w:rPr>
        <w:t>AEMO 2016a</w:t>
      </w:r>
      <w:r w:rsidRPr="00CA762C">
        <w:t xml:space="preserve">, </w:t>
      </w:r>
      <w:r w:rsidRPr="00CA762C">
        <w:rPr>
          <w:i/>
        </w:rPr>
        <w:t>Average Price Tables</w:t>
      </w:r>
      <w:r w:rsidRPr="00CA762C">
        <w:t>, viewed 03 Aug. 2016, http://www.aemo.com.au/Electricity/National-Electricity-Market-NEM/Data-dashboard.</w:t>
      </w:r>
    </w:p>
    <w:p w:rsidR="00CA762C" w:rsidRDefault="00CA762C" w:rsidP="00CA762C">
      <w:pPr>
        <w:pStyle w:val="CitaviBibliographyEntry"/>
      </w:pPr>
      <w:r w:rsidRPr="00CA762C">
        <w:rPr>
          <w:b/>
        </w:rPr>
        <w:t xml:space="preserve">AEMO </w:t>
      </w:r>
      <w:proofErr w:type="gramStart"/>
      <w:r w:rsidRPr="00CA762C">
        <w:rPr>
          <w:b/>
        </w:rPr>
        <w:t>2016b</w:t>
      </w:r>
      <w:r w:rsidRPr="00CA762C">
        <w:t>,</w:t>
      </w:r>
      <w:proofErr w:type="gramEnd"/>
      <w:r w:rsidRPr="00CA762C">
        <w:t xml:space="preserve"> </w:t>
      </w:r>
      <w:r w:rsidRPr="00CA762C">
        <w:rPr>
          <w:i/>
        </w:rPr>
        <w:t>Deferred 2015 electricity statement of opportunities: for the Wholesale Electricity Market</w:t>
      </w:r>
      <w:r w:rsidRPr="00CA762C">
        <w:t>.</w:t>
      </w:r>
    </w:p>
    <w:p w:rsidR="00CA762C" w:rsidRDefault="00CA762C" w:rsidP="00CA762C">
      <w:pPr>
        <w:pStyle w:val="CitaviBibliographyEntry"/>
      </w:pPr>
      <w:r w:rsidRPr="00CA762C">
        <w:rPr>
          <w:b/>
        </w:rPr>
        <w:t>AEMO 2016c</w:t>
      </w:r>
      <w:r w:rsidRPr="00CA762C">
        <w:t xml:space="preserve">, </w:t>
      </w:r>
      <w:r w:rsidRPr="00CA762C">
        <w:rPr>
          <w:i/>
        </w:rPr>
        <w:t>Electricity statement of opportunities: for the National Electricity Market</w:t>
      </w:r>
      <w:r w:rsidRPr="00CA762C">
        <w:t>.</w:t>
      </w:r>
    </w:p>
    <w:p w:rsidR="00CA762C" w:rsidRDefault="00CA762C" w:rsidP="00CA762C">
      <w:pPr>
        <w:pStyle w:val="CitaviBibliographyEntry"/>
      </w:pPr>
      <w:r w:rsidRPr="00CA762C">
        <w:rPr>
          <w:b/>
        </w:rPr>
        <w:lastRenderedPageBreak/>
        <w:t>AEMO 2016d</w:t>
      </w:r>
      <w:r w:rsidRPr="00CA762C">
        <w:t xml:space="preserve">, </w:t>
      </w:r>
      <w:r w:rsidRPr="00CA762C">
        <w:rPr>
          <w:i/>
        </w:rPr>
        <w:t>Load shedding in South Australia on Sunday 1 November 2015: an AEMO power system operating incident report for the National Electricity Market</w:t>
      </w:r>
      <w:r w:rsidRPr="00CA762C">
        <w:t>.</w:t>
      </w:r>
    </w:p>
    <w:p w:rsidR="00CA762C" w:rsidRDefault="00CA762C" w:rsidP="00CA762C">
      <w:pPr>
        <w:pStyle w:val="CitaviBibliographyEntry"/>
      </w:pPr>
      <w:r w:rsidRPr="00CA762C">
        <w:rPr>
          <w:b/>
        </w:rPr>
        <w:t>AEMO 2016e</w:t>
      </w:r>
      <w:r w:rsidRPr="00CA762C">
        <w:t xml:space="preserve">, </w:t>
      </w:r>
      <w:r w:rsidRPr="00CA762C">
        <w:rPr>
          <w:i/>
        </w:rPr>
        <w:t>National electricity forecasting report: For the National Electricity Market</w:t>
      </w:r>
      <w:r w:rsidRPr="00CA762C">
        <w:t>.</w:t>
      </w:r>
    </w:p>
    <w:p w:rsidR="00CA762C" w:rsidRDefault="00CA762C" w:rsidP="00CA762C">
      <w:pPr>
        <w:pStyle w:val="CitaviBibliographyEntry"/>
      </w:pPr>
      <w:r w:rsidRPr="00CA762C">
        <w:rPr>
          <w:b/>
        </w:rPr>
        <w:t xml:space="preserve">Australian Energy Market Operator (AEMO) &amp; </w:t>
      </w:r>
      <w:proofErr w:type="spellStart"/>
      <w:r w:rsidRPr="00CA762C">
        <w:rPr>
          <w:b/>
        </w:rPr>
        <w:t>Electranet</w:t>
      </w:r>
      <w:proofErr w:type="spellEnd"/>
      <w:r w:rsidRPr="00CA762C">
        <w:rPr>
          <w:b/>
        </w:rPr>
        <w:t xml:space="preserve"> 2014</w:t>
      </w:r>
      <w:r w:rsidRPr="00CA762C">
        <w:t xml:space="preserve">, </w:t>
      </w:r>
      <w:r w:rsidRPr="00CA762C">
        <w:rPr>
          <w:i/>
        </w:rPr>
        <w:t xml:space="preserve">Renewable energy integration in South Australia: Joint AEMO and </w:t>
      </w:r>
      <w:proofErr w:type="spellStart"/>
      <w:r w:rsidRPr="00CA762C">
        <w:rPr>
          <w:i/>
        </w:rPr>
        <w:t>Electranet</w:t>
      </w:r>
      <w:proofErr w:type="spellEnd"/>
      <w:r w:rsidRPr="00CA762C">
        <w:rPr>
          <w:i/>
        </w:rPr>
        <w:t xml:space="preserve"> study</w:t>
      </w:r>
      <w:r w:rsidRPr="00CA762C">
        <w:t>.</w:t>
      </w:r>
    </w:p>
    <w:p w:rsidR="00CA762C" w:rsidRDefault="00CA762C" w:rsidP="00CA762C">
      <w:pPr>
        <w:pStyle w:val="CitaviBibliographyEntry"/>
      </w:pPr>
      <w:r w:rsidRPr="00CA762C">
        <w:rPr>
          <w:b/>
        </w:rPr>
        <w:t>AEMO &amp;</w:t>
      </w:r>
      <w:r w:rsidR="00297FBF">
        <w:rPr>
          <w:b/>
        </w:rPr>
        <w:t xml:space="preserve"> </w:t>
      </w:r>
      <w:proofErr w:type="spellStart"/>
      <w:r w:rsidRPr="00CA762C">
        <w:rPr>
          <w:b/>
        </w:rPr>
        <w:t>Electranet</w:t>
      </w:r>
      <w:proofErr w:type="spellEnd"/>
      <w:r w:rsidRPr="00CA762C">
        <w:rPr>
          <w:b/>
        </w:rPr>
        <w:t xml:space="preserve"> 2016</w:t>
      </w:r>
      <w:r w:rsidRPr="00CA762C">
        <w:t xml:space="preserve">, </w:t>
      </w:r>
      <w:r w:rsidRPr="00CA762C">
        <w:rPr>
          <w:i/>
        </w:rPr>
        <w:t xml:space="preserve">Update to renewable energy integration in South Australia: Joint AEMO and </w:t>
      </w:r>
      <w:proofErr w:type="spellStart"/>
      <w:r w:rsidRPr="00CA762C">
        <w:rPr>
          <w:i/>
        </w:rPr>
        <w:t>Electranet</w:t>
      </w:r>
      <w:proofErr w:type="spellEnd"/>
      <w:r w:rsidRPr="00CA762C">
        <w:rPr>
          <w:i/>
        </w:rPr>
        <w:t xml:space="preserve"> report</w:t>
      </w:r>
      <w:r w:rsidRPr="00CA762C">
        <w:t>.</w:t>
      </w:r>
    </w:p>
    <w:p w:rsidR="00CA762C" w:rsidRDefault="00CA762C" w:rsidP="00CA762C">
      <w:pPr>
        <w:pStyle w:val="CitaviBibliographyEntry"/>
      </w:pPr>
      <w:r w:rsidRPr="00CA762C">
        <w:rPr>
          <w:b/>
        </w:rPr>
        <w:t>Australian Energy Regulator (AER) 2015</w:t>
      </w:r>
      <w:r w:rsidRPr="00CA762C">
        <w:t xml:space="preserve">, </w:t>
      </w:r>
      <w:r w:rsidRPr="00CA762C">
        <w:rPr>
          <w:i/>
        </w:rPr>
        <w:t>State of the energy market 2015</w:t>
      </w:r>
      <w:r w:rsidRPr="00CA762C">
        <w:t>, Melbourne.</w:t>
      </w:r>
    </w:p>
    <w:p w:rsidR="00CA762C" w:rsidRDefault="00CA762C" w:rsidP="00CA762C">
      <w:pPr>
        <w:pStyle w:val="CitaviBibliographyEntry"/>
      </w:pPr>
      <w:r w:rsidRPr="00CA762C">
        <w:rPr>
          <w:b/>
        </w:rPr>
        <w:t>Australian Greenhouse Office 2000</w:t>
      </w:r>
      <w:r w:rsidRPr="00CA762C">
        <w:t xml:space="preserve">, </w:t>
      </w:r>
      <w:r w:rsidRPr="00CA762C">
        <w:rPr>
          <w:i/>
        </w:rPr>
        <w:t>Final Report: powering into the new millennium</w:t>
      </w:r>
      <w:r w:rsidRPr="00CA762C">
        <w:t>, Canberra.</w:t>
      </w:r>
    </w:p>
    <w:p w:rsidR="00CA762C" w:rsidRDefault="00CA762C" w:rsidP="00CA762C">
      <w:pPr>
        <w:pStyle w:val="CitaviBibliographyEntry"/>
      </w:pPr>
      <w:r w:rsidRPr="00CA762C">
        <w:rPr>
          <w:b/>
        </w:rPr>
        <w:t>Australian Greenhouse Office 2006</w:t>
      </w:r>
      <w:r w:rsidRPr="00CA762C">
        <w:t xml:space="preserve">, </w:t>
      </w:r>
      <w:r w:rsidRPr="00CA762C">
        <w:rPr>
          <w:i/>
        </w:rPr>
        <w:t>Technical guidelines: Generator efficiency standards</w:t>
      </w:r>
      <w:r w:rsidRPr="00CA762C">
        <w:t>, Canberra.</w:t>
      </w:r>
    </w:p>
    <w:p w:rsidR="00CA762C" w:rsidRDefault="00CA762C" w:rsidP="00CA762C">
      <w:pPr>
        <w:pStyle w:val="CitaviBibliographyEntry"/>
      </w:pPr>
      <w:r w:rsidRPr="00CA762C">
        <w:rPr>
          <w:b/>
        </w:rPr>
        <w:t>Australian power generation technology study (APGT) 2015</w:t>
      </w:r>
      <w:r w:rsidRPr="00CA762C">
        <w:t xml:space="preserve">, </w:t>
      </w:r>
      <w:r w:rsidRPr="00CA762C">
        <w:rPr>
          <w:i/>
        </w:rPr>
        <w:t xml:space="preserve">Australian power generation technology report, </w:t>
      </w:r>
      <w:r w:rsidRPr="00CA762C">
        <w:t xml:space="preserve">Steered by CO2CRC, CSIRO, Australian Renewable Energy Agency, Department of Industry and Science Office of the Chief Economist, </w:t>
      </w:r>
      <w:proofErr w:type="spellStart"/>
      <w:r w:rsidRPr="00CA762C">
        <w:t>Anlec</w:t>
      </w:r>
      <w:proofErr w:type="spellEnd"/>
      <w:r w:rsidRPr="00CA762C">
        <w:t xml:space="preserve"> R&amp;D.</w:t>
      </w:r>
    </w:p>
    <w:p w:rsidR="00CA762C" w:rsidRDefault="00CA762C" w:rsidP="00CA762C">
      <w:pPr>
        <w:pStyle w:val="CitaviBibliographyEntry"/>
      </w:pPr>
      <w:r w:rsidRPr="00CA762C">
        <w:rPr>
          <w:b/>
        </w:rPr>
        <w:t>Australian Stock Exchange (ASX) 2016</w:t>
      </w:r>
      <w:r w:rsidRPr="00CA762C">
        <w:t xml:space="preserve">, </w:t>
      </w:r>
      <w:r w:rsidRPr="00CA762C">
        <w:rPr>
          <w:i/>
        </w:rPr>
        <w:t>ASX energy: The Australian power market</w:t>
      </w:r>
      <w:r w:rsidRPr="00CA762C">
        <w:t>, viewed 21 Jul. 2016, https://asxenergy.com.au/.</w:t>
      </w:r>
    </w:p>
    <w:p w:rsidR="00CA762C" w:rsidRDefault="00CA762C" w:rsidP="00CA762C">
      <w:pPr>
        <w:pStyle w:val="CitaviBibliographyEntry"/>
      </w:pPr>
      <w:r w:rsidRPr="00CA762C">
        <w:rPr>
          <w:b/>
        </w:rPr>
        <w:t xml:space="preserve">Brinsmead TS, Graham P, Hayward J, </w:t>
      </w:r>
      <w:proofErr w:type="spellStart"/>
      <w:r w:rsidRPr="00CA762C">
        <w:rPr>
          <w:b/>
        </w:rPr>
        <w:t>Ratnam</w:t>
      </w:r>
      <w:proofErr w:type="spellEnd"/>
      <w:r w:rsidRPr="00CA762C">
        <w:rPr>
          <w:b/>
        </w:rPr>
        <w:t xml:space="preserve"> EL &amp; Reedman L</w:t>
      </w:r>
      <w:r w:rsidRPr="00CA762C">
        <w:t xml:space="preserve"> </w:t>
      </w:r>
      <w:r w:rsidRPr="00CA762C">
        <w:rPr>
          <w:b/>
        </w:rPr>
        <w:t>2015</w:t>
      </w:r>
      <w:r w:rsidRPr="00CA762C">
        <w:t xml:space="preserve">, </w:t>
      </w:r>
      <w:r w:rsidRPr="00CA762C">
        <w:rPr>
          <w:i/>
        </w:rPr>
        <w:t xml:space="preserve">Future energy storage trends: An assessment of the economic viability, potential uptake and impacts of electrical energy storage on the NEM 2015-2035, </w:t>
      </w:r>
      <w:r w:rsidRPr="00CA762C">
        <w:t>CSIRO.</w:t>
      </w:r>
    </w:p>
    <w:p w:rsidR="00CA762C" w:rsidRDefault="00CA762C" w:rsidP="00CA762C">
      <w:pPr>
        <w:pStyle w:val="CitaviBibliographyEntry"/>
      </w:pPr>
      <w:r w:rsidRPr="00CA762C">
        <w:rPr>
          <w:b/>
        </w:rPr>
        <w:t xml:space="preserve">Bruckner T, </w:t>
      </w:r>
      <w:proofErr w:type="spellStart"/>
      <w:r w:rsidRPr="00CA762C">
        <w:rPr>
          <w:b/>
        </w:rPr>
        <w:t>Bashmakov</w:t>
      </w:r>
      <w:proofErr w:type="spellEnd"/>
      <w:r w:rsidRPr="00CA762C">
        <w:rPr>
          <w:b/>
        </w:rPr>
        <w:t xml:space="preserve"> IA &amp; </w:t>
      </w:r>
      <w:proofErr w:type="spellStart"/>
      <w:r w:rsidRPr="00CA762C">
        <w:rPr>
          <w:b/>
        </w:rPr>
        <w:t>Mulugetta</w:t>
      </w:r>
      <w:proofErr w:type="spellEnd"/>
      <w:r w:rsidRPr="00CA762C">
        <w:rPr>
          <w:b/>
        </w:rPr>
        <w:t xml:space="preserve"> Y et al. 2014</w:t>
      </w:r>
      <w:r w:rsidRPr="00CA762C">
        <w:t xml:space="preserve">, </w:t>
      </w:r>
      <w:r w:rsidRPr="00CA762C">
        <w:rPr>
          <w:i/>
        </w:rPr>
        <w:t>2014: Energy systems. In: climate change 2014: mitigation of climate change.</w:t>
      </w:r>
      <w:r w:rsidRPr="00CA762C">
        <w:t>, Contribution of working group III contribution to the fifth assessment report of the Intergovernmental Panel on Climate Change, Intergovernmental Panel on Climate Change (IPCC), [</w:t>
      </w:r>
      <w:proofErr w:type="spellStart"/>
      <w:r w:rsidRPr="00CA762C">
        <w:t>Edenhofer</w:t>
      </w:r>
      <w:proofErr w:type="spellEnd"/>
      <w:r w:rsidRPr="00CA762C">
        <w:t xml:space="preserve"> O, </w:t>
      </w:r>
      <w:proofErr w:type="spellStart"/>
      <w:r w:rsidRPr="00CA762C">
        <w:t>Pichs-Madruga</w:t>
      </w:r>
      <w:proofErr w:type="spellEnd"/>
      <w:r w:rsidRPr="00CA762C">
        <w:t xml:space="preserve"> R, </w:t>
      </w:r>
      <w:proofErr w:type="spellStart"/>
      <w:r w:rsidRPr="00CA762C">
        <w:t>Sokona</w:t>
      </w:r>
      <w:proofErr w:type="spellEnd"/>
      <w:r w:rsidRPr="00CA762C">
        <w:t xml:space="preserve"> Y, </w:t>
      </w:r>
      <w:proofErr w:type="spellStart"/>
      <w:r w:rsidRPr="00CA762C">
        <w:t>Farahani</w:t>
      </w:r>
      <w:proofErr w:type="spellEnd"/>
      <w:r w:rsidRPr="00CA762C">
        <w:t xml:space="preserve"> E, </w:t>
      </w:r>
      <w:proofErr w:type="spellStart"/>
      <w:r w:rsidRPr="00CA762C">
        <w:t>Kadner</w:t>
      </w:r>
      <w:proofErr w:type="spellEnd"/>
      <w:r w:rsidRPr="00CA762C">
        <w:t xml:space="preserve"> S, </w:t>
      </w:r>
      <w:proofErr w:type="spellStart"/>
      <w:r w:rsidRPr="00CA762C">
        <w:t>Seyboth</w:t>
      </w:r>
      <w:proofErr w:type="spellEnd"/>
      <w:r w:rsidRPr="00CA762C">
        <w:t xml:space="preserve"> K, Adler A, Baum I, Brunner S, </w:t>
      </w:r>
      <w:proofErr w:type="spellStart"/>
      <w:r w:rsidRPr="00CA762C">
        <w:t>Eickemeier</w:t>
      </w:r>
      <w:proofErr w:type="spellEnd"/>
      <w:r w:rsidRPr="00CA762C">
        <w:t xml:space="preserve"> P, </w:t>
      </w:r>
      <w:proofErr w:type="spellStart"/>
      <w:r w:rsidRPr="00CA762C">
        <w:t>Kriemann</w:t>
      </w:r>
      <w:proofErr w:type="spellEnd"/>
      <w:r w:rsidRPr="00CA762C">
        <w:t xml:space="preserve"> B, </w:t>
      </w:r>
      <w:proofErr w:type="spellStart"/>
      <w:r w:rsidRPr="00CA762C">
        <w:t>Savolainen</w:t>
      </w:r>
      <w:proofErr w:type="spellEnd"/>
      <w:r w:rsidRPr="00CA762C">
        <w:t xml:space="preserve"> J, </w:t>
      </w:r>
      <w:proofErr w:type="spellStart"/>
      <w:r w:rsidRPr="00CA762C">
        <w:t>Schlömer</w:t>
      </w:r>
      <w:proofErr w:type="spellEnd"/>
      <w:r w:rsidRPr="00CA762C">
        <w:t xml:space="preserve"> S, von </w:t>
      </w:r>
      <w:proofErr w:type="spellStart"/>
      <w:r w:rsidRPr="00CA762C">
        <w:t>Stechow</w:t>
      </w:r>
      <w:proofErr w:type="spellEnd"/>
      <w:r w:rsidRPr="00CA762C">
        <w:t xml:space="preserve"> C, </w:t>
      </w:r>
      <w:proofErr w:type="spellStart"/>
      <w:r w:rsidRPr="00CA762C">
        <w:t>Zwickel</w:t>
      </w:r>
      <w:proofErr w:type="spellEnd"/>
      <w:r w:rsidRPr="00CA762C">
        <w:t xml:space="preserve"> T, Minx J (eds.)]. Cambridge University Press, Cambridge.</w:t>
      </w:r>
    </w:p>
    <w:p w:rsidR="00CA762C" w:rsidRDefault="00CA762C" w:rsidP="00CA762C">
      <w:pPr>
        <w:pStyle w:val="CitaviBibliographyEntry"/>
      </w:pPr>
      <w:r w:rsidRPr="00CA762C">
        <w:rPr>
          <w:b/>
        </w:rPr>
        <w:t>Clean Energy Regulator (CER) 2016</w:t>
      </w:r>
      <w:r w:rsidRPr="00CA762C">
        <w:t xml:space="preserve">, </w:t>
      </w:r>
      <w:proofErr w:type="gramStart"/>
      <w:r w:rsidRPr="00CA762C">
        <w:rPr>
          <w:i/>
        </w:rPr>
        <w:t>Designated</w:t>
      </w:r>
      <w:proofErr w:type="gramEnd"/>
      <w:r w:rsidRPr="00CA762C">
        <w:rPr>
          <w:i/>
        </w:rPr>
        <w:t xml:space="preserve"> generation facilities report 2014-15</w:t>
      </w:r>
      <w:r w:rsidRPr="00CA762C">
        <w:t>, Greenhouse and energy information 2014-15.</w:t>
      </w:r>
    </w:p>
    <w:p w:rsidR="00CA762C" w:rsidRDefault="00CA762C" w:rsidP="00CA762C">
      <w:pPr>
        <w:pStyle w:val="CitaviBibliographyEntry"/>
      </w:pPr>
      <w:r w:rsidRPr="00CA762C">
        <w:rPr>
          <w:b/>
        </w:rPr>
        <w:t>Climate Change Authority (CCA) 2012</w:t>
      </w:r>
      <w:r w:rsidRPr="00CA762C">
        <w:t xml:space="preserve">, </w:t>
      </w:r>
      <w:r w:rsidRPr="00CA762C">
        <w:rPr>
          <w:i/>
        </w:rPr>
        <w:t>Renewable Energy Target Review</w:t>
      </w:r>
      <w:r w:rsidRPr="00CA762C">
        <w:t>, Melbourne.</w:t>
      </w:r>
    </w:p>
    <w:p w:rsidR="00CA762C" w:rsidRDefault="00CA762C" w:rsidP="00CA762C">
      <w:pPr>
        <w:pStyle w:val="CitaviBibliographyEntry"/>
      </w:pPr>
      <w:r w:rsidRPr="00CA762C">
        <w:rPr>
          <w:b/>
        </w:rPr>
        <w:t>CCA 2014a</w:t>
      </w:r>
      <w:r w:rsidRPr="00CA762C">
        <w:t xml:space="preserve">, </w:t>
      </w:r>
      <w:r w:rsidRPr="00CA762C">
        <w:rPr>
          <w:i/>
        </w:rPr>
        <w:t>Light vehicle emissions standards for Australia: Research report</w:t>
      </w:r>
      <w:r w:rsidRPr="00CA762C">
        <w:t>, Melbourne.</w:t>
      </w:r>
    </w:p>
    <w:p w:rsidR="00CA762C" w:rsidRDefault="00CA762C" w:rsidP="00CA762C">
      <w:pPr>
        <w:pStyle w:val="CitaviBibliographyEntry"/>
      </w:pPr>
      <w:r w:rsidRPr="00CA762C">
        <w:rPr>
          <w:b/>
        </w:rPr>
        <w:t>CCA 2014b</w:t>
      </w:r>
      <w:r w:rsidRPr="00CA762C">
        <w:t xml:space="preserve">, </w:t>
      </w:r>
      <w:r w:rsidRPr="00CA762C">
        <w:rPr>
          <w:i/>
        </w:rPr>
        <w:t>Renewable Energy Target Review</w:t>
      </w:r>
      <w:r w:rsidRPr="00CA762C">
        <w:t>, Melbourne.</w:t>
      </w:r>
    </w:p>
    <w:p w:rsidR="00CA762C" w:rsidRDefault="00CA762C" w:rsidP="00CA762C">
      <w:pPr>
        <w:pStyle w:val="CitaviBibliographyEntry"/>
      </w:pPr>
      <w:r w:rsidRPr="00CA762C">
        <w:rPr>
          <w:b/>
        </w:rPr>
        <w:t>CCA 2014c</w:t>
      </w:r>
      <w:r w:rsidRPr="00CA762C">
        <w:t xml:space="preserve">, </w:t>
      </w:r>
      <w:r w:rsidRPr="00CA762C">
        <w:rPr>
          <w:i/>
        </w:rPr>
        <w:t>Targets and progress review - final report</w:t>
      </w:r>
      <w:r w:rsidRPr="00CA762C">
        <w:t>, Melbourne.</w:t>
      </w:r>
    </w:p>
    <w:p w:rsidR="00CA762C" w:rsidRDefault="00CA762C" w:rsidP="00CA762C">
      <w:pPr>
        <w:pStyle w:val="CitaviBibliographyEntry"/>
      </w:pPr>
      <w:r w:rsidRPr="00CA762C">
        <w:rPr>
          <w:b/>
        </w:rPr>
        <w:t>CCA 2014d</w:t>
      </w:r>
      <w:r w:rsidRPr="00CA762C">
        <w:t xml:space="preserve">, </w:t>
      </w:r>
      <w:r w:rsidRPr="00CA762C">
        <w:rPr>
          <w:i/>
        </w:rPr>
        <w:t>Using international units to help meet Australia's emissions reduction targets: research paper</w:t>
      </w:r>
      <w:r w:rsidRPr="00CA762C">
        <w:t>, Melbourne.</w:t>
      </w:r>
    </w:p>
    <w:p w:rsidR="00CA762C" w:rsidRDefault="00CA762C" w:rsidP="00CA762C">
      <w:pPr>
        <w:pStyle w:val="CitaviBibliographyEntry"/>
      </w:pPr>
      <w:r w:rsidRPr="00CA762C">
        <w:rPr>
          <w:b/>
        </w:rPr>
        <w:t>CCA 2015a</w:t>
      </w:r>
      <w:r w:rsidRPr="00CA762C">
        <w:t xml:space="preserve">, </w:t>
      </w:r>
      <w:r w:rsidRPr="00CA762C">
        <w:rPr>
          <w:i/>
        </w:rPr>
        <w:t>Special review final report on Australia's future emissions reduction targets</w:t>
      </w:r>
      <w:r w:rsidRPr="00CA762C">
        <w:t>, Melbourne.</w:t>
      </w:r>
    </w:p>
    <w:p w:rsidR="00CA762C" w:rsidRDefault="00CA762C" w:rsidP="00CA762C">
      <w:pPr>
        <w:pStyle w:val="CitaviBibliographyEntry"/>
      </w:pPr>
      <w:r w:rsidRPr="00CA762C">
        <w:rPr>
          <w:b/>
        </w:rPr>
        <w:t>CCA 2015b</w:t>
      </w:r>
      <w:r w:rsidRPr="00CA762C">
        <w:t xml:space="preserve">, </w:t>
      </w:r>
      <w:r w:rsidRPr="00CA762C">
        <w:rPr>
          <w:i/>
        </w:rPr>
        <w:t>Special review second draft report on Australia's climate policy options</w:t>
      </w:r>
      <w:r w:rsidRPr="00CA762C">
        <w:t>, Melbourne.</w:t>
      </w:r>
    </w:p>
    <w:p w:rsidR="00CA762C" w:rsidRDefault="00CA762C" w:rsidP="00CA762C">
      <w:pPr>
        <w:pStyle w:val="CitaviBibliographyEntry"/>
      </w:pPr>
      <w:proofErr w:type="spellStart"/>
      <w:r w:rsidRPr="00CA762C">
        <w:rPr>
          <w:b/>
        </w:rPr>
        <w:t>ClimateWorks</w:t>
      </w:r>
      <w:proofErr w:type="spellEnd"/>
      <w:r w:rsidRPr="00CA762C">
        <w:rPr>
          <w:b/>
        </w:rPr>
        <w:t xml:space="preserve"> Australia 2011</w:t>
      </w:r>
      <w:r w:rsidRPr="00CA762C">
        <w:t xml:space="preserve">, </w:t>
      </w:r>
      <w:r w:rsidRPr="00CA762C">
        <w:rPr>
          <w:i/>
        </w:rPr>
        <w:t>Fact sheet: Energy efficiency: How Australia can decrease its energy costs using existing technologies</w:t>
      </w:r>
      <w:r w:rsidRPr="00CA762C">
        <w:t>, viewed 22 Mar. 2016, Melbourne, http://www.climateworksaustralia.org/sites/default/files/documents/publications/climateworks_energy_efficiency_fact_sheet_jun2011.pdf.</w:t>
      </w:r>
    </w:p>
    <w:p w:rsidR="00CA762C" w:rsidRDefault="00CA762C" w:rsidP="00CA762C">
      <w:pPr>
        <w:pStyle w:val="CitaviBibliographyEntry"/>
      </w:pPr>
      <w:proofErr w:type="spellStart"/>
      <w:r w:rsidRPr="00CA762C">
        <w:rPr>
          <w:b/>
        </w:rPr>
        <w:t>ClimateWorks</w:t>
      </w:r>
      <w:proofErr w:type="spellEnd"/>
      <w:r w:rsidRPr="00CA762C">
        <w:rPr>
          <w:b/>
        </w:rPr>
        <w:t xml:space="preserve"> Australia &amp; Australian National University (ANU) 2014</w:t>
      </w:r>
      <w:r w:rsidRPr="00CA762C">
        <w:t xml:space="preserve">, </w:t>
      </w:r>
      <w:r w:rsidRPr="00CA762C">
        <w:rPr>
          <w:i/>
        </w:rPr>
        <w:t>Pathways to deep decarbonisation in 2050: How Australia can prosper in a low carbon world</w:t>
      </w:r>
      <w:r w:rsidRPr="00CA762C">
        <w:t>, Initial project report, Melbourne.</w:t>
      </w:r>
    </w:p>
    <w:p w:rsidR="00CA762C" w:rsidRDefault="00CA762C" w:rsidP="00CA762C">
      <w:pPr>
        <w:pStyle w:val="CitaviBibliographyEntry"/>
      </w:pPr>
      <w:proofErr w:type="spellStart"/>
      <w:r w:rsidRPr="00CA762C">
        <w:rPr>
          <w:b/>
        </w:rPr>
        <w:t>ClimateWorks</w:t>
      </w:r>
      <w:proofErr w:type="spellEnd"/>
      <w:r w:rsidRPr="00CA762C">
        <w:rPr>
          <w:b/>
        </w:rPr>
        <w:t xml:space="preserve"> Australia</w:t>
      </w:r>
      <w:r w:rsidR="00297FBF">
        <w:rPr>
          <w:b/>
        </w:rPr>
        <w:t>,</w:t>
      </w:r>
      <w:r w:rsidRPr="00CA762C">
        <w:rPr>
          <w:b/>
        </w:rPr>
        <w:t xml:space="preserve"> Australian National University (ANU)</w:t>
      </w:r>
      <w:r w:rsidR="00297FBF">
        <w:rPr>
          <w:b/>
        </w:rPr>
        <w:t>,</w:t>
      </w:r>
      <w:r w:rsidRPr="00CA762C">
        <w:rPr>
          <w:b/>
        </w:rPr>
        <w:t xml:space="preserve"> Commonwealth Scientific and Industrial Research Organisation (CSIRO) &amp; </w:t>
      </w:r>
      <w:proofErr w:type="spellStart"/>
      <w:r w:rsidRPr="00CA762C">
        <w:rPr>
          <w:b/>
        </w:rPr>
        <w:t>CoPS</w:t>
      </w:r>
      <w:proofErr w:type="spellEnd"/>
      <w:r w:rsidRPr="00CA762C">
        <w:rPr>
          <w:b/>
        </w:rPr>
        <w:t xml:space="preserve"> 2014</w:t>
      </w:r>
      <w:r w:rsidRPr="00CA762C">
        <w:t xml:space="preserve">, </w:t>
      </w:r>
      <w:r w:rsidRPr="00CA762C">
        <w:rPr>
          <w:i/>
        </w:rPr>
        <w:t>Pathways to deep decarbonisation in 2050: How Australia can prosper in a low carbon world: Technical report</w:t>
      </w:r>
      <w:r w:rsidRPr="00CA762C">
        <w:t>, Melbourne.</w:t>
      </w:r>
    </w:p>
    <w:p w:rsidR="00CA762C" w:rsidRDefault="00CA762C" w:rsidP="00CA762C">
      <w:pPr>
        <w:pStyle w:val="CitaviBibliographyEntry"/>
      </w:pPr>
      <w:r w:rsidRPr="00CA762C">
        <w:rPr>
          <w:b/>
        </w:rPr>
        <w:lastRenderedPageBreak/>
        <w:t>Commonwealth Scientific and Industrial Research Organisation (CSIRO) 2011</w:t>
      </w:r>
      <w:r w:rsidRPr="00CA762C">
        <w:t xml:space="preserve">, </w:t>
      </w:r>
      <w:r w:rsidRPr="00CA762C">
        <w:rPr>
          <w:i/>
        </w:rPr>
        <w:t>Climate change: Science and solutions for Australia</w:t>
      </w:r>
      <w:r w:rsidRPr="00CA762C">
        <w:t xml:space="preserve">, eds. </w:t>
      </w:r>
      <w:proofErr w:type="spellStart"/>
      <w:r w:rsidRPr="00CA762C">
        <w:t>Cleugh</w:t>
      </w:r>
      <w:proofErr w:type="spellEnd"/>
      <w:r w:rsidRPr="00CA762C">
        <w:t xml:space="preserve"> H, Stafford Smith M, </w:t>
      </w:r>
      <w:proofErr w:type="spellStart"/>
      <w:r w:rsidRPr="00CA762C">
        <w:t>Battaglia</w:t>
      </w:r>
      <w:proofErr w:type="spellEnd"/>
      <w:r w:rsidRPr="00CA762C">
        <w:t xml:space="preserve"> M &amp; Graham P, CSIRO publishing, Australia.</w:t>
      </w:r>
    </w:p>
    <w:p w:rsidR="00CA762C" w:rsidRDefault="00CA762C" w:rsidP="00CA762C">
      <w:pPr>
        <w:pStyle w:val="CitaviBibliographyEntry"/>
      </w:pPr>
      <w:r w:rsidRPr="00CA762C">
        <w:rPr>
          <w:b/>
        </w:rPr>
        <w:t>CSIRO 2013</w:t>
      </w:r>
      <w:r w:rsidRPr="00CA762C">
        <w:t xml:space="preserve">, </w:t>
      </w:r>
      <w:r w:rsidRPr="00CA762C">
        <w:rPr>
          <w:i/>
        </w:rPr>
        <w:t>Change and choice: The future grid forum's analysis of Australia's potential electricity pathways to 2050</w:t>
      </w:r>
      <w:r w:rsidRPr="00CA762C">
        <w:t>.</w:t>
      </w:r>
    </w:p>
    <w:p w:rsidR="00CA762C" w:rsidRDefault="00CA762C" w:rsidP="00CA762C">
      <w:pPr>
        <w:pStyle w:val="CitaviBibliographyEntry"/>
      </w:pPr>
      <w:r w:rsidRPr="00CA762C">
        <w:rPr>
          <w:b/>
        </w:rPr>
        <w:t>CSIRO 2015</w:t>
      </w:r>
      <w:r w:rsidRPr="00CA762C">
        <w:t xml:space="preserve">, </w:t>
      </w:r>
      <w:r w:rsidRPr="00CA762C">
        <w:rPr>
          <w:i/>
        </w:rPr>
        <w:t>Australian national outlook 2015: economic activity, resource use, environmental performance and living standards, 1970–2050</w:t>
      </w:r>
      <w:r w:rsidRPr="00CA762C">
        <w:t>.</w:t>
      </w:r>
    </w:p>
    <w:p w:rsidR="00CA762C" w:rsidRDefault="00CA762C" w:rsidP="00CA762C">
      <w:pPr>
        <w:pStyle w:val="CitaviBibliographyEntry"/>
      </w:pPr>
      <w:proofErr w:type="gramStart"/>
      <w:r w:rsidRPr="00CA762C">
        <w:rPr>
          <w:b/>
        </w:rPr>
        <w:t>Council of Australian Governments Energy Council (COAG Energy Council) 2015</w:t>
      </w:r>
      <w:r w:rsidRPr="00CA762C">
        <w:t xml:space="preserve">, </w:t>
      </w:r>
      <w:r w:rsidRPr="00CA762C">
        <w:rPr>
          <w:i/>
        </w:rPr>
        <w:t>Fourth meeting communique</w:t>
      </w:r>
      <w:r w:rsidRPr="00CA762C">
        <w:t>, Canberra.</w:t>
      </w:r>
      <w:proofErr w:type="gramEnd"/>
    </w:p>
    <w:p w:rsidR="00CA762C" w:rsidRDefault="00CA762C" w:rsidP="00CA762C">
      <w:pPr>
        <w:pStyle w:val="CitaviBibliographyEntry"/>
      </w:pPr>
      <w:r w:rsidRPr="00CA762C">
        <w:rPr>
          <w:b/>
        </w:rPr>
        <w:t xml:space="preserve">Deep </w:t>
      </w:r>
      <w:proofErr w:type="spellStart"/>
      <w:r w:rsidRPr="00CA762C">
        <w:rPr>
          <w:b/>
        </w:rPr>
        <w:t>Decarbonization</w:t>
      </w:r>
      <w:proofErr w:type="spellEnd"/>
      <w:r w:rsidRPr="00CA762C">
        <w:rPr>
          <w:b/>
        </w:rPr>
        <w:t xml:space="preserve"> Pathways Project (DDPP) 2015</w:t>
      </w:r>
      <w:r w:rsidRPr="00CA762C">
        <w:t xml:space="preserve">, </w:t>
      </w:r>
      <w:r w:rsidRPr="00CA762C">
        <w:rPr>
          <w:i/>
        </w:rPr>
        <w:t xml:space="preserve">Pathways to deep </w:t>
      </w:r>
      <w:proofErr w:type="spellStart"/>
      <w:r w:rsidRPr="00CA762C">
        <w:rPr>
          <w:i/>
        </w:rPr>
        <w:t>decarbonization</w:t>
      </w:r>
      <w:proofErr w:type="spellEnd"/>
      <w:r w:rsidRPr="00CA762C">
        <w:rPr>
          <w:i/>
        </w:rPr>
        <w:t xml:space="preserve"> 2015 report, </w:t>
      </w:r>
      <w:r w:rsidRPr="00CA762C">
        <w:t>United Nations Sustainable Development Solutions Network (SDSN); Institute for Sustainable Development and International Relations (IDDRI).</w:t>
      </w:r>
    </w:p>
    <w:p w:rsidR="00CA762C" w:rsidRDefault="00CA762C" w:rsidP="00CA762C">
      <w:pPr>
        <w:pStyle w:val="CitaviBibliographyEntry"/>
      </w:pPr>
      <w:proofErr w:type="gramStart"/>
      <w:r w:rsidRPr="00CA762C">
        <w:rPr>
          <w:b/>
        </w:rPr>
        <w:t>Department of Energy and Water Supply 2015</w:t>
      </w:r>
      <w:r w:rsidRPr="00CA762C">
        <w:t xml:space="preserve">, </w:t>
      </w:r>
      <w:r w:rsidRPr="00CA762C">
        <w:rPr>
          <w:i/>
        </w:rPr>
        <w:t>Solar 60 - indicative terms sheet</w:t>
      </w:r>
      <w:r w:rsidRPr="00CA762C">
        <w:t>.</w:t>
      </w:r>
      <w:proofErr w:type="gramEnd"/>
    </w:p>
    <w:p w:rsidR="00CA762C" w:rsidRDefault="00CA762C" w:rsidP="00CA762C">
      <w:pPr>
        <w:pStyle w:val="CitaviBibliographyEntry"/>
      </w:pPr>
      <w:r w:rsidRPr="00CA762C">
        <w:rPr>
          <w:b/>
        </w:rPr>
        <w:t>Department of Environment, Water and Natural Resources 2014</w:t>
      </w:r>
      <w:r w:rsidRPr="00CA762C">
        <w:t xml:space="preserve">, </w:t>
      </w:r>
      <w:r w:rsidRPr="00CA762C">
        <w:rPr>
          <w:i/>
        </w:rPr>
        <w:t>Premier call for clarity on national RET to increase SA targets</w:t>
      </w:r>
      <w:r w:rsidRPr="00CA762C">
        <w:t>, viewed 24 Mar. 2016, http://www.environment.sa.gov.au/Home/Full_newsevents_listing/News_Events_Listing/140923-renewable-energy-targets.</w:t>
      </w:r>
    </w:p>
    <w:p w:rsidR="00CA762C" w:rsidRDefault="00CA762C" w:rsidP="00CA762C">
      <w:pPr>
        <w:pStyle w:val="CitaviBibliographyEntry"/>
      </w:pPr>
      <w:r w:rsidRPr="00CA762C">
        <w:rPr>
          <w:b/>
        </w:rPr>
        <w:t>Department of Industry and Science (DIS) 2015</w:t>
      </w:r>
      <w:r w:rsidRPr="00CA762C">
        <w:t xml:space="preserve">, </w:t>
      </w:r>
      <w:r w:rsidRPr="00CA762C">
        <w:rPr>
          <w:i/>
        </w:rPr>
        <w:t xml:space="preserve">Australian energy statistics update, </w:t>
      </w:r>
      <w:r w:rsidRPr="00CA762C">
        <w:t>Department of Industry and Science (DIS), Canberra.</w:t>
      </w:r>
    </w:p>
    <w:p w:rsidR="00CA762C" w:rsidRDefault="00CA762C" w:rsidP="00CA762C">
      <w:pPr>
        <w:pStyle w:val="CitaviBibliographyEntry"/>
      </w:pPr>
      <w:r w:rsidRPr="00CA762C">
        <w:rPr>
          <w:b/>
        </w:rPr>
        <w:t>Department of Industry, Innovation and Science (DIIS) 2015a</w:t>
      </w:r>
      <w:r w:rsidRPr="00CA762C">
        <w:t xml:space="preserve">, </w:t>
      </w:r>
      <w:r w:rsidRPr="00CA762C">
        <w:rPr>
          <w:i/>
        </w:rPr>
        <w:t xml:space="preserve">Energy in Australia: 2015, </w:t>
      </w:r>
      <w:r w:rsidRPr="00CA762C">
        <w:t>Department of Industry, Innovation and Science (DIIS), Canberra.</w:t>
      </w:r>
    </w:p>
    <w:p w:rsidR="00CA762C" w:rsidRDefault="00CA762C" w:rsidP="00CA762C">
      <w:pPr>
        <w:pStyle w:val="CitaviBibliographyEntry"/>
      </w:pPr>
      <w:r w:rsidRPr="00CA762C">
        <w:rPr>
          <w:b/>
        </w:rPr>
        <w:t>DIIS 2015b</w:t>
      </w:r>
      <w:r w:rsidRPr="00CA762C">
        <w:t xml:space="preserve">, </w:t>
      </w:r>
      <w:r w:rsidRPr="00CA762C">
        <w:rPr>
          <w:i/>
        </w:rPr>
        <w:t>What causes changes in electricity prices</w:t>
      </w:r>
      <w:proofErr w:type="gramStart"/>
      <w:r w:rsidRPr="00CA762C">
        <w:rPr>
          <w:i/>
        </w:rPr>
        <w:t>?:</w:t>
      </w:r>
      <w:proofErr w:type="gramEnd"/>
      <w:r w:rsidRPr="00CA762C">
        <w:rPr>
          <w:i/>
        </w:rPr>
        <w:t xml:space="preserve"> Factsheet 4, </w:t>
      </w:r>
      <w:r w:rsidRPr="00CA762C">
        <w:t>Department of Industry, Innovation and Science (DIIS).</w:t>
      </w:r>
    </w:p>
    <w:p w:rsidR="00CA762C" w:rsidRDefault="00CA762C" w:rsidP="00CA762C">
      <w:pPr>
        <w:pStyle w:val="CitaviBibliographyEntry"/>
      </w:pPr>
      <w:r w:rsidRPr="00CA762C">
        <w:rPr>
          <w:b/>
        </w:rPr>
        <w:t>Department of Parliamentary Services 2011</w:t>
      </w:r>
      <w:r w:rsidRPr="00CA762C">
        <w:t xml:space="preserve">, </w:t>
      </w:r>
      <w:r w:rsidRPr="00CA762C">
        <w:rPr>
          <w:i/>
        </w:rPr>
        <w:t>Performance standards to reduce energy emissions</w:t>
      </w:r>
      <w:r w:rsidRPr="00CA762C">
        <w:t>, Background note.</w:t>
      </w:r>
    </w:p>
    <w:p w:rsidR="00CA762C" w:rsidRDefault="00CA762C" w:rsidP="00CA762C">
      <w:pPr>
        <w:pStyle w:val="CitaviBibliographyEntry"/>
      </w:pPr>
      <w:r w:rsidRPr="00CA762C">
        <w:rPr>
          <w:b/>
        </w:rPr>
        <w:t>Department of Resources, Energy and Tourism (DRET) 2010</w:t>
      </w:r>
      <w:r w:rsidRPr="00CA762C">
        <w:t xml:space="preserve">, </w:t>
      </w:r>
      <w:proofErr w:type="gramStart"/>
      <w:r w:rsidRPr="00CA762C">
        <w:rPr>
          <w:i/>
        </w:rPr>
        <w:t>A</w:t>
      </w:r>
      <w:proofErr w:type="gramEnd"/>
      <w:r w:rsidRPr="00CA762C">
        <w:rPr>
          <w:i/>
        </w:rPr>
        <w:t xml:space="preserve"> cleaner future for power stations: interdepartmental task group discussion paper</w:t>
      </w:r>
      <w:r w:rsidRPr="00CA762C">
        <w:t>.</w:t>
      </w:r>
    </w:p>
    <w:p w:rsidR="00CA762C" w:rsidRDefault="00CA762C" w:rsidP="00CA762C">
      <w:pPr>
        <w:pStyle w:val="CitaviBibliographyEntry"/>
      </w:pPr>
      <w:proofErr w:type="gramStart"/>
      <w:r w:rsidRPr="00CA762C">
        <w:rPr>
          <w:b/>
        </w:rPr>
        <w:t>Department of the Environment (DoE) 2014</w:t>
      </w:r>
      <w:r w:rsidRPr="00CA762C">
        <w:t xml:space="preserve">, </w:t>
      </w:r>
      <w:r w:rsidRPr="00CA762C">
        <w:rPr>
          <w:i/>
        </w:rPr>
        <w:t>Reducing Australia's emissions</w:t>
      </w:r>
      <w:r w:rsidRPr="00CA762C">
        <w:t>, fact sheet, Department of the Environment (DoE).</w:t>
      </w:r>
      <w:proofErr w:type="gramEnd"/>
    </w:p>
    <w:p w:rsidR="00CA762C" w:rsidRDefault="00CA762C" w:rsidP="00CA762C">
      <w:pPr>
        <w:pStyle w:val="CitaviBibliographyEntry"/>
      </w:pPr>
      <w:proofErr w:type="gramStart"/>
      <w:r w:rsidRPr="00CA762C">
        <w:rPr>
          <w:b/>
        </w:rPr>
        <w:t>DoE 2015a</w:t>
      </w:r>
      <w:r w:rsidRPr="00CA762C">
        <w:t xml:space="preserve">, </w:t>
      </w:r>
      <w:r w:rsidRPr="00CA762C">
        <w:rPr>
          <w:i/>
        </w:rPr>
        <w:t>Electricity generation emissions projections 2014-15</w:t>
      </w:r>
      <w:r w:rsidRPr="00CA762C">
        <w:t>.</w:t>
      </w:r>
      <w:proofErr w:type="gramEnd"/>
    </w:p>
    <w:p w:rsidR="00CA762C" w:rsidRDefault="00CA762C" w:rsidP="00CA762C">
      <w:pPr>
        <w:pStyle w:val="CitaviBibliographyEntry"/>
      </w:pPr>
      <w:r w:rsidRPr="00CA762C">
        <w:rPr>
          <w:b/>
        </w:rPr>
        <w:t>DoE 2015b</w:t>
      </w:r>
      <w:r w:rsidRPr="00CA762C">
        <w:t xml:space="preserve">, </w:t>
      </w:r>
      <w:proofErr w:type="gramStart"/>
      <w:r w:rsidRPr="00CA762C">
        <w:rPr>
          <w:i/>
        </w:rPr>
        <w:t>Tracking</w:t>
      </w:r>
      <w:proofErr w:type="gramEnd"/>
      <w:r w:rsidRPr="00CA762C">
        <w:rPr>
          <w:i/>
        </w:rPr>
        <w:t xml:space="preserve"> to 2020: an interim update of Australia's greenhouse gas emissions projections</w:t>
      </w:r>
      <w:r w:rsidRPr="00CA762C">
        <w:t>.</w:t>
      </w:r>
    </w:p>
    <w:p w:rsidR="00CA762C" w:rsidRDefault="00CA762C" w:rsidP="00CA762C">
      <w:pPr>
        <w:pStyle w:val="CitaviBibliographyEntry"/>
      </w:pPr>
      <w:r w:rsidRPr="00CA762C">
        <w:rPr>
          <w:b/>
        </w:rPr>
        <w:t>DoE 2016a</w:t>
      </w:r>
      <w:r w:rsidRPr="00CA762C">
        <w:t xml:space="preserve">, </w:t>
      </w:r>
      <w:proofErr w:type="gramStart"/>
      <w:r w:rsidRPr="00CA762C">
        <w:rPr>
          <w:i/>
        </w:rPr>
        <w:t>The</w:t>
      </w:r>
      <w:proofErr w:type="gramEnd"/>
      <w:r w:rsidRPr="00CA762C">
        <w:rPr>
          <w:i/>
        </w:rPr>
        <w:t xml:space="preserve"> safeguard mechanism - electricity sector</w:t>
      </w:r>
      <w:r w:rsidRPr="00CA762C">
        <w:t>, fact sheet, Department of the Environment (DoE).</w:t>
      </w:r>
    </w:p>
    <w:p w:rsidR="00CA762C" w:rsidRDefault="00CA762C" w:rsidP="00CA762C">
      <w:pPr>
        <w:pStyle w:val="CitaviBibliographyEntry"/>
      </w:pPr>
      <w:r w:rsidRPr="00CA762C">
        <w:rPr>
          <w:b/>
        </w:rPr>
        <w:t>DoE 2016b</w:t>
      </w:r>
      <w:r w:rsidRPr="00CA762C">
        <w:t xml:space="preserve">, </w:t>
      </w:r>
      <w:proofErr w:type="gramStart"/>
      <w:r w:rsidRPr="00CA762C">
        <w:rPr>
          <w:i/>
        </w:rPr>
        <w:t>The</w:t>
      </w:r>
      <w:proofErr w:type="gramEnd"/>
      <w:r w:rsidRPr="00CA762C">
        <w:rPr>
          <w:i/>
        </w:rPr>
        <w:t xml:space="preserve"> safeguard mechanism - overview</w:t>
      </w:r>
      <w:r w:rsidRPr="00CA762C">
        <w:t>, fact sheet, Department of the Environment (DoE).</w:t>
      </w:r>
    </w:p>
    <w:p w:rsidR="00CA762C" w:rsidRDefault="00CA762C" w:rsidP="00CA762C">
      <w:pPr>
        <w:pStyle w:val="CitaviBibliographyEntry"/>
      </w:pPr>
      <w:r w:rsidRPr="00CA762C">
        <w:rPr>
          <w:b/>
        </w:rPr>
        <w:t>Ernst &amp; Young 2016</w:t>
      </w:r>
      <w:r w:rsidRPr="00CA762C">
        <w:t xml:space="preserve">, </w:t>
      </w:r>
      <w:r w:rsidRPr="00CA762C">
        <w:rPr>
          <w:i/>
        </w:rPr>
        <w:t>Computational general equilibrium assessment: Draft report for public consultation</w:t>
      </w:r>
      <w:r w:rsidRPr="00CA762C">
        <w:t>, Nuclear Fuel Cycle Royal Commission, Ernst &amp; Young for the Nuclear Fuel Cycle Royal Commission.</w:t>
      </w:r>
    </w:p>
    <w:p w:rsidR="00CA762C" w:rsidRDefault="00CA762C" w:rsidP="00CA762C">
      <w:pPr>
        <w:pStyle w:val="CitaviBibliographyEntry"/>
      </w:pPr>
      <w:r w:rsidRPr="00CA762C">
        <w:rPr>
          <w:b/>
        </w:rPr>
        <w:t>Frontier Economics 2009</w:t>
      </w:r>
      <w:r w:rsidRPr="00CA762C">
        <w:t xml:space="preserve">, </w:t>
      </w:r>
      <w:proofErr w:type="gramStart"/>
      <w:r w:rsidRPr="00CA762C">
        <w:rPr>
          <w:i/>
        </w:rPr>
        <w:t>The</w:t>
      </w:r>
      <w:proofErr w:type="gramEnd"/>
      <w:r w:rsidRPr="00CA762C">
        <w:rPr>
          <w:i/>
        </w:rPr>
        <w:t xml:space="preserve"> economic impact of the CPRS and modifications to the CPRS: report for the Coalition and Senator Xenophon, </w:t>
      </w:r>
      <w:r w:rsidRPr="00CA762C">
        <w:t>Frontier Economics, Melbourne.</w:t>
      </w:r>
    </w:p>
    <w:p w:rsidR="00CA762C" w:rsidRDefault="00CA762C" w:rsidP="00CA762C">
      <w:pPr>
        <w:pStyle w:val="CitaviBibliographyEntry"/>
      </w:pPr>
      <w:r w:rsidRPr="00CA762C">
        <w:rPr>
          <w:b/>
        </w:rPr>
        <w:t>Frontier Economics 2015</w:t>
      </w:r>
      <w:r w:rsidRPr="00CA762C">
        <w:t xml:space="preserve">, </w:t>
      </w:r>
      <w:r w:rsidRPr="00CA762C">
        <w:rPr>
          <w:i/>
        </w:rPr>
        <w:t>Barriers to exit for electricity generators in the NEM: A report prepared for the Australian Energy Market Commission</w:t>
      </w:r>
      <w:r w:rsidRPr="00CA762C">
        <w:t>.</w:t>
      </w:r>
    </w:p>
    <w:p w:rsidR="00CA762C" w:rsidRDefault="00CA762C" w:rsidP="00CA762C">
      <w:pPr>
        <w:pStyle w:val="CitaviBibliographyEntry"/>
      </w:pPr>
      <w:proofErr w:type="spellStart"/>
      <w:r w:rsidRPr="00CA762C">
        <w:rPr>
          <w:b/>
        </w:rPr>
        <w:t>Garnaut</w:t>
      </w:r>
      <w:proofErr w:type="spellEnd"/>
      <w:r w:rsidRPr="00CA762C">
        <w:rPr>
          <w:b/>
        </w:rPr>
        <w:t xml:space="preserve"> R</w:t>
      </w:r>
      <w:r w:rsidRPr="00CA762C">
        <w:t xml:space="preserve"> </w:t>
      </w:r>
      <w:r w:rsidRPr="00CA762C">
        <w:rPr>
          <w:b/>
        </w:rPr>
        <w:t>2008</w:t>
      </w:r>
      <w:r w:rsidRPr="00CA762C">
        <w:t xml:space="preserve">, </w:t>
      </w:r>
      <w:r w:rsidRPr="00CA762C">
        <w:rPr>
          <w:i/>
        </w:rPr>
        <w:t xml:space="preserve">The </w:t>
      </w:r>
      <w:proofErr w:type="spellStart"/>
      <w:r w:rsidRPr="00CA762C">
        <w:rPr>
          <w:i/>
        </w:rPr>
        <w:t>Garnaut</w:t>
      </w:r>
      <w:proofErr w:type="spellEnd"/>
      <w:r w:rsidRPr="00CA762C">
        <w:rPr>
          <w:i/>
        </w:rPr>
        <w:t xml:space="preserve"> climate change review</w:t>
      </w:r>
      <w:r w:rsidRPr="00CA762C">
        <w:t>, Cambridge University Press.</w:t>
      </w:r>
    </w:p>
    <w:p w:rsidR="00CA762C" w:rsidRDefault="00CA762C" w:rsidP="00CA762C">
      <w:pPr>
        <w:pStyle w:val="CitaviBibliographyEntry"/>
      </w:pPr>
      <w:proofErr w:type="spellStart"/>
      <w:r w:rsidRPr="00CA762C">
        <w:rPr>
          <w:b/>
        </w:rPr>
        <w:t>Goulder</w:t>
      </w:r>
      <w:proofErr w:type="spellEnd"/>
      <w:r w:rsidRPr="00CA762C">
        <w:rPr>
          <w:b/>
        </w:rPr>
        <w:t xml:space="preserve"> LH 2013</w:t>
      </w:r>
      <w:r w:rsidRPr="00CA762C">
        <w:t xml:space="preserve">, Climate change policy's interactions with the tax system </w:t>
      </w:r>
      <w:r w:rsidRPr="00CA762C">
        <w:rPr>
          <w:i/>
        </w:rPr>
        <w:t>Energy Economics</w:t>
      </w:r>
      <w:r w:rsidRPr="00CA762C">
        <w:t xml:space="preserve"> 40, pp.S3-S11.</w:t>
      </w:r>
    </w:p>
    <w:p w:rsidR="00CA762C" w:rsidRDefault="00CA762C" w:rsidP="00CA762C">
      <w:pPr>
        <w:pStyle w:val="CitaviBibliographyEntry"/>
      </w:pPr>
      <w:proofErr w:type="gramStart"/>
      <w:r w:rsidRPr="00CA762C">
        <w:rPr>
          <w:b/>
        </w:rPr>
        <w:t>Government of Canada 2015</w:t>
      </w:r>
      <w:r w:rsidRPr="00CA762C">
        <w:t xml:space="preserve">, </w:t>
      </w:r>
      <w:r w:rsidRPr="00CA762C">
        <w:rPr>
          <w:i/>
        </w:rPr>
        <w:t xml:space="preserve">Reduction of Carbon Dioxide Emissions from Coal-fired Generation of Electricity Regulations </w:t>
      </w:r>
      <w:r w:rsidRPr="00CA762C">
        <w:t>SOR/2012-167.</w:t>
      </w:r>
      <w:proofErr w:type="gramEnd"/>
    </w:p>
    <w:p w:rsidR="00CA762C" w:rsidRDefault="00CA762C" w:rsidP="00CA762C">
      <w:pPr>
        <w:pStyle w:val="CitaviBibliographyEntry"/>
      </w:pPr>
      <w:r w:rsidRPr="00CA762C">
        <w:rPr>
          <w:b/>
        </w:rPr>
        <w:lastRenderedPageBreak/>
        <w:t>Government of the Australian Capital Territory (Government of the ACT) 2011</w:t>
      </w:r>
      <w:r w:rsidRPr="00CA762C">
        <w:t xml:space="preserve">, </w:t>
      </w:r>
      <w:r w:rsidRPr="00CA762C">
        <w:rPr>
          <w:i/>
        </w:rPr>
        <w:t>Electricity Feed-in (Large-scale Renewable Energy Generation) Act</w:t>
      </w:r>
      <w:r w:rsidRPr="00CA762C">
        <w:t>.</w:t>
      </w:r>
    </w:p>
    <w:p w:rsidR="00CA762C" w:rsidRDefault="00CA762C" w:rsidP="00CA762C">
      <w:pPr>
        <w:pStyle w:val="CitaviBibliographyEntry"/>
      </w:pPr>
      <w:proofErr w:type="gramStart"/>
      <w:r w:rsidRPr="00CA762C">
        <w:rPr>
          <w:b/>
        </w:rPr>
        <w:t>Government of the ACT 2016</w:t>
      </w:r>
      <w:r w:rsidRPr="00CA762C">
        <w:t xml:space="preserve">, </w:t>
      </w:r>
      <w:r w:rsidRPr="00CA762C">
        <w:rPr>
          <w:i/>
        </w:rPr>
        <w:t>Climate Change and Greenhouse Gas Reduction (Renewable Ene</w:t>
      </w:r>
      <w:r w:rsidR="00297FBF">
        <w:rPr>
          <w:i/>
        </w:rPr>
        <w:t>rgy Targets) Determination 2016</w:t>
      </w:r>
      <w:r w:rsidRPr="00CA762C">
        <w:t>.</w:t>
      </w:r>
      <w:proofErr w:type="gramEnd"/>
    </w:p>
    <w:p w:rsidR="00CA762C" w:rsidRDefault="00CA762C" w:rsidP="00CA762C">
      <w:pPr>
        <w:pStyle w:val="CitaviBibliographyEntry"/>
      </w:pPr>
      <w:r w:rsidRPr="00CA762C">
        <w:rPr>
          <w:b/>
        </w:rPr>
        <w:t>Graham P, Brinsmead TS, Reedman L, Hayward J &amp; Ferraro S</w:t>
      </w:r>
      <w:r w:rsidRPr="00CA762C">
        <w:t xml:space="preserve"> </w:t>
      </w:r>
      <w:r w:rsidRPr="00CA762C">
        <w:rPr>
          <w:b/>
        </w:rPr>
        <w:t>2015</w:t>
      </w:r>
      <w:r w:rsidRPr="00CA762C">
        <w:t xml:space="preserve">, </w:t>
      </w:r>
      <w:r w:rsidRPr="00CA762C">
        <w:rPr>
          <w:i/>
        </w:rPr>
        <w:t>Future grid forum - 2015 refresh: Technical report</w:t>
      </w:r>
      <w:r w:rsidRPr="00CA762C">
        <w:t>, CSIRO report for the Energy Networks Association, Australia.</w:t>
      </w:r>
    </w:p>
    <w:p w:rsidR="00CA762C" w:rsidRDefault="00CA762C" w:rsidP="00CA762C">
      <w:pPr>
        <w:pStyle w:val="CitaviBibliographyEntry"/>
      </w:pPr>
      <w:r w:rsidRPr="00CA762C">
        <w:rPr>
          <w:b/>
        </w:rPr>
        <w:t>Green Energy Markets 2016</w:t>
      </w:r>
      <w:r w:rsidRPr="00CA762C">
        <w:t xml:space="preserve">, </w:t>
      </w:r>
      <w:r w:rsidRPr="00CA762C">
        <w:rPr>
          <w:i/>
        </w:rPr>
        <w:t>Small scale technology certificates data modelling for 2016 to 2018: Report to the Clean Energy Regulator</w:t>
      </w:r>
      <w:r w:rsidRPr="00CA762C">
        <w:t>, March 2016.</w:t>
      </w:r>
    </w:p>
    <w:p w:rsidR="00CA762C" w:rsidRDefault="00CA762C" w:rsidP="00CA762C">
      <w:pPr>
        <w:pStyle w:val="CitaviBibliographyEntry"/>
      </w:pPr>
      <w:r w:rsidRPr="00CA762C">
        <w:rPr>
          <w:b/>
        </w:rPr>
        <w:t xml:space="preserve">Hennessy K, </w:t>
      </w:r>
      <w:proofErr w:type="spellStart"/>
      <w:r w:rsidRPr="00CA762C">
        <w:rPr>
          <w:b/>
        </w:rPr>
        <w:t>Whetton</w:t>
      </w:r>
      <w:proofErr w:type="spellEnd"/>
      <w:r w:rsidRPr="00CA762C">
        <w:rPr>
          <w:b/>
        </w:rPr>
        <w:t xml:space="preserve"> P &amp; Walsh K et al. 2008</w:t>
      </w:r>
      <w:r w:rsidRPr="00CA762C">
        <w:t xml:space="preserve">, Climate change effects on snow conditions in mainland Australian and adaptation at ski resorts through snowmaking </w:t>
      </w:r>
      <w:r w:rsidRPr="00CA762C">
        <w:rPr>
          <w:i/>
        </w:rPr>
        <w:t>Climate Research</w:t>
      </w:r>
      <w:r w:rsidRPr="00CA762C">
        <w:t xml:space="preserve"> 35, pp.255–70.</w:t>
      </w:r>
    </w:p>
    <w:p w:rsidR="00CA762C" w:rsidRDefault="00CA762C" w:rsidP="00CA762C">
      <w:pPr>
        <w:pStyle w:val="CitaviBibliographyEntry"/>
      </w:pPr>
      <w:proofErr w:type="spellStart"/>
      <w:r w:rsidRPr="00CA762C">
        <w:rPr>
          <w:b/>
        </w:rPr>
        <w:t>HoustonKemp</w:t>
      </w:r>
      <w:proofErr w:type="spellEnd"/>
      <w:r w:rsidRPr="00CA762C">
        <w:rPr>
          <w:b/>
        </w:rPr>
        <w:t xml:space="preserve"> 2016</w:t>
      </w:r>
      <w:r w:rsidRPr="00CA762C">
        <w:t xml:space="preserve">, </w:t>
      </w:r>
      <w:r w:rsidRPr="00CA762C">
        <w:rPr>
          <w:i/>
        </w:rPr>
        <w:t>Peer review of electricity modelling for the Climate Change Authority: comparing the performance of policies for emissions reduction</w:t>
      </w:r>
      <w:r w:rsidRPr="00CA762C">
        <w:t>.</w:t>
      </w:r>
    </w:p>
    <w:p w:rsidR="00CA762C" w:rsidRDefault="00CA762C" w:rsidP="00CA762C">
      <w:pPr>
        <w:pStyle w:val="CitaviBibliographyEntry"/>
      </w:pPr>
      <w:r w:rsidRPr="00CA762C">
        <w:rPr>
          <w:b/>
        </w:rPr>
        <w:t>Independent Market Operator 2015</w:t>
      </w:r>
      <w:r w:rsidRPr="00CA762C">
        <w:t xml:space="preserve">, </w:t>
      </w:r>
      <w:r w:rsidRPr="00CA762C">
        <w:rPr>
          <w:i/>
        </w:rPr>
        <w:t>2014 Electricity statement of opportunities: June 2015</w:t>
      </w:r>
      <w:r w:rsidRPr="00CA762C">
        <w:t>, Perth.</w:t>
      </w:r>
    </w:p>
    <w:p w:rsidR="00CA762C" w:rsidRDefault="00CA762C" w:rsidP="00CA762C">
      <w:pPr>
        <w:pStyle w:val="CitaviBibliographyEntry"/>
      </w:pPr>
      <w:r w:rsidRPr="00CA762C">
        <w:rPr>
          <w:b/>
        </w:rPr>
        <w:t>Intergovernmental Panel on Climate Change (IPCC) 2014</w:t>
      </w:r>
      <w:r w:rsidRPr="00CA762C">
        <w:t xml:space="preserve">, </w:t>
      </w:r>
      <w:r w:rsidRPr="00CA762C">
        <w:rPr>
          <w:i/>
        </w:rPr>
        <w:t>Climate change 2014: Synthesis report. Contribution of working groups I, II and III to the fifth assessment report of the Intergovernmental Panel on Climate Change</w:t>
      </w:r>
      <w:r w:rsidRPr="00CA762C">
        <w:t>, [Core Writing Team, Pachauri R and Meyer L (eds.)], IPCC, Geneva, Switzerland.</w:t>
      </w:r>
    </w:p>
    <w:p w:rsidR="00CA762C" w:rsidRDefault="00CA762C" w:rsidP="00CA762C">
      <w:pPr>
        <w:pStyle w:val="CitaviBibliographyEntry"/>
      </w:pPr>
      <w:r w:rsidRPr="00CA762C">
        <w:rPr>
          <w:b/>
        </w:rPr>
        <w:t>International Carbon Action Partnership (ICAP) 2015</w:t>
      </w:r>
      <w:r w:rsidRPr="00CA762C">
        <w:t xml:space="preserve">, </w:t>
      </w:r>
      <w:r w:rsidRPr="00CA762C">
        <w:rPr>
          <w:i/>
        </w:rPr>
        <w:t xml:space="preserve">Emissions Trading Worldwide: Status Report 2015, </w:t>
      </w:r>
      <w:proofErr w:type="spellStart"/>
      <w:r w:rsidRPr="00CA762C">
        <w:t>Serre</w:t>
      </w:r>
      <w:proofErr w:type="spellEnd"/>
      <w:r w:rsidRPr="00CA762C">
        <w:t xml:space="preserve">, C., </w:t>
      </w:r>
      <w:proofErr w:type="spellStart"/>
      <w:r w:rsidRPr="00CA762C">
        <w:t>Santikarn</w:t>
      </w:r>
      <w:proofErr w:type="spellEnd"/>
      <w:r w:rsidRPr="00CA762C">
        <w:t xml:space="preserve">, M., </w:t>
      </w:r>
      <w:proofErr w:type="spellStart"/>
      <w:r w:rsidRPr="00CA762C">
        <w:t>Stelmakh</w:t>
      </w:r>
      <w:proofErr w:type="spellEnd"/>
      <w:r w:rsidRPr="00CA762C">
        <w:t xml:space="preserve">, K., Eden, A., </w:t>
      </w:r>
      <w:proofErr w:type="spellStart"/>
      <w:r w:rsidRPr="00CA762C">
        <w:t>Frerk</w:t>
      </w:r>
      <w:proofErr w:type="spellEnd"/>
      <w:r w:rsidRPr="00CA762C">
        <w:t xml:space="preserve">, M., </w:t>
      </w:r>
      <w:proofErr w:type="spellStart"/>
      <w:r w:rsidRPr="00CA762C">
        <w:t>Kachi</w:t>
      </w:r>
      <w:proofErr w:type="spellEnd"/>
      <w:r w:rsidRPr="00CA762C">
        <w:t xml:space="preserve">, A., Unger, C., </w:t>
      </w:r>
      <w:proofErr w:type="spellStart"/>
      <w:r w:rsidRPr="00CA762C">
        <w:t>Wilkening</w:t>
      </w:r>
      <w:proofErr w:type="spellEnd"/>
      <w:r w:rsidRPr="00CA762C">
        <w:t xml:space="preserve">, K., </w:t>
      </w:r>
      <w:proofErr w:type="spellStart"/>
      <w:r w:rsidRPr="00CA762C">
        <w:t>Haug</w:t>
      </w:r>
      <w:proofErr w:type="spellEnd"/>
      <w:r w:rsidRPr="00CA762C">
        <w:t>, C. (</w:t>
      </w:r>
      <w:proofErr w:type="gramStart"/>
      <w:r w:rsidRPr="00CA762C">
        <w:t>eds</w:t>
      </w:r>
      <w:proofErr w:type="gramEnd"/>
      <w:r w:rsidRPr="00CA762C">
        <w:t>.).</w:t>
      </w:r>
    </w:p>
    <w:p w:rsidR="00CA762C" w:rsidRDefault="00CA762C" w:rsidP="00CA762C">
      <w:pPr>
        <w:pStyle w:val="CitaviBibliographyEntry"/>
      </w:pPr>
      <w:r w:rsidRPr="00CA762C">
        <w:rPr>
          <w:b/>
        </w:rPr>
        <w:t>International Energy Agency (IEA) 2014a</w:t>
      </w:r>
      <w:r w:rsidRPr="00CA762C">
        <w:t xml:space="preserve">, </w:t>
      </w:r>
      <w:r w:rsidRPr="00CA762C">
        <w:rPr>
          <w:i/>
        </w:rPr>
        <w:t>CO</w:t>
      </w:r>
      <w:r w:rsidRPr="00CA762C">
        <w:rPr>
          <w:i/>
          <w:vertAlign w:val="subscript"/>
        </w:rPr>
        <w:t>2</w:t>
      </w:r>
      <w:r w:rsidRPr="00CA762C">
        <w:rPr>
          <w:i/>
        </w:rPr>
        <w:t xml:space="preserve"> emissions from fuel combustion</w:t>
      </w:r>
      <w:r w:rsidRPr="00CA762C">
        <w:t>, Paris.</w:t>
      </w:r>
    </w:p>
    <w:p w:rsidR="00CA762C" w:rsidRDefault="00CA762C" w:rsidP="00CA762C">
      <w:pPr>
        <w:pStyle w:val="CitaviBibliographyEntry"/>
      </w:pPr>
      <w:r w:rsidRPr="00CA762C">
        <w:rPr>
          <w:b/>
        </w:rPr>
        <w:t>IEA 2014b</w:t>
      </w:r>
      <w:r w:rsidRPr="00CA762C">
        <w:t xml:space="preserve">, </w:t>
      </w:r>
      <w:r w:rsidRPr="00CA762C">
        <w:rPr>
          <w:i/>
        </w:rPr>
        <w:t>Energy technology perspectives 2014: Harnessing electricity's potential</w:t>
      </w:r>
      <w:r w:rsidRPr="00CA762C">
        <w:t>, Paris.</w:t>
      </w:r>
    </w:p>
    <w:p w:rsidR="00CA762C" w:rsidRDefault="00CA762C" w:rsidP="00CA762C">
      <w:pPr>
        <w:pStyle w:val="CitaviBibliographyEntry"/>
      </w:pPr>
      <w:r w:rsidRPr="00CA762C">
        <w:rPr>
          <w:b/>
        </w:rPr>
        <w:t>IEA 2015a</w:t>
      </w:r>
      <w:r w:rsidRPr="00CA762C">
        <w:t xml:space="preserve">, </w:t>
      </w:r>
      <w:r w:rsidRPr="00CA762C">
        <w:rPr>
          <w:i/>
        </w:rPr>
        <w:t>CO2 emissions from fuel combustion: highlights</w:t>
      </w:r>
      <w:r w:rsidRPr="00CA762C">
        <w:t>, Paris.</w:t>
      </w:r>
    </w:p>
    <w:p w:rsidR="00CA762C" w:rsidRDefault="00CA762C" w:rsidP="00CA762C">
      <w:pPr>
        <w:pStyle w:val="CitaviBibliographyEntry"/>
      </w:pPr>
      <w:r w:rsidRPr="00CA762C">
        <w:rPr>
          <w:b/>
        </w:rPr>
        <w:t>IEA 2015b</w:t>
      </w:r>
      <w:r w:rsidRPr="00CA762C">
        <w:t xml:space="preserve">, </w:t>
      </w:r>
      <w:r w:rsidRPr="00CA762C">
        <w:rPr>
          <w:i/>
        </w:rPr>
        <w:t>Energy and climate change: World energy outlook special report</w:t>
      </w:r>
      <w:r w:rsidRPr="00CA762C">
        <w:t>, Paris.</w:t>
      </w:r>
    </w:p>
    <w:p w:rsidR="00CA762C" w:rsidRDefault="00CA762C" w:rsidP="00CA762C">
      <w:pPr>
        <w:pStyle w:val="CitaviBibliographyEntry"/>
      </w:pPr>
      <w:r w:rsidRPr="00CA762C">
        <w:rPr>
          <w:b/>
        </w:rPr>
        <w:t>IEA 2015c</w:t>
      </w:r>
      <w:r w:rsidRPr="00CA762C">
        <w:t xml:space="preserve">, </w:t>
      </w:r>
      <w:r w:rsidRPr="00CA762C">
        <w:rPr>
          <w:i/>
        </w:rPr>
        <w:t>Energy technology perspectives 2015: Mobilising innovation to accelerate climate action</w:t>
      </w:r>
      <w:r w:rsidRPr="00CA762C">
        <w:t>, Executive summary, Paris.</w:t>
      </w:r>
    </w:p>
    <w:p w:rsidR="00CA762C" w:rsidRDefault="00CA762C" w:rsidP="00CA762C">
      <w:pPr>
        <w:pStyle w:val="CitaviBibliographyEntry"/>
      </w:pPr>
      <w:proofErr w:type="gramStart"/>
      <w:r w:rsidRPr="00CA762C">
        <w:rPr>
          <w:b/>
        </w:rPr>
        <w:t>IEA 2015d</w:t>
      </w:r>
      <w:r w:rsidRPr="00CA762C">
        <w:t xml:space="preserve">, </w:t>
      </w:r>
      <w:r w:rsidRPr="00CA762C">
        <w:rPr>
          <w:i/>
        </w:rPr>
        <w:t>Policies and measures databases</w:t>
      </w:r>
      <w:r w:rsidRPr="00CA762C">
        <w:t>, viewed 15 Jun. 2016, http://www.iea.org/policiesandmeasures/.</w:t>
      </w:r>
      <w:proofErr w:type="gramEnd"/>
    </w:p>
    <w:p w:rsidR="00CA762C" w:rsidRDefault="00CA762C" w:rsidP="00CA762C">
      <w:pPr>
        <w:pStyle w:val="CitaviBibliographyEntry"/>
      </w:pPr>
      <w:proofErr w:type="gramStart"/>
      <w:r w:rsidRPr="00CA762C">
        <w:rPr>
          <w:b/>
        </w:rPr>
        <w:t>IEA 2015e</w:t>
      </w:r>
      <w:r w:rsidRPr="00CA762C">
        <w:t xml:space="preserve">, </w:t>
      </w:r>
      <w:r w:rsidRPr="00CA762C">
        <w:rPr>
          <w:i/>
        </w:rPr>
        <w:t>World energy outlook</w:t>
      </w:r>
      <w:r w:rsidRPr="00CA762C">
        <w:t>, Paris.</w:t>
      </w:r>
      <w:proofErr w:type="gramEnd"/>
    </w:p>
    <w:p w:rsidR="00CA762C" w:rsidRDefault="00CA762C" w:rsidP="00CA762C">
      <w:pPr>
        <w:pStyle w:val="CitaviBibliographyEntry"/>
      </w:pPr>
      <w:r w:rsidRPr="00CA762C">
        <w:rPr>
          <w:b/>
        </w:rPr>
        <w:t>Jacobs Group (Jacobs) 2015</w:t>
      </w:r>
      <w:r w:rsidRPr="00CA762C">
        <w:t xml:space="preserve">, </w:t>
      </w:r>
      <w:r w:rsidRPr="00CA762C">
        <w:rPr>
          <w:i/>
        </w:rPr>
        <w:t>Consultation Paper: Modelling illustrative electricity sector emissions reduction policies</w:t>
      </w:r>
      <w:r w:rsidRPr="00CA762C">
        <w:t>.</w:t>
      </w:r>
    </w:p>
    <w:p w:rsidR="00CA762C" w:rsidRDefault="00CA762C" w:rsidP="00CA762C">
      <w:pPr>
        <w:pStyle w:val="CitaviBibliographyEntry"/>
      </w:pPr>
      <w:r w:rsidRPr="00CA762C">
        <w:rPr>
          <w:b/>
        </w:rPr>
        <w:t>Jacobs 2016a</w:t>
      </w:r>
      <w:r w:rsidRPr="00CA762C">
        <w:t xml:space="preserve">, </w:t>
      </w:r>
      <w:r w:rsidRPr="00CA762C">
        <w:rPr>
          <w:i/>
        </w:rPr>
        <w:t>Australia's climate policy options: a study of policy options for the Energy Networks Association: Preliminary results</w:t>
      </w:r>
      <w:r w:rsidRPr="00CA762C">
        <w:t>.</w:t>
      </w:r>
    </w:p>
    <w:p w:rsidR="00CA762C" w:rsidRDefault="00CA762C" w:rsidP="00CA762C">
      <w:pPr>
        <w:pStyle w:val="CitaviBibliographyEntry"/>
      </w:pPr>
      <w:r w:rsidRPr="00CA762C">
        <w:rPr>
          <w:b/>
        </w:rPr>
        <w:t>Jacobs 2016b</w:t>
      </w:r>
      <w:r w:rsidRPr="00CA762C">
        <w:t xml:space="preserve">, </w:t>
      </w:r>
      <w:r w:rsidRPr="00CA762C">
        <w:rPr>
          <w:i/>
        </w:rPr>
        <w:t>Electricity sector impacts of emission abatement policies</w:t>
      </w:r>
      <w:r w:rsidRPr="00CA762C">
        <w:t>.</w:t>
      </w:r>
    </w:p>
    <w:p w:rsidR="00CA762C" w:rsidRDefault="00CA762C" w:rsidP="00CA762C">
      <w:pPr>
        <w:pStyle w:val="CitaviBibliographyEntry"/>
      </w:pPr>
      <w:r w:rsidRPr="00CA762C">
        <w:rPr>
          <w:b/>
        </w:rPr>
        <w:t>Jacobs 2016c</w:t>
      </w:r>
      <w:r w:rsidRPr="00CA762C">
        <w:t xml:space="preserve">, </w:t>
      </w:r>
      <w:r w:rsidRPr="00CA762C">
        <w:rPr>
          <w:i/>
        </w:rPr>
        <w:t>Modelling illustrative electricity sector emissions reduction policies</w:t>
      </w:r>
      <w:r w:rsidRPr="00CA762C">
        <w:t>.</w:t>
      </w:r>
    </w:p>
    <w:p w:rsidR="00CA762C" w:rsidRDefault="00CA762C" w:rsidP="00CA762C">
      <w:pPr>
        <w:pStyle w:val="CitaviBibliographyEntry"/>
      </w:pPr>
      <w:r w:rsidRPr="00CA762C">
        <w:rPr>
          <w:b/>
        </w:rPr>
        <w:t>Jacobs 2016d</w:t>
      </w:r>
      <w:r w:rsidRPr="00CA762C">
        <w:t xml:space="preserve">, </w:t>
      </w:r>
      <w:r w:rsidRPr="00CA762C">
        <w:rPr>
          <w:i/>
        </w:rPr>
        <w:t>Modelling illustrative electricity sector emissions reduction policies (iteration with CGE modelling)</w:t>
      </w:r>
      <w:r w:rsidRPr="00CA762C">
        <w:t>.</w:t>
      </w:r>
    </w:p>
    <w:p w:rsidR="00CA762C" w:rsidRDefault="00CA762C" w:rsidP="00CA762C">
      <w:pPr>
        <w:pStyle w:val="CitaviBibliographyEntry"/>
      </w:pPr>
      <w:proofErr w:type="spellStart"/>
      <w:r w:rsidRPr="00CA762C">
        <w:rPr>
          <w:b/>
        </w:rPr>
        <w:t>Jotzo</w:t>
      </w:r>
      <w:proofErr w:type="spellEnd"/>
      <w:r w:rsidRPr="00CA762C">
        <w:rPr>
          <w:b/>
        </w:rPr>
        <w:t xml:space="preserve"> F</w:t>
      </w:r>
      <w:r w:rsidRPr="00CA762C">
        <w:t xml:space="preserve"> </w:t>
      </w:r>
      <w:r w:rsidRPr="00CA762C">
        <w:rPr>
          <w:b/>
        </w:rPr>
        <w:t>2016</w:t>
      </w:r>
      <w:r w:rsidRPr="00CA762C">
        <w:t xml:space="preserve">, </w:t>
      </w:r>
      <w:r w:rsidRPr="00CA762C">
        <w:rPr>
          <w:i/>
        </w:rPr>
        <w:t>Brown coal exit: A market mechanism for regulated closure of highly emissions intensive power stations: Presentation to 'Australia’s electricity sector: policy options to support a low-carbon transition', Crawford School, the Australian National University, Canberra</w:t>
      </w:r>
      <w:r w:rsidRPr="00CA762C">
        <w:t>, viewed 28 Mar. 2016, https://crawford.anu.edu.au/news-events/events/7063/australias-electricity-sector-policy-options-support-low-carbon-transition?tb=vid#tab.</w:t>
      </w:r>
    </w:p>
    <w:p w:rsidR="00CA762C" w:rsidRDefault="00CA762C" w:rsidP="00CA762C">
      <w:pPr>
        <w:pStyle w:val="CitaviBibliographyEntry"/>
      </w:pPr>
      <w:proofErr w:type="spellStart"/>
      <w:r w:rsidRPr="00CA762C">
        <w:rPr>
          <w:b/>
        </w:rPr>
        <w:t>Jotzo</w:t>
      </w:r>
      <w:proofErr w:type="spellEnd"/>
      <w:r w:rsidRPr="00CA762C">
        <w:rPr>
          <w:b/>
        </w:rPr>
        <w:t xml:space="preserve"> F &amp; </w:t>
      </w:r>
      <w:proofErr w:type="spellStart"/>
      <w:r w:rsidRPr="00CA762C">
        <w:rPr>
          <w:b/>
        </w:rPr>
        <w:t>Mazouz</w:t>
      </w:r>
      <w:proofErr w:type="spellEnd"/>
      <w:r w:rsidRPr="00CA762C">
        <w:rPr>
          <w:b/>
        </w:rPr>
        <w:t xml:space="preserve"> S</w:t>
      </w:r>
      <w:r w:rsidRPr="00CA762C">
        <w:t xml:space="preserve"> </w:t>
      </w:r>
      <w:r w:rsidRPr="00CA762C">
        <w:rPr>
          <w:b/>
        </w:rPr>
        <w:t>2015</w:t>
      </w:r>
      <w:r w:rsidRPr="00CA762C">
        <w:t xml:space="preserve">, </w:t>
      </w:r>
      <w:r w:rsidRPr="00CA762C">
        <w:rPr>
          <w:i/>
        </w:rPr>
        <w:t xml:space="preserve">Brown coal exit: a market mechanism for regulated closure of highly emissions intensive power stations: CCEP Working Paper No. 1510, </w:t>
      </w:r>
      <w:r w:rsidRPr="00CA762C">
        <w:t>Centre for Climate Economics &amp; Policy, Canberra.</w:t>
      </w:r>
    </w:p>
    <w:p w:rsidR="00CA762C" w:rsidRDefault="00CA762C" w:rsidP="00CA762C">
      <w:pPr>
        <w:pStyle w:val="CitaviBibliographyEntry"/>
      </w:pPr>
      <w:proofErr w:type="spellStart"/>
      <w:r w:rsidRPr="00CA762C">
        <w:rPr>
          <w:b/>
        </w:rPr>
        <w:lastRenderedPageBreak/>
        <w:t>McKibbin</w:t>
      </w:r>
      <w:proofErr w:type="spellEnd"/>
      <w:r w:rsidRPr="00CA762C">
        <w:rPr>
          <w:b/>
        </w:rPr>
        <w:t xml:space="preserve"> WJ</w:t>
      </w:r>
      <w:r w:rsidRPr="00CA762C">
        <w:t xml:space="preserve"> </w:t>
      </w:r>
      <w:r w:rsidRPr="00CA762C">
        <w:rPr>
          <w:b/>
        </w:rPr>
        <w:t>2015</w:t>
      </w:r>
      <w:r w:rsidRPr="00CA762C">
        <w:t xml:space="preserve">, </w:t>
      </w:r>
      <w:r w:rsidRPr="00CA762C">
        <w:rPr>
          <w:i/>
        </w:rPr>
        <w:t xml:space="preserve">Report 1: 2015 Economic modelling of international action under a new global climate change agreement, </w:t>
      </w:r>
      <w:proofErr w:type="spellStart"/>
      <w:r w:rsidRPr="00CA762C">
        <w:t>McKibbin</w:t>
      </w:r>
      <w:proofErr w:type="spellEnd"/>
      <w:r w:rsidRPr="00CA762C">
        <w:t xml:space="preserve"> Software Group.</w:t>
      </w:r>
    </w:p>
    <w:p w:rsidR="00CA762C" w:rsidRDefault="00CA762C" w:rsidP="00CA762C">
      <w:pPr>
        <w:pStyle w:val="CitaviBibliographyEntry"/>
      </w:pPr>
      <w:proofErr w:type="spellStart"/>
      <w:r w:rsidRPr="00CA762C">
        <w:rPr>
          <w:b/>
        </w:rPr>
        <w:t>Nachmany</w:t>
      </w:r>
      <w:proofErr w:type="spellEnd"/>
      <w:r w:rsidRPr="00CA762C">
        <w:rPr>
          <w:b/>
        </w:rPr>
        <w:t xml:space="preserve"> M, </w:t>
      </w:r>
      <w:proofErr w:type="spellStart"/>
      <w:r w:rsidRPr="00CA762C">
        <w:rPr>
          <w:b/>
        </w:rPr>
        <w:t>Fankhauser</w:t>
      </w:r>
      <w:proofErr w:type="spellEnd"/>
      <w:r w:rsidRPr="00CA762C">
        <w:rPr>
          <w:b/>
        </w:rPr>
        <w:t xml:space="preserve"> S &amp; </w:t>
      </w:r>
      <w:proofErr w:type="spellStart"/>
      <w:r w:rsidRPr="00CA762C">
        <w:rPr>
          <w:b/>
        </w:rPr>
        <w:t>Davidova</w:t>
      </w:r>
      <w:proofErr w:type="spellEnd"/>
      <w:r w:rsidRPr="00CA762C">
        <w:rPr>
          <w:b/>
        </w:rPr>
        <w:t xml:space="preserve"> J et al. 2015</w:t>
      </w:r>
      <w:r w:rsidRPr="00CA762C">
        <w:t xml:space="preserve">, Climate Change Legislation in Japan: An Excerpt from the 2015 Global Climate Legislation Study. In: </w:t>
      </w:r>
      <w:r w:rsidRPr="00CA762C">
        <w:rPr>
          <w:i/>
        </w:rPr>
        <w:t>2015 Global Climate Legislation Study</w:t>
      </w:r>
      <w:r w:rsidRPr="00CA762C">
        <w:t>.</w:t>
      </w:r>
    </w:p>
    <w:p w:rsidR="00CA762C" w:rsidRDefault="00CA762C" w:rsidP="00CA762C">
      <w:pPr>
        <w:pStyle w:val="CitaviBibliographyEntry"/>
      </w:pPr>
      <w:r w:rsidRPr="00CA762C">
        <w:rPr>
          <w:b/>
        </w:rPr>
        <w:t xml:space="preserve">O'Gorman M &amp; </w:t>
      </w:r>
      <w:proofErr w:type="spellStart"/>
      <w:r w:rsidRPr="00CA762C">
        <w:rPr>
          <w:b/>
        </w:rPr>
        <w:t>Jotzo</w:t>
      </w:r>
      <w:proofErr w:type="spellEnd"/>
      <w:r w:rsidRPr="00CA762C">
        <w:rPr>
          <w:b/>
        </w:rPr>
        <w:t xml:space="preserve"> F</w:t>
      </w:r>
      <w:r w:rsidRPr="00CA762C">
        <w:t xml:space="preserve"> </w:t>
      </w:r>
      <w:r w:rsidRPr="00CA762C">
        <w:rPr>
          <w:b/>
        </w:rPr>
        <w:t>2014</w:t>
      </w:r>
      <w:r w:rsidRPr="00CA762C">
        <w:t xml:space="preserve">, </w:t>
      </w:r>
      <w:r w:rsidRPr="00CA762C">
        <w:rPr>
          <w:i/>
        </w:rPr>
        <w:t>Impact of the carbon price on Australia’s electricity demand, supply and emissions: Centre for Climate Economics and Policy Working Paper 1411</w:t>
      </w:r>
      <w:r w:rsidRPr="00CA762C">
        <w:t>.</w:t>
      </w:r>
    </w:p>
    <w:p w:rsidR="00CA762C" w:rsidRDefault="00CA762C" w:rsidP="00CA762C">
      <w:pPr>
        <w:pStyle w:val="CitaviBibliographyEntry"/>
      </w:pPr>
      <w:proofErr w:type="spellStart"/>
      <w:proofErr w:type="gramStart"/>
      <w:r w:rsidRPr="00CA762C">
        <w:rPr>
          <w:b/>
        </w:rPr>
        <w:t>pitt&amp;</w:t>
      </w:r>
      <w:proofErr w:type="gramEnd"/>
      <w:r w:rsidRPr="00CA762C">
        <w:rPr>
          <w:b/>
        </w:rPr>
        <w:t>sherry</w:t>
      </w:r>
      <w:proofErr w:type="spellEnd"/>
      <w:r w:rsidRPr="00CA762C">
        <w:rPr>
          <w:b/>
        </w:rPr>
        <w:t xml:space="preserve"> 2015</w:t>
      </w:r>
      <w:r w:rsidRPr="00CA762C">
        <w:t xml:space="preserve">, </w:t>
      </w:r>
      <w:r w:rsidRPr="00CA762C">
        <w:rPr>
          <w:i/>
        </w:rPr>
        <w:t>Australia's emissions projections 2014: Electricity demand projections to 2035</w:t>
      </w:r>
      <w:r w:rsidRPr="00CA762C">
        <w:t>.</w:t>
      </w:r>
    </w:p>
    <w:p w:rsidR="00CA762C" w:rsidRDefault="00CA762C" w:rsidP="00CA762C">
      <w:pPr>
        <w:pStyle w:val="CitaviBibliographyEntry"/>
      </w:pPr>
      <w:r w:rsidRPr="00CA762C">
        <w:rPr>
          <w:b/>
        </w:rPr>
        <w:t>Queensland Government 2016</w:t>
      </w:r>
      <w:r w:rsidRPr="00CA762C">
        <w:t xml:space="preserve">, </w:t>
      </w:r>
      <w:proofErr w:type="gramStart"/>
      <w:r w:rsidRPr="00CA762C">
        <w:rPr>
          <w:i/>
        </w:rPr>
        <w:t>A</w:t>
      </w:r>
      <w:proofErr w:type="gramEnd"/>
      <w:r w:rsidRPr="00CA762C">
        <w:rPr>
          <w:i/>
        </w:rPr>
        <w:t xml:space="preserve"> solar future: powering Queensland's renewable energy industries</w:t>
      </w:r>
      <w:r w:rsidRPr="00CA762C">
        <w:t>, viewed 21 Apr. 2016, https://www.dews.qld.gov.au/electricity/solar/solar-future.</w:t>
      </w:r>
    </w:p>
    <w:p w:rsidR="00CA762C" w:rsidRDefault="00CA762C" w:rsidP="00CA762C">
      <w:pPr>
        <w:pStyle w:val="CitaviBibliographyEntry"/>
      </w:pPr>
      <w:r w:rsidRPr="00CA762C">
        <w:rPr>
          <w:b/>
        </w:rPr>
        <w:t>Queensland Renewable Energy Expert Panel 2016</w:t>
      </w:r>
      <w:r w:rsidRPr="00CA762C">
        <w:t xml:space="preserve">, </w:t>
      </w:r>
      <w:r w:rsidRPr="00CA762C">
        <w:rPr>
          <w:i/>
        </w:rPr>
        <w:t>Issues paper: May 2016</w:t>
      </w:r>
      <w:r w:rsidRPr="00CA762C">
        <w:t>.</w:t>
      </w:r>
    </w:p>
    <w:p w:rsidR="00CA762C" w:rsidRDefault="00CA762C" w:rsidP="00CA762C">
      <w:pPr>
        <w:pStyle w:val="CitaviBibliographyEntry"/>
      </w:pPr>
      <w:r w:rsidRPr="00CA762C">
        <w:rPr>
          <w:b/>
        </w:rPr>
        <w:t>Reliability Panel 2015</w:t>
      </w:r>
      <w:r w:rsidRPr="00CA762C">
        <w:t xml:space="preserve">, </w:t>
      </w:r>
      <w:r w:rsidRPr="00CA762C">
        <w:rPr>
          <w:i/>
        </w:rPr>
        <w:t xml:space="preserve">Annual market performance review 2014, final report, </w:t>
      </w:r>
      <w:r w:rsidRPr="00CA762C">
        <w:t>Australian Energy Market Commission (AEMC), Sydney.</w:t>
      </w:r>
    </w:p>
    <w:p w:rsidR="00CA762C" w:rsidRDefault="00CA762C" w:rsidP="00CA762C">
      <w:pPr>
        <w:pStyle w:val="CitaviBibliographyEntry"/>
      </w:pPr>
      <w:proofErr w:type="spellStart"/>
      <w:proofErr w:type="gramStart"/>
      <w:r w:rsidRPr="00CA762C">
        <w:rPr>
          <w:b/>
        </w:rPr>
        <w:t>RenewablesSA</w:t>
      </w:r>
      <w:proofErr w:type="spellEnd"/>
      <w:r w:rsidRPr="00CA762C">
        <w:rPr>
          <w:b/>
        </w:rPr>
        <w:t xml:space="preserve"> 2010</w:t>
      </w:r>
      <w:r w:rsidRPr="00CA762C">
        <w:t xml:space="preserve">, </w:t>
      </w:r>
      <w:r w:rsidRPr="00CA762C">
        <w:rPr>
          <w:i/>
        </w:rPr>
        <w:t>Carbon intensity of South Australia's new electricity generation</w:t>
      </w:r>
      <w:r w:rsidRPr="00CA762C">
        <w:t>, Discussion paper.</w:t>
      </w:r>
      <w:proofErr w:type="gramEnd"/>
    </w:p>
    <w:p w:rsidR="00CA762C" w:rsidRDefault="00CA762C" w:rsidP="00CA762C">
      <w:pPr>
        <w:pStyle w:val="CitaviBibliographyEntry"/>
      </w:pPr>
      <w:proofErr w:type="spellStart"/>
      <w:r w:rsidRPr="00CA762C">
        <w:rPr>
          <w:b/>
        </w:rPr>
        <w:t>RepuTex</w:t>
      </w:r>
      <w:proofErr w:type="spellEnd"/>
      <w:r w:rsidRPr="00CA762C">
        <w:rPr>
          <w:b/>
        </w:rPr>
        <w:t xml:space="preserve"> 2015</w:t>
      </w:r>
      <w:r w:rsidRPr="00CA762C">
        <w:t xml:space="preserve">, </w:t>
      </w:r>
      <w:proofErr w:type="gramStart"/>
      <w:r w:rsidRPr="00CA762C">
        <w:rPr>
          <w:i/>
        </w:rPr>
        <w:t>The</w:t>
      </w:r>
      <w:proofErr w:type="gramEnd"/>
      <w:r w:rsidRPr="00CA762C">
        <w:rPr>
          <w:i/>
        </w:rPr>
        <w:t xml:space="preserve"> lost years: Australian abatement cost curve - to 2020 &amp; 2030</w:t>
      </w:r>
      <w:r w:rsidRPr="00CA762C">
        <w:t>, viewed 22 Mar. 2016, Melbourne, https://www.dpmc.gov.au/sites/default/files/unfccc-public-submissions/RepuTexSubmission_The%20Lost%20Years_Australian%20MAC%20for%202020%20and%202030%200422.pdf.</w:t>
      </w:r>
    </w:p>
    <w:p w:rsidR="00CA762C" w:rsidRDefault="00CA762C" w:rsidP="00CA762C">
      <w:pPr>
        <w:pStyle w:val="CitaviBibliographyEntry"/>
      </w:pPr>
      <w:proofErr w:type="spellStart"/>
      <w:r w:rsidRPr="00CA762C">
        <w:rPr>
          <w:b/>
        </w:rPr>
        <w:t>Stavins</w:t>
      </w:r>
      <w:proofErr w:type="spellEnd"/>
      <w:r w:rsidRPr="00CA762C">
        <w:rPr>
          <w:b/>
        </w:rPr>
        <w:t xml:space="preserve"> R 2003</w:t>
      </w:r>
      <w:r w:rsidRPr="00CA762C">
        <w:t xml:space="preserve">, Experience with market-based environmental policy instruments </w:t>
      </w:r>
      <w:r w:rsidRPr="00CA762C">
        <w:rPr>
          <w:i/>
        </w:rPr>
        <w:t>Handbook of environmental economics</w:t>
      </w:r>
      <w:r w:rsidRPr="00CA762C">
        <w:t xml:space="preserve"> 1, pp.355–435.</w:t>
      </w:r>
    </w:p>
    <w:p w:rsidR="00CA762C" w:rsidRDefault="00CA762C" w:rsidP="00CA762C">
      <w:pPr>
        <w:pStyle w:val="CitaviBibliographyEntry"/>
      </w:pPr>
      <w:r w:rsidRPr="00CA762C">
        <w:rPr>
          <w:b/>
        </w:rPr>
        <w:t>Steffen W, Hughes L &amp; Perkins S</w:t>
      </w:r>
      <w:r w:rsidRPr="00CA762C">
        <w:t xml:space="preserve"> </w:t>
      </w:r>
      <w:r w:rsidRPr="00CA762C">
        <w:rPr>
          <w:b/>
        </w:rPr>
        <w:t>2014</w:t>
      </w:r>
      <w:r w:rsidRPr="00CA762C">
        <w:t xml:space="preserve">, </w:t>
      </w:r>
      <w:r w:rsidRPr="00CA762C">
        <w:rPr>
          <w:i/>
        </w:rPr>
        <w:t xml:space="preserve">Heatwaves: hotter, longer, more often, </w:t>
      </w:r>
      <w:r w:rsidRPr="00CA762C">
        <w:t>Climate Council of Australia, Climate Council of Australia Ltd.</w:t>
      </w:r>
    </w:p>
    <w:p w:rsidR="00CA762C" w:rsidRDefault="00CA762C" w:rsidP="00CA762C">
      <w:pPr>
        <w:pStyle w:val="CitaviBibliographyEntry"/>
      </w:pPr>
      <w:proofErr w:type="spellStart"/>
      <w:r w:rsidRPr="00CA762C">
        <w:rPr>
          <w:b/>
        </w:rPr>
        <w:t>Teske</w:t>
      </w:r>
      <w:proofErr w:type="spellEnd"/>
      <w:r w:rsidRPr="00CA762C">
        <w:rPr>
          <w:b/>
        </w:rPr>
        <w:t xml:space="preserve"> S, </w:t>
      </w:r>
      <w:proofErr w:type="spellStart"/>
      <w:r w:rsidRPr="00CA762C">
        <w:rPr>
          <w:b/>
        </w:rPr>
        <w:t>Dominish</w:t>
      </w:r>
      <w:proofErr w:type="spellEnd"/>
      <w:r w:rsidRPr="00CA762C">
        <w:rPr>
          <w:b/>
        </w:rPr>
        <w:t xml:space="preserve"> E, </w:t>
      </w:r>
      <w:proofErr w:type="spellStart"/>
      <w:r w:rsidRPr="00CA762C">
        <w:rPr>
          <w:b/>
        </w:rPr>
        <w:t>Ison</w:t>
      </w:r>
      <w:proofErr w:type="spellEnd"/>
      <w:r w:rsidRPr="00CA762C">
        <w:rPr>
          <w:b/>
        </w:rPr>
        <w:t xml:space="preserve"> N &amp; Maras K</w:t>
      </w:r>
      <w:r w:rsidRPr="00CA762C">
        <w:t xml:space="preserve"> </w:t>
      </w:r>
      <w:r w:rsidRPr="00CA762C">
        <w:rPr>
          <w:b/>
        </w:rPr>
        <w:t>2016</w:t>
      </w:r>
      <w:r w:rsidRPr="00CA762C">
        <w:t xml:space="preserve">, </w:t>
      </w:r>
      <w:r w:rsidRPr="00CA762C">
        <w:rPr>
          <w:i/>
        </w:rPr>
        <w:t>100% Renewable energy for Australia - Decarbonising Australia's energy sector within one generation</w:t>
      </w:r>
      <w:r w:rsidRPr="00CA762C">
        <w:t xml:space="preserve">, Report </w:t>
      </w:r>
      <w:proofErr w:type="spellStart"/>
      <w:r w:rsidRPr="00CA762C">
        <w:t>pepared</w:t>
      </w:r>
      <w:proofErr w:type="spellEnd"/>
      <w:r w:rsidRPr="00CA762C">
        <w:t xml:space="preserve"> by ISF for </w:t>
      </w:r>
      <w:proofErr w:type="spellStart"/>
      <w:r w:rsidRPr="00CA762C">
        <w:t>GetUp</w:t>
      </w:r>
      <w:proofErr w:type="spellEnd"/>
      <w:r w:rsidRPr="00CA762C">
        <w:t xml:space="preserve">! </w:t>
      </w:r>
      <w:proofErr w:type="gramStart"/>
      <w:r w:rsidRPr="00CA762C">
        <w:t>and</w:t>
      </w:r>
      <w:proofErr w:type="gramEnd"/>
      <w:r w:rsidRPr="00CA762C">
        <w:t xml:space="preserve"> Solar Citizens, March 2016.</w:t>
      </w:r>
    </w:p>
    <w:p w:rsidR="00CA762C" w:rsidRDefault="00CA762C" w:rsidP="00CA762C">
      <w:pPr>
        <w:pStyle w:val="CitaviBibliographyEntry"/>
      </w:pPr>
      <w:r w:rsidRPr="00CA762C">
        <w:rPr>
          <w:b/>
        </w:rPr>
        <w:t>The Climate Institute (TCI) 2016</w:t>
      </w:r>
      <w:r w:rsidRPr="00CA762C">
        <w:t xml:space="preserve">, </w:t>
      </w:r>
      <w:proofErr w:type="gramStart"/>
      <w:r w:rsidRPr="00CA762C">
        <w:rPr>
          <w:i/>
        </w:rPr>
        <w:t>A</w:t>
      </w:r>
      <w:proofErr w:type="gramEnd"/>
      <w:r w:rsidRPr="00CA762C">
        <w:rPr>
          <w:i/>
        </w:rPr>
        <w:t xml:space="preserve"> switch in time: enabling the electricity sector's transition to net zero emissions</w:t>
      </w:r>
      <w:r w:rsidRPr="00CA762C">
        <w:t>.</w:t>
      </w:r>
    </w:p>
    <w:p w:rsidR="00CA762C" w:rsidRDefault="00CA762C" w:rsidP="00CA762C">
      <w:pPr>
        <w:pStyle w:val="CitaviBibliographyEntry"/>
      </w:pPr>
      <w:proofErr w:type="gramStart"/>
      <w:r w:rsidRPr="00CA762C">
        <w:rPr>
          <w:b/>
        </w:rPr>
        <w:t>Treasury 2011</w:t>
      </w:r>
      <w:r w:rsidRPr="00CA762C">
        <w:t xml:space="preserve">, </w:t>
      </w:r>
      <w:r w:rsidRPr="00CA762C">
        <w:rPr>
          <w:i/>
        </w:rPr>
        <w:t xml:space="preserve">Strong growth, low pollution, </w:t>
      </w:r>
      <w:r w:rsidRPr="00CA762C">
        <w:t>Treasury, Treasury, Canberra.</w:t>
      </w:r>
      <w:proofErr w:type="gramEnd"/>
    </w:p>
    <w:p w:rsidR="00CA762C" w:rsidRDefault="00CA762C" w:rsidP="00CA762C">
      <w:pPr>
        <w:pStyle w:val="CitaviBibliographyEntry"/>
      </w:pPr>
      <w:r w:rsidRPr="00CA762C">
        <w:rPr>
          <w:b/>
        </w:rPr>
        <w:t>Treasury 2015</w:t>
      </w:r>
      <w:r w:rsidRPr="00CA762C">
        <w:t xml:space="preserve">, </w:t>
      </w:r>
      <w:r w:rsidRPr="00CA762C">
        <w:rPr>
          <w:i/>
        </w:rPr>
        <w:t>2015 Intergenerational report: Australia in 2055</w:t>
      </w:r>
      <w:r w:rsidRPr="00CA762C">
        <w:t>, Canberra.</w:t>
      </w:r>
    </w:p>
    <w:p w:rsidR="00CA762C" w:rsidRDefault="00CA762C" w:rsidP="00CA762C">
      <w:pPr>
        <w:pStyle w:val="CitaviBibliographyEntry"/>
      </w:pPr>
      <w:r w:rsidRPr="00CA762C">
        <w:rPr>
          <w:b/>
        </w:rPr>
        <w:t>Treasury and DIICCSRTE 2013</w:t>
      </w:r>
      <w:r w:rsidRPr="00CA762C">
        <w:t xml:space="preserve">, </w:t>
      </w:r>
      <w:r w:rsidRPr="00CA762C">
        <w:rPr>
          <w:i/>
        </w:rPr>
        <w:t xml:space="preserve">Climate change mitigation scenarios: Modelling report provided to the Climate Change Authority in support of its Caps and Targets Review, </w:t>
      </w:r>
      <w:r w:rsidRPr="00CA762C">
        <w:t>The Treasury and Department of Industry, Innovation, Climate Change, Science, Research and Tertiary Education, Canberra.</w:t>
      </w:r>
    </w:p>
    <w:p w:rsidR="00CA762C" w:rsidRDefault="00CA762C" w:rsidP="00CA762C">
      <w:pPr>
        <w:pStyle w:val="CitaviBibliographyEntry"/>
      </w:pPr>
      <w:r w:rsidRPr="00CA762C">
        <w:rPr>
          <w:b/>
        </w:rPr>
        <w:t>United Nations Framework Convention on Climate Change (UNFCCC) 2015</w:t>
      </w:r>
      <w:r w:rsidRPr="00CA762C">
        <w:t xml:space="preserve">, </w:t>
      </w:r>
      <w:r w:rsidRPr="00CA762C">
        <w:rPr>
          <w:i/>
        </w:rPr>
        <w:t>Adoption of the Paris Agreement</w:t>
      </w:r>
      <w:r w:rsidRPr="00CA762C">
        <w:t>, Draft decision -/CP.21, United Nations.</w:t>
      </w:r>
    </w:p>
    <w:p w:rsidR="00CA762C" w:rsidRDefault="00CA762C" w:rsidP="00CA762C">
      <w:pPr>
        <w:pStyle w:val="CitaviBibliographyEntry"/>
      </w:pPr>
      <w:r w:rsidRPr="00CA762C">
        <w:rPr>
          <w:b/>
        </w:rPr>
        <w:t>US EPA 2015</w:t>
      </w:r>
      <w:r w:rsidRPr="00CA762C">
        <w:t xml:space="preserve">, </w:t>
      </w:r>
      <w:r w:rsidRPr="00CA762C">
        <w:rPr>
          <w:i/>
        </w:rPr>
        <w:t>Final limits on carbon pollution from new, modified and reconstructed power plants: EPA Fact sheet: carbon pollution standards</w:t>
      </w:r>
      <w:r w:rsidRPr="00CA762C">
        <w:t>, fact sheet.</w:t>
      </w:r>
    </w:p>
    <w:p w:rsidR="00CA762C" w:rsidRDefault="00CA762C" w:rsidP="00CA762C">
      <w:pPr>
        <w:pStyle w:val="CitaviBibliographyEntry"/>
      </w:pPr>
      <w:proofErr w:type="gramStart"/>
      <w:r w:rsidRPr="00CA762C">
        <w:rPr>
          <w:b/>
        </w:rPr>
        <w:t>Victorian Government 2016</w:t>
      </w:r>
      <w:r w:rsidRPr="00CA762C">
        <w:t xml:space="preserve">, </w:t>
      </w:r>
      <w:r w:rsidRPr="00CA762C">
        <w:rPr>
          <w:i/>
        </w:rPr>
        <w:t>Renewable energy targets to create thousands of jobs</w:t>
      </w:r>
      <w:r w:rsidRPr="00CA762C">
        <w:t>, viewed 22 Jun. 2016, http://www.premier.vic.gov.au/renewable-energy-targets-to-create-thousands-of-jobs/.</w:t>
      </w:r>
      <w:proofErr w:type="gramEnd"/>
    </w:p>
    <w:p w:rsidR="00F42485" w:rsidRPr="001F62EA" w:rsidRDefault="00CA762C" w:rsidP="00CA762C">
      <w:pPr>
        <w:pStyle w:val="CitaviBibliographyEntry"/>
      </w:pPr>
      <w:r w:rsidRPr="00CA762C">
        <w:rPr>
          <w:b/>
        </w:rPr>
        <w:t>Warburton Review (Expert Panel) 2014</w:t>
      </w:r>
      <w:r w:rsidRPr="00CA762C">
        <w:t xml:space="preserve">, </w:t>
      </w:r>
      <w:r w:rsidRPr="00CA762C">
        <w:rPr>
          <w:i/>
        </w:rPr>
        <w:t>Renewable energy target scheme: Report of the Expert Panel</w:t>
      </w:r>
      <w:r w:rsidRPr="00CA762C">
        <w:t>.</w:t>
      </w:r>
    </w:p>
    <w:p w:rsidR="001D023F" w:rsidRPr="001F62EA" w:rsidRDefault="001D023F">
      <w:pPr>
        <w:pStyle w:val="CitaviBibliographyEntry"/>
      </w:pPr>
    </w:p>
    <w:sectPr w:rsidR="001D023F" w:rsidRPr="001F62EA" w:rsidSect="002D7D2A">
      <w:footerReference w:type="default" r:id="rId74"/>
      <w:type w:val="continuous"/>
      <w:pgSz w:w="11907" w:h="16839" w:code="9"/>
      <w:pgMar w:top="1134" w:right="1134" w:bottom="1134" w:left="1134"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A4CB6F" w15:done="0"/>
  <w15:commentEx w15:paraId="771D3A43" w15:done="0"/>
  <w15:commentEx w15:paraId="37510D7C" w15:done="0"/>
  <w15:commentEx w15:paraId="3B7F0C50" w15:done="0"/>
  <w15:commentEx w15:paraId="140830BB" w15:done="0"/>
  <w15:commentEx w15:paraId="19423D58" w15:done="0"/>
  <w15:commentEx w15:paraId="1D38106B" w15:done="0"/>
  <w15:commentEx w15:paraId="0ADA9C3C" w15:done="0"/>
  <w15:commentEx w15:paraId="7FA86895" w15:done="0"/>
  <w15:commentEx w15:paraId="7AC12492" w15:done="0"/>
  <w15:commentEx w15:paraId="5EA4EC66" w15:done="0"/>
  <w15:commentEx w15:paraId="780DEC87" w15:done="0"/>
  <w15:commentEx w15:paraId="4937F153" w15:done="0"/>
  <w15:commentEx w15:paraId="0231E7C8" w15:done="0"/>
  <w15:commentEx w15:paraId="4F9582FA" w15:done="0"/>
  <w15:commentEx w15:paraId="35CE87D1" w15:done="0"/>
  <w15:commentEx w15:paraId="4F3D22FC" w15:done="0"/>
  <w15:commentEx w15:paraId="7773F104" w15:done="0"/>
  <w15:commentEx w15:paraId="35F20DA1" w15:done="0"/>
  <w15:commentEx w15:paraId="2201B7FA" w15:done="0"/>
  <w15:commentEx w15:paraId="36FBA72C" w15:done="0"/>
  <w15:commentEx w15:paraId="6F49030C" w15:done="0"/>
  <w15:commentEx w15:paraId="5F06C8D0" w15:done="0"/>
  <w15:commentEx w15:paraId="2252AB4E" w15:done="0"/>
  <w15:commentEx w15:paraId="58829DB6" w15:done="0"/>
  <w15:commentEx w15:paraId="25E928CF" w15:done="0"/>
  <w15:commentEx w15:paraId="7CCF50EE" w15:done="0"/>
  <w15:commentEx w15:paraId="3860C275" w15:done="0"/>
  <w15:commentEx w15:paraId="7310D00D" w15:done="0"/>
  <w15:commentEx w15:paraId="670A82D9" w15:done="0"/>
  <w15:commentEx w15:paraId="194AB00D" w15:done="0"/>
  <w15:commentEx w15:paraId="6150A7CE" w15:done="0"/>
  <w15:commentEx w15:paraId="6E4275CE" w15:done="0"/>
  <w15:commentEx w15:paraId="06AE563A" w15:done="0"/>
  <w15:commentEx w15:paraId="692EA23F" w15:done="0"/>
  <w15:commentEx w15:paraId="3D13270D" w15:done="0"/>
  <w15:commentEx w15:paraId="22CDE13C" w15:done="0"/>
  <w15:commentEx w15:paraId="4F468786" w15:done="0"/>
  <w15:commentEx w15:paraId="5FC9F984" w15:done="0"/>
  <w15:commentEx w15:paraId="627634FD" w15:done="0"/>
  <w15:commentEx w15:paraId="6BDBA74C" w15:done="0"/>
  <w15:commentEx w15:paraId="64AE0332" w15:done="0"/>
  <w15:commentEx w15:paraId="02BD8749" w15:done="0"/>
  <w15:commentEx w15:paraId="3BFBA122" w15:done="0"/>
  <w15:commentEx w15:paraId="3F61763D" w15:done="0"/>
  <w15:commentEx w15:paraId="1901C752" w15:done="0"/>
  <w15:commentEx w15:paraId="7448615D" w15:done="0"/>
  <w15:commentEx w15:paraId="17CC1F0E" w15:done="0"/>
  <w15:commentEx w15:paraId="0CD00FB7" w15:done="0"/>
  <w15:commentEx w15:paraId="24F798BA" w15:done="0"/>
  <w15:commentEx w15:paraId="49AAE8B8" w15:done="0"/>
  <w15:commentEx w15:paraId="3CAEA9D2" w15:done="0"/>
  <w15:commentEx w15:paraId="13B5A200" w15:done="0"/>
  <w15:commentEx w15:paraId="3A14A321" w15:done="0"/>
  <w15:commentEx w15:paraId="44C30D9E" w15:done="0"/>
  <w15:commentEx w15:paraId="09EE3E11" w15:done="0"/>
  <w15:commentEx w15:paraId="13CFD996" w15:done="0"/>
  <w15:commentEx w15:paraId="3596E5CC" w15:done="0"/>
  <w15:commentEx w15:paraId="78FAA530" w15:done="0"/>
  <w15:commentEx w15:paraId="42A019B9" w15:done="0"/>
  <w15:commentEx w15:paraId="1307AEA5" w15:done="0"/>
  <w15:commentEx w15:paraId="28C39AA7" w15:done="0"/>
  <w15:commentEx w15:paraId="7310C0AC" w15:done="0"/>
  <w15:commentEx w15:paraId="64BC75AD" w15:done="0"/>
  <w15:commentEx w15:paraId="2CFB5CF8" w15:done="0"/>
  <w15:commentEx w15:paraId="422A57E2" w15:done="0"/>
  <w15:commentEx w15:paraId="6D7A3F02" w15:done="0"/>
  <w15:commentEx w15:paraId="05D01BA1" w15:done="0"/>
  <w15:commentEx w15:paraId="1BC0922F" w15:done="0"/>
  <w15:commentEx w15:paraId="45B4CC5F" w15:done="0"/>
  <w15:commentEx w15:paraId="4411344D" w15:done="0"/>
  <w15:commentEx w15:paraId="63103501" w15:done="0"/>
  <w15:commentEx w15:paraId="7FCE48B1" w15:done="0"/>
  <w15:commentEx w15:paraId="27C7ACA2" w15:done="0"/>
  <w15:commentEx w15:paraId="32367FEB" w15:done="0"/>
  <w15:commentEx w15:paraId="6FD635A2" w15:done="0"/>
  <w15:commentEx w15:paraId="07D46AD6" w15:done="0"/>
  <w15:commentEx w15:paraId="7B134544" w15:done="0"/>
  <w15:commentEx w15:paraId="2D554461" w15:done="0"/>
  <w15:commentEx w15:paraId="3B2D0EB0" w15:done="0"/>
  <w15:commentEx w15:paraId="59E7BCFF" w15:done="0"/>
  <w15:commentEx w15:paraId="2A4A780D" w15:done="0"/>
  <w15:commentEx w15:paraId="08095799" w15:done="0"/>
  <w15:commentEx w15:paraId="697248DE" w15:done="0"/>
  <w15:commentEx w15:paraId="60626701" w15:done="0"/>
  <w15:commentEx w15:paraId="3A1682F5" w15:done="0"/>
  <w15:commentEx w15:paraId="0CAAB292" w15:done="0"/>
  <w15:commentEx w15:paraId="0B913C0C" w15:done="0"/>
  <w15:commentEx w15:paraId="5DB943E4" w15:done="0"/>
  <w15:commentEx w15:paraId="276E7020" w15:done="0"/>
  <w15:commentEx w15:paraId="52D03D7C" w15:done="0"/>
  <w15:commentEx w15:paraId="19D3B14A" w15:done="0"/>
  <w15:commentEx w15:paraId="6945254B" w15:done="0"/>
  <w15:commentEx w15:paraId="1CB49E0B" w15:done="0"/>
  <w15:commentEx w15:paraId="581FBFC5" w15:done="0"/>
  <w15:commentEx w15:paraId="550CD61C" w15:done="0"/>
  <w15:commentEx w15:paraId="687EDF70" w15:done="0"/>
  <w15:commentEx w15:paraId="664EC1C6" w15:done="0"/>
  <w15:commentEx w15:paraId="766CACF5" w15:done="0"/>
  <w15:commentEx w15:paraId="42341FA6" w15:done="0"/>
  <w15:commentEx w15:paraId="64AF0BD4" w15:done="0"/>
  <w15:commentEx w15:paraId="2A65ACC4" w15:done="0"/>
  <w15:commentEx w15:paraId="19A1B27F" w15:done="0"/>
  <w15:commentEx w15:paraId="6B497D10" w15:done="0"/>
  <w15:commentEx w15:paraId="7D4FC139" w15:done="0"/>
  <w15:commentEx w15:paraId="77B4B5FE" w15:done="0"/>
  <w15:commentEx w15:paraId="6AB6CF13" w15:done="0"/>
  <w15:commentEx w15:paraId="02330B36" w15:done="0"/>
  <w15:commentEx w15:paraId="7B41BB07" w15:done="0"/>
  <w15:commentEx w15:paraId="23B10664" w15:done="0"/>
  <w15:commentEx w15:paraId="594EE4B2" w15:done="0"/>
  <w15:commentEx w15:paraId="42A86D9C" w15:done="0"/>
  <w15:commentEx w15:paraId="5281D78E" w15:done="0"/>
  <w15:commentEx w15:paraId="0B06A01D" w15:done="0"/>
  <w15:commentEx w15:paraId="18391F93" w15:done="0"/>
  <w15:commentEx w15:paraId="627D163A" w15:done="0"/>
  <w15:commentEx w15:paraId="73CAA860" w15:done="0"/>
  <w15:commentEx w15:paraId="40AA6E00" w15:done="0"/>
  <w15:commentEx w15:paraId="654ACB0B" w15:done="0"/>
  <w15:commentEx w15:paraId="015C450F" w15:done="0"/>
  <w15:commentEx w15:paraId="4BD1FEAE" w15:done="0"/>
  <w15:commentEx w15:paraId="522435D3" w15:done="0"/>
  <w15:commentEx w15:paraId="5231B213" w15:done="0"/>
  <w15:commentEx w15:paraId="5789553F" w15:done="0"/>
  <w15:commentEx w15:paraId="4A9843A1" w15:done="0"/>
  <w15:commentEx w15:paraId="4E6746FD" w15:done="0"/>
  <w15:commentEx w15:paraId="6B1B2708" w15:done="0"/>
  <w15:commentEx w15:paraId="0BB556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1BB" w:rsidRDefault="00FD41BB" w:rsidP="00057F62">
      <w:pPr>
        <w:spacing w:after="0" w:line="240" w:lineRule="auto"/>
      </w:pPr>
      <w:r>
        <w:separator/>
      </w:r>
    </w:p>
  </w:endnote>
  <w:endnote w:type="continuationSeparator" w:id="0">
    <w:p w:rsidR="00FD41BB" w:rsidRDefault="00FD41BB" w:rsidP="0005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rpid C1">
    <w:altName w:val="Corpid C1"/>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07666B">
    <w:pPr>
      <w:pStyle w:val="Footer"/>
    </w:pPr>
    <w:sdt>
      <w:sdtPr>
        <w:id w:val="266210000"/>
        <w:docPartObj>
          <w:docPartGallery w:val="Page Numbers (Bottom of Page)"/>
          <w:docPartUnique/>
        </w:docPartObj>
      </w:sdtPr>
      <w:sdtEndPr>
        <w:rPr>
          <w:noProof/>
        </w:rPr>
      </w:sdtEndPr>
      <w:sdtContent>
        <w:r w:rsidRPr="00C7310E">
          <w:rPr>
            <w:rStyle w:val="Textbold"/>
          </w:rPr>
          <w:fldChar w:fldCharType="begin"/>
        </w:r>
        <w:r w:rsidRPr="00C7310E">
          <w:rPr>
            <w:rStyle w:val="Textbold"/>
          </w:rPr>
          <w:instrText xml:space="preserve"> PAGE   \* MERGEFORMAT </w:instrText>
        </w:r>
        <w:r w:rsidRPr="00C7310E">
          <w:rPr>
            <w:rStyle w:val="Textbold"/>
          </w:rPr>
          <w:fldChar w:fldCharType="separate"/>
        </w:r>
        <w:r w:rsidR="005B69B5">
          <w:rPr>
            <w:rStyle w:val="Textbold"/>
            <w:noProof/>
          </w:rPr>
          <w:t>vi</w:t>
        </w:r>
        <w:r w:rsidRPr="00C7310E">
          <w:rPr>
            <w:rStyle w:val="Textbold"/>
          </w:rPr>
          <w:fldChar w:fldCharType="end"/>
        </w:r>
      </w:sdtContent>
    </w:sdt>
    <w:r>
      <w:t xml:space="preserve"> |</w:t>
    </w:r>
    <w:r>
      <w:tab/>
      <w:t>Research report: Policy options for Australia’s electricity supply sector</w:t>
    </w:r>
    <w:r>
      <w:rPr>
        <w:noProof/>
      </w:rPr>
      <w:tab/>
    </w:r>
    <w:r>
      <w:rPr>
        <w:noProof/>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D97E76">
    <w:pPr>
      <w:pStyle w:val="Footer"/>
    </w:pPr>
    <w:sdt>
      <w:sdtPr>
        <w:id w:val="1701275959"/>
        <w:docPartObj>
          <w:docPartGallery w:val="Page Numbers (Bottom of Page)"/>
          <w:docPartUnique/>
        </w:docPartObj>
      </w:sdtPr>
      <w:sdtContent>
        <w:r w:rsidRPr="00C7310E">
          <w:rPr>
            <w:rStyle w:val="Textbold"/>
          </w:rPr>
          <w:fldChar w:fldCharType="begin"/>
        </w:r>
        <w:r w:rsidRPr="00C7310E">
          <w:rPr>
            <w:rStyle w:val="Textbold"/>
          </w:rPr>
          <w:instrText xml:space="preserve"> PAGE   \* MERGEFORMAT </w:instrText>
        </w:r>
        <w:r w:rsidRPr="00C7310E">
          <w:rPr>
            <w:rStyle w:val="Textbold"/>
          </w:rPr>
          <w:fldChar w:fldCharType="separate"/>
        </w:r>
        <w:r w:rsidR="005B69B5">
          <w:rPr>
            <w:rStyle w:val="Textbold"/>
            <w:noProof/>
          </w:rPr>
          <w:t>94</w:t>
        </w:r>
        <w:r w:rsidRPr="00C7310E">
          <w:rPr>
            <w:rStyle w:val="Textbold"/>
          </w:rPr>
          <w:fldChar w:fldCharType="end"/>
        </w:r>
      </w:sdtContent>
    </w:sdt>
    <w:r>
      <w:t xml:space="preserve"> |</w:t>
    </w:r>
    <w:r>
      <w:tab/>
      <w:t>Research report: Policy options for Australia’s electricity supply sector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t>Appendix B</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69</w:t>
    </w:r>
    <w:r w:rsidRPr="008B030A">
      <w:rPr>
        <w:rStyle w:val="Textbold"/>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t>Appendix C</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93</w:t>
    </w:r>
    <w:r w:rsidRPr="008B030A">
      <w:rPr>
        <w:rStyle w:val="Textbold"/>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t>Glossary</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99</w:t>
    </w:r>
    <w:r w:rsidRPr="008B030A">
      <w:rPr>
        <w:rStyle w:val="Textbold"/>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t>Abbreviations and acronyms</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103</w:t>
    </w:r>
    <w:r w:rsidRPr="008B030A">
      <w:rPr>
        <w:rStyle w:val="Textbold"/>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t>References</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107</w:t>
    </w:r>
    <w:r w:rsidRPr="008B030A">
      <w:rPr>
        <w:rStyle w:val="Textbol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pPr>
      <w:pStyle w:val="Footer"/>
    </w:pPr>
    <w:sdt>
      <w:sdtPr>
        <w:id w:val="459463472"/>
        <w:docPartObj>
          <w:docPartGallery w:val="Page Numbers (Bottom of Page)"/>
          <w:docPartUnique/>
        </w:docPartObj>
      </w:sdtPr>
      <w:sdtEndPr>
        <w:rPr>
          <w:noProof/>
        </w:rPr>
      </w:sdtEndPr>
      <w:sdtContent>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Pr>
            <w:rStyle w:val="Textbold"/>
            <w:noProof/>
          </w:rPr>
          <w:t>3</w:t>
        </w:r>
        <w:r w:rsidRPr="008B030A">
          <w:rPr>
            <w:rStyle w:val="Textbold"/>
          </w:rPr>
          <w:fldChar w:fldCharType="end"/>
        </w:r>
        <w:r>
          <w:rPr>
            <w:noProof/>
          </w:rPr>
          <w:t xml:space="preserve"> |</w:t>
        </w:r>
      </w:sdtContent>
    </w:sdt>
    <w:r>
      <w:rPr>
        <w:noProof/>
      </w:rPr>
      <w:t xml:space="preserve"> </w:t>
    </w:r>
    <w:r>
      <w:tab/>
    </w:r>
    <w:r>
      <w:rPr>
        <w:noProof/>
      </w:rPr>
      <w:tab/>
    </w:r>
    <w:r>
      <w:fldChar w:fldCharType="begin"/>
    </w:r>
    <w:r>
      <w:instrText xml:space="preserve"> DOCPROPERTY  "CCA Document Type"  \* MERGEFORMAT </w:instrText>
    </w:r>
    <w:r>
      <w:fldChar w:fldCharType="separate"/>
    </w:r>
    <w:r>
      <w:rPr>
        <w:b/>
        <w:bCs/>
        <w:lang w:val="en-US"/>
      </w:rPr>
      <w:t xml:space="preserve">Error! Unknown document property </w:t>
    </w:r>
    <w:proofErr w:type="gramStart"/>
    <w:r>
      <w:rPr>
        <w:b/>
        <w:bCs/>
        <w:lang w:val="en-US"/>
      </w:rPr>
      <w:t>name.</w:t>
    </w:r>
    <w:r>
      <w:fldChar w:fldCharType="end"/>
    </w:r>
    <w:r>
      <w:rPr>
        <w:noProof/>
      </w:rPr>
      <w:t>:</w:t>
    </w:r>
    <w:proofErr w:type="gramEnd"/>
    <w:r>
      <w:rPr>
        <w:noProof/>
      </w:rPr>
      <w:t xml:space="preserve"> </w:t>
    </w:r>
    <w:r>
      <w:fldChar w:fldCharType="begin"/>
    </w:r>
    <w:r>
      <w:instrText xml:space="preserve"> DOCPROPERTY  "CCA Document Title"  \* MERGEFORMAT </w:instrText>
    </w:r>
    <w:r>
      <w:fldChar w:fldCharType="separate"/>
    </w:r>
    <w:r>
      <w:rPr>
        <w:b/>
        <w:bCs/>
        <w:lang w:val="en-US"/>
      </w:rPr>
      <w:t>Error! Unknown document property name.</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24CD3">
    <w:pPr>
      <w:pStyle w:val="Footeroddpage"/>
    </w:pPr>
    <w:r>
      <w:tab/>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v</w:t>
    </w:r>
    <w:r w:rsidRPr="008B030A">
      <w:rPr>
        <w:rStyle w:val="Textbold"/>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D97E76">
    <w:pPr>
      <w:pStyle w:val="Footer"/>
    </w:pPr>
    <w:sdt>
      <w:sdtPr>
        <w:id w:val="-1526632134"/>
        <w:docPartObj>
          <w:docPartGallery w:val="Page Numbers (Bottom of Page)"/>
          <w:docPartUnique/>
        </w:docPartObj>
      </w:sdtPr>
      <w:sdtContent>
        <w:r w:rsidRPr="00C7310E">
          <w:rPr>
            <w:rStyle w:val="Textbold"/>
          </w:rPr>
          <w:fldChar w:fldCharType="begin"/>
        </w:r>
        <w:r w:rsidRPr="00C7310E">
          <w:rPr>
            <w:rStyle w:val="Textbold"/>
          </w:rPr>
          <w:instrText xml:space="preserve"> PAGE   \* MERGEFORMAT </w:instrText>
        </w:r>
        <w:r w:rsidRPr="00C7310E">
          <w:rPr>
            <w:rStyle w:val="Textbold"/>
          </w:rPr>
          <w:fldChar w:fldCharType="separate"/>
        </w:r>
        <w:r w:rsidR="005B69B5">
          <w:rPr>
            <w:rStyle w:val="Textbold"/>
            <w:noProof/>
          </w:rPr>
          <w:t>66</w:t>
        </w:r>
        <w:r w:rsidRPr="00C7310E">
          <w:rPr>
            <w:rStyle w:val="Textbold"/>
          </w:rPr>
          <w:fldChar w:fldCharType="end"/>
        </w:r>
      </w:sdtContent>
    </w:sdt>
    <w:r>
      <w:t xml:space="preserve"> |</w:t>
    </w:r>
    <w:r>
      <w:tab/>
      <w:t>Research report: Policy options for Australia’s electricity supply sector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B6728E" w:rsidRDefault="00FD41BB" w:rsidP="00B6728E">
    <w:pPr>
      <w:pStyle w:val="Footeroddpage"/>
    </w:pPr>
    <w:r>
      <w:tab/>
      <w:t>Chair’s foreward</w:t>
    </w:r>
    <w:r>
      <w:tab/>
      <w:t xml:space="preserve">| </w:t>
    </w:r>
    <w:r>
      <w:rPr>
        <w:rStyle w:val="Textbold"/>
      </w:rPr>
      <w:fldChar w:fldCharType="begin"/>
    </w:r>
    <w:r>
      <w:rPr>
        <w:rStyle w:val="Textbold"/>
      </w:rPr>
      <w:instrText xml:space="preserve"> PAGE  \* roman  \* MERGEFORMAT </w:instrText>
    </w:r>
    <w:r>
      <w:rPr>
        <w:rStyle w:val="Textbold"/>
      </w:rPr>
      <w:fldChar w:fldCharType="separate"/>
    </w:r>
    <w:r w:rsidR="005B69B5">
      <w:rPr>
        <w:rStyle w:val="Textbold"/>
      </w:rPr>
      <w:t>vii</w:t>
    </w:r>
    <w:r>
      <w:rPr>
        <w:rStyle w:val="Textbol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B6728E" w:rsidRDefault="00FD41BB" w:rsidP="00B6728E">
    <w:pPr>
      <w:pStyle w:val="Footeroddpage"/>
    </w:pPr>
    <w:r>
      <w:tab/>
      <w:t>Summary</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11</w:t>
    </w:r>
    <w:r w:rsidRPr="008B030A">
      <w:rPr>
        <w:rStyle w:val="Textbold"/>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B6728E" w:rsidRDefault="00FD41BB" w:rsidP="00B6728E">
    <w:pPr>
      <w:pStyle w:val="Footeroddpage"/>
    </w:pPr>
    <w:r>
      <w:tab/>
    </w:r>
    <w:fldSimple w:instr=" STYLEREF  &quot;Chapter Heading 1&quot;  \* MERGEFORMAT ">
      <w:r w:rsidR="005B69B5">
        <w:t>Should there be additional policies in the sector?</w:t>
      </w:r>
    </w:fldSimple>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65</w:t>
    </w:r>
    <w:r w:rsidRPr="008B030A">
      <w:rPr>
        <w:rStyle w:val="Textbold"/>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B6728E" w:rsidRDefault="00FD41BB" w:rsidP="00B6728E">
    <w:pPr>
      <w:pStyle w:val="Footeroddpage"/>
    </w:pPr>
    <w:r>
      <w:tab/>
      <w:t>Appendix A</w:t>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B69B5">
      <w:rPr>
        <w:rStyle w:val="Textbold"/>
      </w:rPr>
      <w:t>67</w:t>
    </w:r>
    <w:r w:rsidRPr="008B030A">
      <w:rPr>
        <w:rStyle w:val="Textbol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1BB" w:rsidRDefault="00FD41BB" w:rsidP="00057F62">
      <w:pPr>
        <w:spacing w:after="0" w:line="240" w:lineRule="auto"/>
      </w:pPr>
      <w:r>
        <w:separator/>
      </w:r>
    </w:p>
  </w:footnote>
  <w:footnote w:type="continuationSeparator" w:id="0">
    <w:p w:rsidR="00FD41BB" w:rsidRDefault="00FD41BB" w:rsidP="00057F62">
      <w:pPr>
        <w:spacing w:after="0" w:line="240" w:lineRule="auto"/>
      </w:pPr>
      <w:r>
        <w:continuationSeparator/>
      </w:r>
    </w:p>
  </w:footnote>
  <w:footnote w:id="1">
    <w:p w:rsidR="00FD41BB" w:rsidRDefault="00FD41BB">
      <w:pPr>
        <w:pStyle w:val="FootnoteText"/>
      </w:pPr>
      <w:r>
        <w:rPr>
          <w:rStyle w:val="FootnoteReference"/>
        </w:rPr>
        <w:footnoteRef/>
      </w:r>
      <w:r>
        <w:t xml:space="preserve"> Electricity terms, such as generation, are defined in </w:t>
      </w:r>
      <w:r>
        <w:fldChar w:fldCharType="begin"/>
      </w:r>
      <w:r>
        <w:instrText xml:space="preserve"> REF _Ref449692802 \r \h </w:instrText>
      </w:r>
      <w:r>
        <w:fldChar w:fldCharType="separate"/>
      </w:r>
      <w:r>
        <w:t>Box 3</w:t>
      </w:r>
      <w:r>
        <w:fldChar w:fldCharType="end"/>
      </w:r>
      <w:r>
        <w:t xml:space="preserve"> at the end of this chapter and a complete glossary is at the end of the report.</w:t>
      </w:r>
    </w:p>
  </w:footnote>
  <w:footnote w:id="2">
    <w:p w:rsidR="00FD41BB" w:rsidRDefault="00FD41BB">
      <w:pPr>
        <w:pStyle w:val="FootnoteText"/>
      </w:pPr>
      <w:r>
        <w:rPr>
          <w:rStyle w:val="FootnoteReference"/>
        </w:rPr>
        <w:footnoteRef/>
      </w:r>
      <w:r>
        <w:t xml:space="preserve"> ‘Electricity consumption’ and ‘electricity demand’ are used interchangeably in this report.</w:t>
      </w:r>
    </w:p>
  </w:footnote>
  <w:footnote w:id="3">
    <w:p w:rsidR="00FD41BB" w:rsidRDefault="00FD41BB" w:rsidP="00A35522">
      <w:pPr>
        <w:pStyle w:val="FootnoteText"/>
      </w:pPr>
      <w:r>
        <w:rPr>
          <w:rStyle w:val="FootnoteReference"/>
        </w:rPr>
        <w:footnoteRef/>
      </w:r>
      <w:r>
        <w:t xml:space="preserve"> The most recent official projections go to </w:t>
      </w:r>
      <w:proofErr w:type="gramStart"/>
      <w:r w:rsidRPr="00972131">
        <w:t>2020</w:t>
      </w:r>
      <w:r>
        <w:t>,</w:t>
      </w:r>
      <w:proofErr w:type="gramEnd"/>
      <w:r>
        <w:t xml:space="preserve"> the previous (2014–</w:t>
      </w:r>
      <w:r w:rsidRPr="00972131">
        <w:t>15) official projections</w:t>
      </w:r>
      <w:r>
        <w:t xml:space="preserve"> (DoE 2015),</w:t>
      </w:r>
      <w:r w:rsidRPr="00972131">
        <w:t xml:space="preserve"> extended to 2030 and projected emissions from electricity generation wo</w:t>
      </w:r>
      <w:r>
        <w:t xml:space="preserve">uld </w:t>
      </w:r>
      <w:r w:rsidRPr="00972131">
        <w:t xml:space="preserve">grow 11 per cent on 2020 levels over the decade. </w:t>
      </w:r>
    </w:p>
  </w:footnote>
  <w:footnote w:id="4">
    <w:p w:rsidR="00FD41BB" w:rsidRDefault="00FD41BB">
      <w:pPr>
        <w:pStyle w:val="FootnoteText"/>
      </w:pPr>
      <w:r>
        <w:rPr>
          <w:rStyle w:val="FootnoteReference"/>
        </w:rPr>
        <w:footnoteRef/>
      </w:r>
      <w:r>
        <w:t xml:space="preserve"> This weaker action scenario is included merely for the purpose of testing model sensitivity and does not reflect the Authority’s endorsement of a three</w:t>
      </w:r>
      <w:r>
        <w:noBreakHyphen/>
        <w:t>degree temperature increase as a policy objective.</w:t>
      </w:r>
    </w:p>
  </w:footnote>
  <w:footnote w:id="5">
    <w:p w:rsidR="00FD41BB" w:rsidRPr="0031364A" w:rsidRDefault="00FD41BB" w:rsidP="00782052">
      <w:pPr>
        <w:pStyle w:val="FootnoteText"/>
      </w:pPr>
      <w:r w:rsidRPr="0031364A">
        <w:rPr>
          <w:rStyle w:val="FootnoteReference"/>
        </w:rPr>
        <w:footnoteRef/>
      </w:r>
      <w:r w:rsidRPr="0031364A">
        <w:rPr>
          <w:vertAlign w:val="superscript"/>
        </w:rPr>
        <w:t xml:space="preserve"> </w:t>
      </w:r>
      <w:r w:rsidRPr="0031364A">
        <w:t xml:space="preserve">In the </w:t>
      </w:r>
      <w:r>
        <w:t>SWIS, customers who use less than 50 MWh are not ‘contestable’ and are supplied by the government-owned retailer, Synergy.</w:t>
      </w:r>
    </w:p>
  </w:footnote>
  <w:footnote w:id="6">
    <w:p w:rsidR="00FD41BB" w:rsidRDefault="00FD41BB" w:rsidP="00B053FC">
      <w:pPr>
        <w:pStyle w:val="FootnoteText"/>
      </w:pPr>
      <w:r>
        <w:rPr>
          <w:rStyle w:val="FootnoteReference"/>
        </w:rPr>
        <w:footnoteRef/>
      </w:r>
      <w:r>
        <w:t xml:space="preserve"> The AEMC’s national average electricity retail price data is the most detailed and comprehensive Australian data on retail electricity price movements. However, as this data is only available from 2010, estimates from the Consumer Price Index are used to calculate price changes over periods starting before 2010.</w:t>
      </w:r>
    </w:p>
  </w:footnote>
  <w:footnote w:id="7">
    <w:p w:rsidR="00FD41BB" w:rsidRDefault="00FD41BB" w:rsidP="00B053FC">
      <w:pPr>
        <w:pStyle w:val="FootnoteText"/>
      </w:pPr>
      <w:r>
        <w:rPr>
          <w:rStyle w:val="FootnoteReference"/>
        </w:rPr>
        <w:footnoteRef/>
      </w:r>
      <w:r>
        <w:t xml:space="preserve"> After the latest AEMC retail price trends report was published, the Australian Competition Tribunal handed down a decision that the Australian Energy Regulator must revisit its decision on NSW and ACT distributors’ revenue determinations. This revision is likely to lead to higher prices in NSW and the ACT than projected in the AEMC report.</w:t>
      </w:r>
    </w:p>
  </w:footnote>
  <w:footnote w:id="8">
    <w:p w:rsidR="00FD41BB" w:rsidRDefault="00FD41BB" w:rsidP="007B38ED">
      <w:pPr>
        <w:pStyle w:val="FootnoteText"/>
      </w:pPr>
      <w:r>
        <w:rPr>
          <w:rStyle w:val="FootnoteReference"/>
        </w:rPr>
        <w:footnoteRef/>
      </w:r>
      <w:r>
        <w:t xml:space="preserve"> Carbon taxes and cap and trade schemes with full auctioning are very similar in economic models including Jacobs’, so only one policy was modelled. The modelling results are informative for both policies.</w:t>
      </w:r>
    </w:p>
  </w:footnote>
  <w:footnote w:id="9">
    <w:p w:rsidR="00FD41BB" w:rsidRDefault="00FD41BB" w:rsidP="005F575B">
      <w:pPr>
        <w:pStyle w:val="FootnoteText"/>
      </w:pPr>
      <w:r>
        <w:rPr>
          <w:rStyle w:val="FootnoteReference"/>
        </w:rPr>
        <w:footnoteRef/>
      </w:r>
      <w:r>
        <w:t xml:space="preserve"> Other indirect effects can arise, such as through changes in Australia’s terms of trade. However, these are less likely to affect the relative cost effectiveness of policies and so </w:t>
      </w:r>
      <w:proofErr w:type="gramStart"/>
      <w:r>
        <w:t>are not the focus</w:t>
      </w:r>
      <w:proofErr w:type="gramEnd"/>
      <w:r>
        <w:t xml:space="preserve"> here. </w:t>
      </w:r>
    </w:p>
  </w:footnote>
  <w:footnote w:id="10">
    <w:p w:rsidR="00FD41BB" w:rsidRDefault="00FD41BB" w:rsidP="00FF6B73">
      <w:pPr>
        <w:pStyle w:val="FootnoteText"/>
      </w:pPr>
      <w:r>
        <w:rPr>
          <w:rStyle w:val="FootnoteReference"/>
        </w:rPr>
        <w:footnoteRef/>
      </w:r>
      <w:r>
        <w:t xml:space="preserve"> The three</w:t>
      </w:r>
      <w:r>
        <w:noBreakHyphen/>
        <w:t>degree scenario is included merely for the purpose of testing model sensitivity and does not reflect the Authority’s endorsement of a three</w:t>
      </w:r>
      <w:r>
        <w:noBreakHyphen/>
        <w:t>degree temperature increase as a policy objective.</w:t>
      </w:r>
    </w:p>
  </w:footnote>
  <w:footnote w:id="11">
    <w:p w:rsidR="00FD41BB" w:rsidRDefault="00FD41BB" w:rsidP="00FF6B73">
      <w:pPr>
        <w:pStyle w:val="FootnoteText"/>
      </w:pPr>
      <w:r>
        <w:rPr>
          <w:rStyle w:val="FootnoteReference"/>
        </w:rPr>
        <w:footnoteRef/>
      </w:r>
      <w:r>
        <w:t xml:space="preserve"> This figure shows the projected impact of the policy options on electricity prices for residential customers. For industrial customers the relative difference in prices between policies will be the same, but will represent a larger percentage increase than for residential customers because industrial tariffs are lower. Modelled residential retail electricity prices are likely to differ from actual tariffs depending on a range of factors, including a user’s location and consumption volume. The projected change in tariff between a policy scenario and the reference case will broadly reflect the expected nation-wide effects of the policy on residential retail tariffs.</w:t>
      </w:r>
    </w:p>
  </w:footnote>
  <w:footnote w:id="12">
    <w:p w:rsidR="00FD41BB" w:rsidRPr="008E6E0D" w:rsidRDefault="00FD41BB" w:rsidP="00FF6B73">
      <w:pPr>
        <w:pStyle w:val="FootnoteText"/>
      </w:pPr>
      <w:r>
        <w:rPr>
          <w:rStyle w:val="FootnoteReference"/>
        </w:rPr>
        <w:footnoteRef/>
      </w:r>
      <w:r>
        <w:t xml:space="preserve"> The absolute baselines scenario had a sustained price spike during the 2020s as illustrated in both </w:t>
      </w:r>
      <w:r>
        <w:fldChar w:fldCharType="begin"/>
      </w:r>
      <w:r>
        <w:instrText xml:space="preserve"> REF _Ref457840158 \h </w:instrText>
      </w:r>
      <w:r>
        <w:fldChar w:fldCharType="separate"/>
      </w:r>
      <w:r>
        <w:t xml:space="preserve">Figure </w:t>
      </w:r>
      <w:r>
        <w:rPr>
          <w:noProof/>
        </w:rPr>
        <w:t>14</w:t>
      </w:r>
      <w:r>
        <w:fldChar w:fldCharType="end"/>
      </w:r>
      <w:r>
        <w:t xml:space="preserve"> and </w:t>
      </w:r>
      <w:r>
        <w:fldChar w:fldCharType="begin"/>
      </w:r>
      <w:r>
        <w:instrText xml:space="preserve"> REF _Ref457840167 \h </w:instrText>
      </w:r>
      <w:r>
        <w:fldChar w:fldCharType="separate"/>
      </w:r>
      <w:r>
        <w:t xml:space="preserve">Figure </w:t>
      </w:r>
      <w:r>
        <w:rPr>
          <w:noProof/>
        </w:rPr>
        <w:t>15</w:t>
      </w:r>
      <w:r>
        <w:fldChar w:fldCharType="end"/>
      </w:r>
      <w:r>
        <w:t>. Over 2024–2030, new renewables are required to replace the declining output from existing plant. These renewables cause sharp increases in wholesale prices because they have only a short window to recover enough of their fixed costs before lower</w:t>
      </w:r>
      <w:r>
        <w:noBreakHyphen/>
        <w:t>cost technologies (gas CCS and geothermal) can be deployed from 2030. This increase is passed on to consumers in their retail prices.</w:t>
      </w:r>
      <w:r w:rsidRPr="000A7CF4">
        <w:t xml:space="preserve"> </w:t>
      </w:r>
      <w:r>
        <w:t xml:space="preserve">That is, the projected price spike is a function of policy design (declining limits on existing above-average emissions-intensity plants) combined with assumptions about the availability of new technologies and investors’ knowledge of and expectations about future technologies and prices. </w:t>
      </w:r>
    </w:p>
    <w:p w:rsidR="00FD41BB" w:rsidRDefault="00FD41BB" w:rsidP="00FF6B73">
      <w:pPr>
        <w:pStyle w:val="FootnoteText"/>
      </w:pPr>
    </w:p>
    <w:p w:rsidR="00FD41BB" w:rsidRDefault="00FD41BB" w:rsidP="00FF6B73">
      <w:pPr>
        <w:pStyle w:val="FootnoteText"/>
      </w:pPr>
    </w:p>
  </w:footnote>
  <w:footnote w:id="13">
    <w:p w:rsidR="00FD41BB" w:rsidRDefault="00FD41BB" w:rsidP="00FF6B73">
      <w:pPr>
        <w:pStyle w:val="FootnoteText"/>
      </w:pPr>
      <w:r>
        <w:rPr>
          <w:rStyle w:val="FootnoteReference"/>
        </w:rPr>
        <w:footnoteRef/>
      </w:r>
      <w:r>
        <w:t xml:space="preserve"> Gross profit is a concept related to costs, and for a generator is the difference between total revenue less all operating costs.</w:t>
      </w:r>
    </w:p>
  </w:footnote>
  <w:footnote w:id="14">
    <w:p w:rsidR="00FD41BB" w:rsidRDefault="00FD41BB" w:rsidP="009837B6">
      <w:pPr>
        <w:pStyle w:val="FootnoteText"/>
      </w:pPr>
      <w:r>
        <w:rPr>
          <w:rStyle w:val="FootnoteReference"/>
        </w:rPr>
        <w:footnoteRef/>
      </w:r>
      <w:r>
        <w:t xml:space="preserve"> The latest AEMO figures indicate that out of all proposed capacity additions to the NEM over the next 10 years, none will be coal-fired generators (AEMO 2016c, p. 17)</w:t>
      </w:r>
      <w:r w:rsidRPr="00245ACA">
        <w:t>.</w:t>
      </w:r>
      <w:r w:rsidRPr="00DA7466">
        <w:rPr>
          <w:rStyle w:val="FootnoteReference"/>
        </w:rPr>
        <w:t xml:space="preserve"> </w:t>
      </w:r>
      <w:r>
        <w:t>‘Proposed’ includes publically announced and advanced projects only and is a less definite stage than ‘committed’.</w:t>
      </w:r>
    </w:p>
  </w:footnote>
  <w:footnote w:id="15">
    <w:p w:rsidR="00FD41BB" w:rsidRDefault="00FD41BB" w:rsidP="00DF0192">
      <w:pPr>
        <w:pStyle w:val="FootnoteText"/>
      </w:pPr>
      <w:r>
        <w:rPr>
          <w:rStyle w:val="FootnoteReference"/>
        </w:rPr>
        <w:footnoteRef/>
      </w:r>
      <w:r>
        <w:t xml:space="preserve"> In the United States, new coal-fired plants have a performance standard of 1,400 lb CO</w:t>
      </w:r>
      <w:r w:rsidRPr="00842145">
        <w:rPr>
          <w:vertAlign w:val="subscript"/>
        </w:rPr>
        <w:t>2</w:t>
      </w:r>
      <w:r>
        <w:t>/MWh-gross, new baseload gas plants have a performance standard of 1,000 lb CO</w:t>
      </w:r>
      <w:r w:rsidRPr="00842145">
        <w:rPr>
          <w:vertAlign w:val="subscript"/>
        </w:rPr>
        <w:t>2</w:t>
      </w:r>
      <w:r>
        <w:t>/MWh-gross and non-baseload gas plants have a standard of 120 lb CO</w:t>
      </w:r>
      <w:r w:rsidRPr="00842145">
        <w:rPr>
          <w:vertAlign w:val="subscript"/>
        </w:rPr>
        <w:t>2</w:t>
      </w:r>
      <w:r>
        <w:t>/MMBtu.</w:t>
      </w:r>
    </w:p>
  </w:footnote>
  <w:footnote w:id="16">
    <w:p w:rsidR="00FD41BB" w:rsidRDefault="00FD41BB" w:rsidP="00DF0192">
      <w:pPr>
        <w:pStyle w:val="FootnoteText"/>
      </w:pPr>
      <w:r>
        <w:rPr>
          <w:rStyle w:val="FootnoteReference"/>
        </w:rPr>
        <w:footnoteRef/>
      </w:r>
      <w:r>
        <w:t xml:space="preserve"> The others are increased energy efficiency through strengthening and broadening standards, increased investment in renewables, the phase out of fossil fuel subsidies, and reducing fugitive emissions from fossil fuel exploration, transport and production.</w:t>
      </w:r>
    </w:p>
  </w:footnote>
  <w:footnote w:id="17">
    <w:p w:rsidR="00FD41BB" w:rsidRDefault="00FD41BB" w:rsidP="00022F06">
      <w:pPr>
        <w:pStyle w:val="FootnoteText"/>
      </w:pPr>
      <w:r>
        <w:rPr>
          <w:rStyle w:val="FootnoteReference"/>
        </w:rPr>
        <w:footnoteRef/>
      </w:r>
      <w:r>
        <w:t xml:space="preserve"> Examples of second</w:t>
      </w:r>
      <w:r>
        <w:noBreakHyphen/>
        <w:t xml:space="preserve">round or indirect effects include interactions of the policies with the taxation system, the substitution of goods between industries and the movement of workers around the economy. </w:t>
      </w:r>
    </w:p>
  </w:footnote>
  <w:footnote w:id="18">
    <w:p w:rsidR="00FD41BB" w:rsidRPr="00A6551E" w:rsidRDefault="00FD41BB">
      <w:pPr>
        <w:pStyle w:val="FootnoteText"/>
      </w:pPr>
      <w:r>
        <w:rPr>
          <w:rStyle w:val="FootnoteReference"/>
        </w:rPr>
        <w:footnoteRef/>
      </w:r>
      <w:r>
        <w:t xml:space="preserve"> This includes the Australian Capital Territory’s current 100 per cent renewable energy target and supporting auctions, but doesn’t include Victoria’s renewable energy target of 40 per cent by 2025, or Queensland’s renewable energy target of 50 per cent by 2030. </w:t>
      </w:r>
    </w:p>
  </w:footnote>
  <w:footnote w:id="19">
    <w:p w:rsidR="00FD41BB" w:rsidRPr="0071383F" w:rsidRDefault="00FD41BB" w:rsidP="00022F06">
      <w:pPr>
        <w:pStyle w:val="FootnoteText"/>
      </w:pPr>
      <w:r>
        <w:rPr>
          <w:rStyle w:val="FootnoteReference"/>
        </w:rPr>
        <w:footnoteRef/>
      </w:r>
      <w:r>
        <w:t xml:space="preserve"> </w:t>
      </w:r>
      <w:r w:rsidRPr="00947B69">
        <w:t>This scenario is included merely for the purpose of testing model sensitivity and does not reflect the Authority’s endorsement of a three degree temperature increase as a policy objective</w:t>
      </w:r>
      <w:r w:rsidRPr="0071383F">
        <w:t>.</w:t>
      </w:r>
    </w:p>
  </w:footnote>
  <w:footnote w:id="20">
    <w:p w:rsidR="00FD41BB" w:rsidRPr="008E6E0D" w:rsidRDefault="00FD41BB" w:rsidP="00022F06">
      <w:pPr>
        <w:pStyle w:val="FootnoteText"/>
      </w:pPr>
      <w:r w:rsidRPr="00A22669">
        <w:rPr>
          <w:rStyle w:val="FootnoteReference"/>
        </w:rPr>
        <w:footnoteRef/>
      </w:r>
      <w:r>
        <w:t xml:space="preserve"> For this period wholesale prices are projected to be higher than under any other policy. </w:t>
      </w:r>
      <w:proofErr w:type="gramStart"/>
      <w:r>
        <w:t>Over 2024–2030 new renewables are required to replace the declining output from existing plant.</w:t>
      </w:r>
      <w:proofErr w:type="gramEnd"/>
      <w:r>
        <w:t xml:space="preserve"> These renewables cause sharp increases in wholesale prices because they have only a short window to recover enough of their fixed costs before lower-cost technologies (gas CCS and geothermal) can be deployed from 2030. That is, the projected price spike is a function of the modelled policy design (declining limits on existing above-average emissions-intensity plants) combined with assumptions about the availability of new technologies and investors’ knowledge of and expectations about future technologies and prices.</w:t>
      </w:r>
    </w:p>
  </w:footnote>
  <w:footnote w:id="21">
    <w:p w:rsidR="00FD41BB" w:rsidRDefault="00FD41BB" w:rsidP="00022F06">
      <w:pPr>
        <w:pStyle w:val="FootnoteText"/>
      </w:pPr>
      <w:r>
        <w:rPr>
          <w:rStyle w:val="FootnoteReference"/>
        </w:rPr>
        <w:footnoteRef/>
      </w:r>
      <w:r>
        <w:t xml:space="preserve"> This is calculated as the percentage difference between the present value of prices in the policy and reference case. </w:t>
      </w:r>
    </w:p>
  </w:footnote>
  <w:footnote w:id="22">
    <w:p w:rsidR="00FD41BB" w:rsidRDefault="00FD41BB" w:rsidP="00642220">
      <w:pPr>
        <w:pStyle w:val="FootnoteText"/>
      </w:pPr>
      <w:r>
        <w:rPr>
          <w:rStyle w:val="FootnoteReference"/>
        </w:rPr>
        <w:footnoteRef/>
      </w:r>
      <w:r>
        <w:t xml:space="preserve"> Energy users in the Australian Capital Territory are assumed to have the same electricity prices as those in New South Wales. Jacobs did not model the Northern Territory (NT) explicitly; the NT electricity sector was modelled within VURM. Victoria University assumed that all Western Australian users face the electricity prices modelled by Jacobs for the WEM, which in practice only covers the south-western portion of the state. </w:t>
      </w:r>
    </w:p>
  </w:footnote>
  <w:footnote w:id="23">
    <w:p w:rsidR="00FD41BB" w:rsidRDefault="00FD41BB" w:rsidP="00642220">
      <w:pPr>
        <w:pStyle w:val="FootnoteText"/>
      </w:pPr>
      <w:r>
        <w:rPr>
          <w:rStyle w:val="FootnoteReference"/>
        </w:rPr>
        <w:footnoteRef/>
      </w:r>
      <w:r>
        <w:t xml:space="preserve"> Seventy-two economic sectors are modelled in VURM. In this analysis the uranium processing and nuclear waste sectors are ignored because they are extremely small.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00B6F">
    <w:pPr>
      <w:pStyle w:val="Header"/>
    </w:pPr>
    <w:r>
      <w:rPr>
        <w:noProof/>
        <w:lang w:eastAsia="en-AU"/>
      </w:rPr>
      <mc:AlternateContent>
        <mc:Choice Requires="wps">
          <w:drawing>
            <wp:anchor distT="0" distB="0" distL="114300" distR="114300" simplePos="0" relativeHeight="251658752" behindDoc="0" locked="0" layoutInCell="1" allowOverlap="1" wp14:anchorId="722397EC" wp14:editId="5A881CEA">
              <wp:simplePos x="0" y="0"/>
              <wp:positionH relativeFrom="column">
                <wp:posOffset>2351405</wp:posOffset>
              </wp:positionH>
              <wp:positionV relativeFrom="paragraph">
                <wp:posOffset>3478530</wp:posOffset>
              </wp:positionV>
              <wp:extent cx="5531485" cy="5207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5.15pt;margin-top:273.9pt;width:435.55pt;height: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" fillcolor="#00b0f0" stroked="f"/>
          </w:pict>
        </mc:Fallback>
      </mc:AlternateContent>
    </w:r>
    <w:r>
      <w:rPr>
        <w:noProof/>
        <w:lang w:eastAsia="en-AU"/>
      </w:rPr>
      <mc:AlternateContent>
        <mc:Choice Requires="wps">
          <w:drawing>
            <wp:anchor distT="0" distB="0" distL="114300" distR="114300" simplePos="0" relativeHeight="251657728" behindDoc="0" locked="0" layoutInCell="1" allowOverlap="1" wp14:anchorId="32CA114E" wp14:editId="0D069E14">
              <wp:simplePos x="0" y="0"/>
              <wp:positionH relativeFrom="column">
                <wp:posOffset>2157095</wp:posOffset>
              </wp:positionH>
              <wp:positionV relativeFrom="paragraph">
                <wp:posOffset>3478530</wp:posOffset>
              </wp:positionV>
              <wp:extent cx="201295" cy="520700"/>
              <wp:effectExtent l="0" t="0" r="8255" b="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9.85pt;margin-top:273.9pt;width:15.85pt;height: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" fillcolor="#92d050" stroked="f"/>
          </w:pict>
        </mc:Fallback>
      </mc:AlternateContent>
    </w:r>
    <w:r w:rsidRPr="00A64C17">
      <w:rPr>
        <w:noProof/>
        <w:lang w:eastAsia="en-AU"/>
      </w:rPr>
      <w:drawing>
        <wp:anchor distT="0" distB="0" distL="114300" distR="114300" simplePos="0" relativeHeight="251656704" behindDoc="1" locked="0" layoutInCell="1" allowOverlap="1" wp14:anchorId="51EB1658" wp14:editId="42C506D5">
          <wp:simplePos x="0" y="0"/>
          <wp:positionH relativeFrom="column">
            <wp:posOffset>-416560</wp:posOffset>
          </wp:positionH>
          <wp:positionV relativeFrom="paragraph">
            <wp:posOffset>-121285</wp:posOffset>
          </wp:positionV>
          <wp:extent cx="2933700" cy="914400"/>
          <wp:effectExtent l="0" t="0" r="0" b="0"/>
          <wp:wrapNone/>
          <wp:docPr id="11" name="Picture 11"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Pr="00A64C17">
      <w:rPr>
        <w:noProof/>
        <w:lang w:eastAsia="en-AU"/>
      </w:rPr>
      <w:drawing>
        <wp:anchor distT="0" distB="0" distL="114300" distR="114300" simplePos="0" relativeHeight="251655680" behindDoc="1" locked="0" layoutInCell="1" allowOverlap="1" wp14:anchorId="1BA4038E" wp14:editId="7E2920D2">
          <wp:simplePos x="0" y="0"/>
          <wp:positionH relativeFrom="column">
            <wp:posOffset>-2580005</wp:posOffset>
          </wp:positionH>
          <wp:positionV relativeFrom="paragraph">
            <wp:posOffset>4491355</wp:posOffset>
          </wp:positionV>
          <wp:extent cx="9114318" cy="9112102"/>
          <wp:effectExtent l="19050" t="0" r="0" b="0"/>
          <wp:wrapNone/>
          <wp:docPr id="19" name="Picture 1" descr="G:\ASCD\Communications &amp; Public Affairs\Toolbox\6. Tools and Resources\Design\PRINT\Climate Change Authority\ID concepts\Big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CD\Communications &amp; Public Affairs\Toolbox\6. Tools and Resources\Design\PRINT\Climate Change Authority\ID concepts\BigC-01.png"/>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7B6E21">
    <w:pPr>
      <w:pStyle w:val="Header"/>
      <w:jc w:val="left"/>
    </w:pPr>
  </w:p>
  <w:p w:rsidR="00FD41BB" w:rsidRDefault="00FD41BB" w:rsidP="00600B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F21B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F21B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rsidP="00600B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1344B4" w:rsidRDefault="00FD41BB" w:rsidP="001344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Pr="001344B4" w:rsidRDefault="00FD41BB" w:rsidP="001344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BB" w:rsidRDefault="00FD41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8C66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38A7D66"/>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A944135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A0E0194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4CE7214"/>
    <w:multiLevelType w:val="multilevel"/>
    <w:tmpl w:val="904AEB3A"/>
    <w:numStyleLink w:val="TableListNumbermaster"/>
  </w:abstractNum>
  <w:abstractNum w:abstractNumId="5">
    <w:nsid w:val="0BDD4E8D"/>
    <w:multiLevelType w:val="hybridMultilevel"/>
    <w:tmpl w:val="CF06B8A6"/>
    <w:lvl w:ilvl="0" w:tplc="3BD499DC">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EC54C96"/>
    <w:multiLevelType w:val="multilevel"/>
    <w:tmpl w:val="E8D621D4"/>
    <w:numStyleLink w:val="AppendixHeadingmaster"/>
  </w:abstractNum>
  <w:abstractNum w:abstractNumId="7">
    <w:nsid w:val="0F167765"/>
    <w:multiLevelType w:val="multilevel"/>
    <w:tmpl w:val="E8D621D4"/>
    <w:styleLink w:val="AppendixHeadingmaster"/>
    <w:lvl w:ilvl="0">
      <w:start w:val="1"/>
      <w:numFmt w:val="upperLetter"/>
      <w:pStyle w:val="AppendixHeading1"/>
      <w:lvlText w:val="Appendix %1"/>
      <w:lvlJc w:val="left"/>
      <w:pPr>
        <w:ind w:left="360" w:hanging="360"/>
      </w:pPr>
      <w:rPr>
        <w:rFonts w:ascii="Arial" w:hAnsi="Arial" w:hint="default"/>
        <w:color w:val="0C9FCD"/>
        <w:sz w:val="40"/>
      </w:rPr>
    </w:lvl>
    <w:lvl w:ilvl="1">
      <w:start w:val="1"/>
      <w:numFmt w:val="decimal"/>
      <w:pStyle w:val="AppendixHeading2"/>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5476DF0"/>
    <w:multiLevelType w:val="multilevel"/>
    <w:tmpl w:val="3BEA0C4A"/>
    <w:styleLink w:val="ListQuestionsMaster"/>
    <w:lvl w:ilvl="0">
      <w:start w:val="1"/>
      <w:numFmt w:val="decimal"/>
      <w:pStyle w:val="ListQuestions"/>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nsid w:val="19F46322"/>
    <w:multiLevelType w:val="hybridMultilevel"/>
    <w:tmpl w:val="D3F4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753D77"/>
    <w:multiLevelType w:val="multilevel"/>
    <w:tmpl w:val="B3403CCA"/>
    <w:styleLink w:val="Headingsmaster"/>
    <w:lvl w:ilvl="0">
      <w:start w:val="1"/>
      <w:numFmt w:val="decimal"/>
      <w:pStyle w:val="Heading1"/>
      <w:lvlText w:val="%1."/>
      <w:lvlJc w:val="left"/>
      <w:pPr>
        <w:tabs>
          <w:tab w:val="num" w:pos="2268"/>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B4E35A7"/>
    <w:multiLevelType w:val="hybridMultilevel"/>
    <w:tmpl w:val="2D8C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7F1302"/>
    <w:multiLevelType w:val="hybridMultilevel"/>
    <w:tmpl w:val="E0C0A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0C9FCD"/>
      </w:rPr>
    </w:lvl>
    <w:lvl w:ilvl="1">
      <w:start w:val="1"/>
      <w:numFmt w:val="lowerLetter"/>
      <w:pStyle w:val="TableListNumber2"/>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6">
    <w:nsid w:val="2D5F56CD"/>
    <w:multiLevelType w:val="hybridMultilevel"/>
    <w:tmpl w:val="DC1226B6"/>
    <w:lvl w:ilvl="0" w:tplc="03EA6778">
      <w:start w:val="1"/>
      <w:numFmt w:val="decimal"/>
      <w:lvlText w:val="%1."/>
      <w:lvlJc w:val="left"/>
      <w:pPr>
        <w:ind w:left="530" w:hanging="360"/>
      </w:pPr>
      <w:rPr>
        <w:rFonts w:ascii="Arial" w:hAnsi="Arial" w:hint="default"/>
        <w:b w:val="0"/>
        <w:bCs w:val="0"/>
        <w:i w:val="0"/>
        <w:iCs w:val="0"/>
        <w:color w:val="797B7E" w:themeColor="accent1"/>
        <w:sz w:val="18"/>
        <w:szCs w:val="18"/>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7">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0C9FCD"/>
        <w:sz w:val="20"/>
      </w:rPr>
    </w:lvl>
    <w:lvl w:ilvl="1">
      <w:start w:val="1"/>
      <w:numFmt w:val="lowerLetter"/>
      <w:pStyle w:val="ListNumber2"/>
      <w:lvlText w:val="%2."/>
      <w:lvlJc w:val="left"/>
      <w:pPr>
        <w:ind w:left="720" w:hanging="360"/>
      </w:pPr>
      <w:rPr>
        <w:rFonts w:ascii="Arial" w:hAnsi="Arial" w:hint="default"/>
        <w:color w:val="0C9FCD"/>
        <w:sz w:val="20"/>
      </w:rPr>
    </w:lvl>
    <w:lvl w:ilvl="2">
      <w:start w:val="1"/>
      <w:numFmt w:val="lowerRoman"/>
      <w:pStyle w:val="ListNumber3"/>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0E923D8"/>
    <w:multiLevelType w:val="multilevel"/>
    <w:tmpl w:val="28665CE4"/>
    <w:lvl w:ilvl="0">
      <w:start w:val="1"/>
      <w:numFmt w:val="upperLetter"/>
      <w:pStyle w:val="AttachmentTitle"/>
      <w:lvlText w:val="Attachment %1: "/>
      <w:lvlJc w:val="left"/>
      <w:pPr>
        <w:ind w:left="360" w:hanging="360"/>
      </w:pPr>
      <w:rPr>
        <w:rFonts w:hint="default"/>
      </w:rPr>
    </w:lvl>
    <w:lvl w:ilvl="1">
      <w:start w:val="1"/>
      <w:numFmt w:val="decimal"/>
      <w:pStyle w:val="AttachmentHeading1"/>
      <w:lvlText w:val="%1.%2"/>
      <w:lvlJc w:val="left"/>
      <w:pPr>
        <w:tabs>
          <w:tab w:val="num" w:pos="-144"/>
        </w:tabs>
        <w:ind w:left="-144" w:hanging="576"/>
      </w:pPr>
      <w:rPr>
        <w:rFonts w:hint="default"/>
      </w:rPr>
    </w:lvl>
    <w:lvl w:ilvl="2">
      <w:start w:val="1"/>
      <w:numFmt w:val="decimal"/>
      <w:pStyle w:val="AttachmentHeading2"/>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9">
    <w:nsid w:val="33C7109E"/>
    <w:multiLevelType w:val="hybridMultilevel"/>
    <w:tmpl w:val="58341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693B66"/>
    <w:multiLevelType w:val="hybridMultilevel"/>
    <w:tmpl w:val="F800AA58"/>
    <w:lvl w:ilvl="0" w:tplc="02E2D320">
      <w:start w:val="5"/>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1">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CA3F89"/>
    <w:multiLevelType w:val="multilevel"/>
    <w:tmpl w:val="AA4479C8"/>
    <w:numStyleLink w:val="TableListBulletmaster"/>
  </w:abstractNum>
  <w:abstractNum w:abstractNumId="23">
    <w:nsid w:val="43C474DC"/>
    <w:multiLevelType w:val="multilevel"/>
    <w:tmpl w:val="279AC07C"/>
    <w:styleLink w:val="ChapterHeadingsmaster"/>
    <w:lvl w:ilvl="0">
      <w:start w:val="1"/>
      <w:numFmt w:val="decimal"/>
      <w:pStyle w:val="ChapterHeading1"/>
      <w:lvlText w:val="Chapter %1."/>
      <w:lvlJc w:val="left"/>
      <w:pPr>
        <w:ind w:left="2268" w:hanging="2268"/>
      </w:pPr>
      <w:rPr>
        <w:rFonts w:hint="default"/>
      </w:rPr>
    </w:lvl>
    <w:lvl w:ilvl="1">
      <w:start w:val="1"/>
      <w:numFmt w:val="decimal"/>
      <w:pStyle w:val="ChapterHeading2"/>
      <w:lvlText w:val="%1.%2."/>
      <w:lvlJc w:val="left"/>
      <w:pPr>
        <w:ind w:left="1021" w:hanging="1021"/>
      </w:pPr>
      <w:rPr>
        <w:rFonts w:hint="default"/>
      </w:rPr>
    </w:lvl>
    <w:lvl w:ilvl="2">
      <w:start w:val="1"/>
      <w:numFmt w:val="decimal"/>
      <w:pStyle w:val="ChapterHeading3"/>
      <w:lvlText w:val="%1.%2.%3."/>
      <w:lvlJc w:val="left"/>
      <w:pPr>
        <w:ind w:left="1021" w:hanging="1021"/>
      </w:pPr>
      <w:rPr>
        <w:rFonts w:hint="default"/>
      </w:rPr>
    </w:lvl>
    <w:lvl w:ilvl="3">
      <w:start w:val="1"/>
      <w:numFmt w:val="none"/>
      <w:pStyle w:val="ChapterHeading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5DE26A4"/>
    <w:multiLevelType w:val="hybridMultilevel"/>
    <w:tmpl w:val="37844EB2"/>
    <w:lvl w:ilvl="0" w:tplc="0C090001">
      <w:start w:val="1"/>
      <w:numFmt w:val="bullet"/>
      <w:lvlText w:val=""/>
      <w:lvlJc w:val="left"/>
      <w:pPr>
        <w:ind w:left="720" w:hanging="360"/>
      </w:pPr>
      <w:rPr>
        <w:rFonts w:ascii="Symbol" w:hAnsi="Symbol" w:hint="default"/>
      </w:rPr>
    </w:lvl>
    <w:lvl w:ilvl="1" w:tplc="6E78649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E07574"/>
    <w:multiLevelType w:val="hybridMultilevel"/>
    <w:tmpl w:val="71707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B82017A"/>
    <w:multiLevelType w:val="hybridMultilevel"/>
    <w:tmpl w:val="73286388"/>
    <w:lvl w:ilvl="0" w:tplc="74AA231C">
      <w:numFmt w:val="bullet"/>
      <w:lvlText w:val="-"/>
      <w:lvlJc w:val="left"/>
      <w:pPr>
        <w:ind w:left="720" w:hanging="360"/>
      </w:pPr>
      <w:rPr>
        <w:rFonts w:ascii="Arial" w:eastAsiaTheme="minorHAnsi"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703B5A"/>
    <w:multiLevelType w:val="multilevel"/>
    <w:tmpl w:val="28F46D40"/>
    <w:numStyleLink w:val="ListNumbermaster"/>
  </w:abstractNum>
  <w:abstractNum w:abstractNumId="28">
    <w:nsid w:val="536C1756"/>
    <w:multiLevelType w:val="hybridMultilevel"/>
    <w:tmpl w:val="1702F2CE"/>
    <w:lvl w:ilvl="0" w:tplc="542C8D62">
      <w:start w:val="1"/>
      <w:numFmt w:val="decimal"/>
      <w:pStyle w:val="Conclusion"/>
      <w:lvlText w:val="C %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6BA5561"/>
    <w:multiLevelType w:val="hybridMultilevel"/>
    <w:tmpl w:val="47F85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2D211C"/>
    <w:multiLevelType w:val="multilevel"/>
    <w:tmpl w:val="9AB6D666"/>
    <w:styleLink w:val="Style1"/>
    <w:lvl w:ilvl="0">
      <w:start w:val="1"/>
      <w:numFmt w:val="bullet"/>
      <w:pStyle w:val="Bulletlist0"/>
      <w:lvlText w:val=""/>
      <w:lvlJc w:val="left"/>
      <w:pPr>
        <w:ind w:left="340" w:hanging="340"/>
      </w:pPr>
      <w:rPr>
        <w:rFonts w:ascii="Symbol" w:hAnsi="Symbol" w:hint="default"/>
        <w:b w:val="0"/>
        <w:i w:val="0"/>
        <w:color w:val="F96A1B" w:themeColor="accent2"/>
        <w:sz w:val="20"/>
      </w:rPr>
    </w:lvl>
    <w:lvl w:ilvl="1">
      <w:start w:val="1"/>
      <w:numFmt w:val="bullet"/>
      <w:lvlText w:val="&gt;"/>
      <w:lvlJc w:val="left"/>
      <w:pPr>
        <w:ind w:left="680" w:hanging="340"/>
      </w:pPr>
      <w:rPr>
        <w:rFonts w:ascii="Century Gothic" w:hAnsi="Century Gothic" w:hint="default"/>
        <w:color w:val="5ACDF9" w:themeColor="accent3" w:themeTint="99"/>
        <w:sz w:val="20"/>
      </w:rPr>
    </w:lvl>
    <w:lvl w:ilvl="2">
      <w:start w:val="1"/>
      <w:numFmt w:val="bullet"/>
      <w:lvlText w:val=""/>
      <w:lvlJc w:val="left"/>
      <w:pPr>
        <w:ind w:left="1020" w:hanging="340"/>
      </w:pPr>
      <w:rPr>
        <w:rFonts w:ascii="Wingdings" w:hAnsi="Wingdings" w:hint="default"/>
        <w:color w:val="5ACDF9" w:themeColor="accent3" w:themeTint="99"/>
        <w:sz w:val="20"/>
      </w:rPr>
    </w:lvl>
    <w:lvl w:ilvl="3">
      <w:start w:val="1"/>
      <w:numFmt w:val="bullet"/>
      <w:lvlText w:val=""/>
      <w:lvlJc w:val="left"/>
      <w:pPr>
        <w:ind w:left="1360" w:hanging="340"/>
      </w:pPr>
      <w:rPr>
        <w:rFonts w:ascii="Symbol" w:hAnsi="Symbol" w:hint="default"/>
        <w:color w:val="5ACDF9" w:themeColor="accent3" w:themeTint="99"/>
      </w:rPr>
    </w:lvl>
    <w:lvl w:ilvl="4">
      <w:start w:val="1"/>
      <w:numFmt w:val="bullet"/>
      <w:lvlText w:val="–"/>
      <w:lvlJc w:val="left"/>
      <w:pPr>
        <w:ind w:left="1700" w:hanging="340"/>
      </w:pPr>
      <w:rPr>
        <w:rFonts w:ascii="Century Gothic" w:hAnsi="Century Gothic" w:hint="default"/>
        <w:color w:val="5ACDF9" w:themeColor="accent3" w:themeTint="99"/>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1">
    <w:nsid w:val="57A51FC2"/>
    <w:multiLevelType w:val="multilevel"/>
    <w:tmpl w:val="AA4479C8"/>
    <w:styleLink w:val="TableListBulletmaster"/>
    <w:lvl w:ilvl="0">
      <w:start w:val="1"/>
      <w:numFmt w:val="bullet"/>
      <w:pStyle w:val="TableListBullet"/>
      <w:lvlText w:val=""/>
      <w:lvlJc w:val="left"/>
      <w:pPr>
        <w:ind w:left="340" w:hanging="283"/>
      </w:pPr>
      <w:rPr>
        <w:rFonts w:ascii="Symbol" w:hAnsi="Symbol" w:hint="default"/>
        <w:color w:val="0C9FCD"/>
      </w:rPr>
    </w:lvl>
    <w:lvl w:ilvl="1">
      <w:start w:val="1"/>
      <w:numFmt w:val="bullet"/>
      <w:pStyle w:val="TableListBullet2"/>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48E6CBA"/>
    <w:multiLevelType w:val="multilevel"/>
    <w:tmpl w:val="A0042134"/>
    <w:styleLink w:val="ListBulletmaster"/>
    <w:lvl w:ilvl="0">
      <w:start w:val="1"/>
      <w:numFmt w:val="bullet"/>
      <w:pStyle w:val="ListBullet"/>
      <w:lvlText w:val=""/>
      <w:lvlJc w:val="left"/>
      <w:pPr>
        <w:tabs>
          <w:tab w:val="num" w:pos="360"/>
        </w:tabs>
        <w:ind w:left="360" w:hanging="360"/>
      </w:pPr>
      <w:rPr>
        <w:rFonts w:ascii="Symbol" w:hAnsi="Symbol" w:hint="default"/>
        <w:color w:val="0C9FCD"/>
      </w:rPr>
    </w:lvl>
    <w:lvl w:ilvl="1">
      <w:start w:val="1"/>
      <w:numFmt w:val="bullet"/>
      <w:pStyle w:val="ListBullet2"/>
      <w:lvlText w:val=""/>
      <w:lvlJc w:val="left"/>
      <w:pPr>
        <w:ind w:left="714" w:hanging="357"/>
      </w:pPr>
      <w:rPr>
        <w:rFonts w:ascii="Symbol" w:hAnsi="Symbol" w:hint="default"/>
        <w:color w:val="0C9FCD"/>
      </w:rPr>
    </w:lvl>
    <w:lvl w:ilvl="2">
      <w:start w:val="1"/>
      <w:numFmt w:val="bullet"/>
      <w:pStyle w:val="ListBullet3"/>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4FB2ED5"/>
    <w:multiLevelType w:val="multilevel"/>
    <w:tmpl w:val="4CB64BC8"/>
    <w:lvl w:ilvl="0">
      <w:start w:val="1"/>
      <w:numFmt w:val="decimal"/>
      <w:pStyle w:val="Headingnumberedbox"/>
      <w:lvlText w:val="Box %1"/>
      <w:lvlJc w:val="left"/>
      <w:pPr>
        <w:tabs>
          <w:tab w:val="num" w:pos="851"/>
        </w:tabs>
        <w:ind w:left="851" w:hanging="851"/>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7173889"/>
    <w:multiLevelType w:val="hybridMultilevel"/>
    <w:tmpl w:val="5F04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741FA9"/>
    <w:multiLevelType w:val="hybridMultilevel"/>
    <w:tmpl w:val="B728E8B6"/>
    <w:lvl w:ilvl="0" w:tplc="0C090001">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7">
    <w:nsid w:val="6D7E55F5"/>
    <w:multiLevelType w:val="hybridMultilevel"/>
    <w:tmpl w:val="C56654BC"/>
    <w:lvl w:ilvl="0" w:tplc="123E37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9">
    <w:nsid w:val="73E444AE"/>
    <w:multiLevelType w:val="hybridMultilevel"/>
    <w:tmpl w:val="F70E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E8631E"/>
    <w:multiLevelType w:val="multilevel"/>
    <w:tmpl w:val="3BEA0C4A"/>
    <w:numStyleLink w:val="ListQuestionsMaster"/>
  </w:abstractNum>
  <w:abstractNum w:abstractNumId="41">
    <w:nsid w:val="78CD1E29"/>
    <w:multiLevelType w:val="multilevel"/>
    <w:tmpl w:val="8266E9DA"/>
    <w:numStyleLink w:val="ListRecommendationsMaster"/>
  </w:abstractNum>
  <w:num w:numId="1">
    <w:abstractNumId w:val="33"/>
  </w:num>
  <w:num w:numId="2">
    <w:abstractNumId w:val="17"/>
  </w:num>
  <w:num w:numId="3">
    <w:abstractNumId w:val="31"/>
  </w:num>
  <w:num w:numId="4">
    <w:abstractNumId w:val="14"/>
  </w:num>
  <w:num w:numId="5">
    <w:abstractNumId w:val="34"/>
  </w:num>
  <w:num w:numId="6">
    <w:abstractNumId w:val="7"/>
  </w:num>
  <w:num w:numId="7">
    <w:abstractNumId w:val="11"/>
  </w:num>
  <w:num w:numId="8">
    <w:abstractNumId w:val="27"/>
  </w:num>
  <w:num w:numId="9">
    <w:abstractNumId w:val="22"/>
  </w:num>
  <w:num w:numId="10">
    <w:abstractNumId w:val="4"/>
  </w:num>
  <w:num w:numId="11">
    <w:abstractNumId w:val="38"/>
  </w:num>
  <w:num w:numId="12">
    <w:abstractNumId w:val="8"/>
  </w:num>
  <w:num w:numId="13">
    <w:abstractNumId w:val="41"/>
    <w:lvlOverride w:ilvl="0">
      <w:lvl w:ilvl="0">
        <w:start w:val="1"/>
        <w:numFmt w:val="decimal"/>
        <w:pStyle w:val="ListRecommendations"/>
        <w:lvlText w:val="R.%1."/>
        <w:lvlJc w:val="left"/>
        <w:pPr>
          <w:ind w:left="714" w:hanging="714"/>
        </w:pPr>
        <w:rPr>
          <w:rFonts w:hint="default"/>
        </w:rPr>
      </w:lvl>
    </w:lvlOverride>
  </w:num>
  <w:num w:numId="14">
    <w:abstractNumId w:val="40"/>
  </w:num>
  <w:num w:numId="15">
    <w:abstractNumId w:val="23"/>
    <w:lvlOverride w:ilvl="1">
      <w:lvl w:ilvl="1">
        <w:start w:val="1"/>
        <w:numFmt w:val="decimal"/>
        <w:pStyle w:val="ChapterHeading2"/>
        <w:lvlText w:val="%1.%2."/>
        <w:lvlJc w:val="left"/>
        <w:pPr>
          <w:ind w:left="1021" w:hanging="1021"/>
        </w:pPr>
        <w:rPr>
          <w:rFonts w:hint="default"/>
          <w:b w:val="0"/>
        </w:rPr>
      </w:lvl>
    </w:lvlOverride>
  </w:num>
  <w:num w:numId="16">
    <w:abstractNumId w:val="23"/>
    <w:lvlOverride w:ilvl="0">
      <w:lvl w:ilvl="0">
        <w:start w:val="1"/>
        <w:numFmt w:val="decimal"/>
        <w:pStyle w:val="ChapterHeading1"/>
        <w:lvlText w:val="Chapter %1."/>
        <w:lvlJc w:val="left"/>
        <w:pPr>
          <w:ind w:left="2268" w:hanging="2268"/>
        </w:pPr>
        <w:rPr>
          <w:rFonts w:hint="default"/>
        </w:rPr>
      </w:lvl>
    </w:lvlOverride>
  </w:num>
  <w:num w:numId="17">
    <w:abstractNumId w:val="32"/>
  </w:num>
  <w:num w:numId="18">
    <w:abstractNumId w:val="11"/>
  </w:num>
  <w:num w:numId="19">
    <w:abstractNumId w:val="28"/>
  </w:num>
  <w:num w:numId="20">
    <w:abstractNumId w:val="21"/>
  </w:num>
  <w:num w:numId="21">
    <w:abstractNumId w:val="15"/>
  </w:num>
  <w:num w:numId="22">
    <w:abstractNumId w:val="5"/>
  </w:num>
  <w:num w:numId="23">
    <w:abstractNumId w:val="9"/>
  </w:num>
  <w:num w:numId="24">
    <w:abstractNumId w:val="30"/>
  </w:num>
  <w:num w:numId="25">
    <w:abstractNumId w:val="18"/>
  </w:num>
  <w:num w:numId="26">
    <w:abstractNumId w:val="33"/>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9"/>
  </w:num>
  <w:num w:numId="35">
    <w:abstractNumId w:val="35"/>
  </w:num>
  <w:num w:numId="36">
    <w:abstractNumId w:val="39"/>
  </w:num>
  <w:num w:numId="37">
    <w:abstractNumId w:val="24"/>
  </w:num>
  <w:num w:numId="38">
    <w:abstractNumId w:val="29"/>
  </w:num>
  <w:num w:numId="39">
    <w:abstractNumId w:val="6"/>
    <w:lvlOverride w:ilvl="0">
      <w:lvl w:ilvl="0">
        <w:start w:val="1"/>
        <w:numFmt w:val="upperLetter"/>
        <w:pStyle w:val="AppendixHeading1"/>
        <w:lvlText w:val="Appendix %1"/>
        <w:lvlJc w:val="left"/>
        <w:pPr>
          <w:ind w:left="360" w:hanging="360"/>
        </w:pPr>
        <w:rPr>
          <w:rFonts w:ascii="Arial" w:hAnsi="Arial" w:hint="default"/>
          <w:color w:val="0C9FCD"/>
          <w:sz w:val="40"/>
        </w:rPr>
      </w:lvl>
    </w:lvlOverride>
    <w:lvlOverride w:ilvl="1">
      <w:lvl w:ilvl="1">
        <w:start w:val="1"/>
        <w:numFmt w:val="decimal"/>
        <w:pStyle w:val="AppendixHeading2"/>
        <w:lvlText w:val="Appendix %1.%2"/>
        <w:lvlJc w:val="left"/>
        <w:pPr>
          <w:ind w:left="357" w:hanging="357"/>
        </w:pPr>
        <w:rPr>
          <w:rFonts w:hint="default"/>
        </w:rPr>
      </w:lvl>
    </w:lvlOverride>
    <w:lvlOverride w:ilvl="2">
      <w:lvl w:ilvl="2">
        <w:start w:val="1"/>
        <w:numFmt w:val="none"/>
        <w:lvlText w:val="%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12"/>
  </w:num>
  <w:num w:numId="41">
    <w:abstractNumId w:val="6"/>
  </w:num>
  <w:num w:numId="42">
    <w:abstractNumId w:val="13"/>
  </w:num>
  <w:num w:numId="43">
    <w:abstractNumId w:val="25"/>
  </w:num>
  <w:num w:numId="44">
    <w:abstractNumId w:val="10"/>
  </w:num>
  <w:num w:numId="45">
    <w:abstractNumId w:val="20"/>
  </w:num>
  <w:num w:numId="46">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37"/>
  </w:num>
  <w:num w:numId="50">
    <w:abstractNumId w:val="41"/>
    <w:lvlOverride w:ilvl="0">
      <w:lvl w:ilvl="0">
        <w:start w:val="1"/>
        <w:numFmt w:val="decimal"/>
        <w:pStyle w:val="ListRecommendations"/>
        <w:lvlText w:val="R.%1."/>
        <w:lvlJc w:val="left"/>
        <w:pPr>
          <w:ind w:left="714" w:hanging="714"/>
        </w:pPr>
        <w:rPr>
          <w:rFonts w:hint="default"/>
        </w:rPr>
      </w:lvl>
    </w:lvlOverride>
  </w:num>
  <w:num w:numId="51">
    <w:abstractNumId w:val="41"/>
    <w:lvlOverride w:ilvl="0">
      <w:lvl w:ilvl="0">
        <w:start w:val="1"/>
        <w:numFmt w:val="decimal"/>
        <w:pStyle w:val="ListRecommendations"/>
        <w:lvlText w:val="R.%1."/>
        <w:lvlJc w:val="left"/>
        <w:pPr>
          <w:ind w:left="714" w:hanging="714"/>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357" w:hanging="357"/>
        </w:pPr>
        <w:rPr>
          <w:rFonts w:hint="default"/>
        </w:rPr>
      </w:lvl>
    </w:lvlOverride>
    <w:lvlOverride w:ilvl="3">
      <w:lvl w:ilvl="3">
        <w:start w:val="1"/>
        <w:numFmt w:val="decimal"/>
        <w:lvlText w:val="%4."/>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righ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right"/>
        <w:pPr>
          <w:ind w:left="357" w:hanging="357"/>
        </w:pPr>
        <w:rPr>
          <w:rFonts w:hint="default"/>
        </w:rPr>
      </w:lvl>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33"/>
  </w:num>
  <w:num w:numId="55">
    <w:abstractNumId w:val="26"/>
  </w:num>
  <w:num w:numId="56">
    <w:abstractNumId w:val="33"/>
  </w:num>
  <w:num w:numId="57">
    <w:abstractNumId w:val="33"/>
  </w:num>
  <w:num w:numId="58">
    <w:abstractNumId w:val="3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ryn Smith">
    <w15:presenceInfo w15:providerId="Windows Live" w15:userId="6be37a7061262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2DC"/>
    <w:rsid w:val="000002DE"/>
    <w:rsid w:val="00001C04"/>
    <w:rsid w:val="000034D0"/>
    <w:rsid w:val="000037B5"/>
    <w:rsid w:val="00004672"/>
    <w:rsid w:val="00004B82"/>
    <w:rsid w:val="00005D9B"/>
    <w:rsid w:val="000060A6"/>
    <w:rsid w:val="000066CB"/>
    <w:rsid w:val="0000676D"/>
    <w:rsid w:val="000076EB"/>
    <w:rsid w:val="0001176C"/>
    <w:rsid w:val="0001178D"/>
    <w:rsid w:val="00011F9D"/>
    <w:rsid w:val="000125B3"/>
    <w:rsid w:val="00013225"/>
    <w:rsid w:val="00013EA8"/>
    <w:rsid w:val="00014FB2"/>
    <w:rsid w:val="00015510"/>
    <w:rsid w:val="00015878"/>
    <w:rsid w:val="00017425"/>
    <w:rsid w:val="000229F6"/>
    <w:rsid w:val="00022B76"/>
    <w:rsid w:val="00022F06"/>
    <w:rsid w:val="00025198"/>
    <w:rsid w:val="00027E2D"/>
    <w:rsid w:val="00030847"/>
    <w:rsid w:val="00031440"/>
    <w:rsid w:val="00031ED1"/>
    <w:rsid w:val="00034A98"/>
    <w:rsid w:val="00035F80"/>
    <w:rsid w:val="0003624E"/>
    <w:rsid w:val="00036425"/>
    <w:rsid w:val="000371A1"/>
    <w:rsid w:val="00040841"/>
    <w:rsid w:val="00040C19"/>
    <w:rsid w:val="00041136"/>
    <w:rsid w:val="00041560"/>
    <w:rsid w:val="00041C8B"/>
    <w:rsid w:val="0004281D"/>
    <w:rsid w:val="00043310"/>
    <w:rsid w:val="000437CC"/>
    <w:rsid w:val="00043E38"/>
    <w:rsid w:val="00047B12"/>
    <w:rsid w:val="00050917"/>
    <w:rsid w:val="0005187A"/>
    <w:rsid w:val="0005256A"/>
    <w:rsid w:val="00053BA4"/>
    <w:rsid w:val="00053BDE"/>
    <w:rsid w:val="00054B90"/>
    <w:rsid w:val="00055115"/>
    <w:rsid w:val="00055B65"/>
    <w:rsid w:val="00055F0D"/>
    <w:rsid w:val="000564CD"/>
    <w:rsid w:val="00056698"/>
    <w:rsid w:val="00057F62"/>
    <w:rsid w:val="00062F0B"/>
    <w:rsid w:val="00063493"/>
    <w:rsid w:val="000635B0"/>
    <w:rsid w:val="000641EE"/>
    <w:rsid w:val="00064C0C"/>
    <w:rsid w:val="00066932"/>
    <w:rsid w:val="00066C25"/>
    <w:rsid w:val="00070890"/>
    <w:rsid w:val="00071C91"/>
    <w:rsid w:val="0007212F"/>
    <w:rsid w:val="00074020"/>
    <w:rsid w:val="00075061"/>
    <w:rsid w:val="0007527F"/>
    <w:rsid w:val="0007657E"/>
    <w:rsid w:val="0007666B"/>
    <w:rsid w:val="00076D7A"/>
    <w:rsid w:val="000777F2"/>
    <w:rsid w:val="0007782E"/>
    <w:rsid w:val="000778EF"/>
    <w:rsid w:val="0007799D"/>
    <w:rsid w:val="000809E3"/>
    <w:rsid w:val="00082B1A"/>
    <w:rsid w:val="0008322D"/>
    <w:rsid w:val="00085F0A"/>
    <w:rsid w:val="0008605B"/>
    <w:rsid w:val="00087B44"/>
    <w:rsid w:val="00090C53"/>
    <w:rsid w:val="000922AA"/>
    <w:rsid w:val="00093021"/>
    <w:rsid w:val="00093139"/>
    <w:rsid w:val="000946AA"/>
    <w:rsid w:val="00094E7D"/>
    <w:rsid w:val="00094EFE"/>
    <w:rsid w:val="00096740"/>
    <w:rsid w:val="00096995"/>
    <w:rsid w:val="000971D4"/>
    <w:rsid w:val="00097B87"/>
    <w:rsid w:val="000A09B8"/>
    <w:rsid w:val="000A1880"/>
    <w:rsid w:val="000A19C1"/>
    <w:rsid w:val="000A1B30"/>
    <w:rsid w:val="000A20A9"/>
    <w:rsid w:val="000A24B5"/>
    <w:rsid w:val="000A3BF9"/>
    <w:rsid w:val="000A416C"/>
    <w:rsid w:val="000A4C20"/>
    <w:rsid w:val="000A700B"/>
    <w:rsid w:val="000B0754"/>
    <w:rsid w:val="000B16AE"/>
    <w:rsid w:val="000B17B1"/>
    <w:rsid w:val="000B3144"/>
    <w:rsid w:val="000B3181"/>
    <w:rsid w:val="000B3C30"/>
    <w:rsid w:val="000B421F"/>
    <w:rsid w:val="000B563E"/>
    <w:rsid w:val="000B56F2"/>
    <w:rsid w:val="000B6D69"/>
    <w:rsid w:val="000C0A57"/>
    <w:rsid w:val="000C120B"/>
    <w:rsid w:val="000C1B47"/>
    <w:rsid w:val="000C294D"/>
    <w:rsid w:val="000C327E"/>
    <w:rsid w:val="000C38A2"/>
    <w:rsid w:val="000C3F17"/>
    <w:rsid w:val="000C6770"/>
    <w:rsid w:val="000C7E9E"/>
    <w:rsid w:val="000D15E7"/>
    <w:rsid w:val="000D28A7"/>
    <w:rsid w:val="000D337F"/>
    <w:rsid w:val="000D399F"/>
    <w:rsid w:val="000D3F87"/>
    <w:rsid w:val="000D4123"/>
    <w:rsid w:val="000D42A3"/>
    <w:rsid w:val="000D54B0"/>
    <w:rsid w:val="000D7979"/>
    <w:rsid w:val="000D7AD0"/>
    <w:rsid w:val="000D7E15"/>
    <w:rsid w:val="000E034C"/>
    <w:rsid w:val="000E0A41"/>
    <w:rsid w:val="000E1739"/>
    <w:rsid w:val="000E1831"/>
    <w:rsid w:val="000E3BF4"/>
    <w:rsid w:val="000E6642"/>
    <w:rsid w:val="000F0AF9"/>
    <w:rsid w:val="000F0F77"/>
    <w:rsid w:val="000F1916"/>
    <w:rsid w:val="000F3A6D"/>
    <w:rsid w:val="000F5549"/>
    <w:rsid w:val="000F58FC"/>
    <w:rsid w:val="000F5F5F"/>
    <w:rsid w:val="000F68E6"/>
    <w:rsid w:val="000F7913"/>
    <w:rsid w:val="00102A16"/>
    <w:rsid w:val="00102F82"/>
    <w:rsid w:val="0010369A"/>
    <w:rsid w:val="00104647"/>
    <w:rsid w:val="00104931"/>
    <w:rsid w:val="00104C76"/>
    <w:rsid w:val="001057FE"/>
    <w:rsid w:val="001059C8"/>
    <w:rsid w:val="00105A16"/>
    <w:rsid w:val="00107D4A"/>
    <w:rsid w:val="00107DA2"/>
    <w:rsid w:val="0011011C"/>
    <w:rsid w:val="00112155"/>
    <w:rsid w:val="0011285B"/>
    <w:rsid w:val="001155F0"/>
    <w:rsid w:val="00115B12"/>
    <w:rsid w:val="00116584"/>
    <w:rsid w:val="00117E8B"/>
    <w:rsid w:val="00120C7D"/>
    <w:rsid w:val="00121142"/>
    <w:rsid w:val="00121312"/>
    <w:rsid w:val="00121CA7"/>
    <w:rsid w:val="00123270"/>
    <w:rsid w:val="00124DFB"/>
    <w:rsid w:val="00125424"/>
    <w:rsid w:val="00126109"/>
    <w:rsid w:val="00127AC6"/>
    <w:rsid w:val="00130580"/>
    <w:rsid w:val="001315DE"/>
    <w:rsid w:val="00131757"/>
    <w:rsid w:val="00131CD5"/>
    <w:rsid w:val="00131F0D"/>
    <w:rsid w:val="00132425"/>
    <w:rsid w:val="00132B2A"/>
    <w:rsid w:val="001330F5"/>
    <w:rsid w:val="00133812"/>
    <w:rsid w:val="00133F5D"/>
    <w:rsid w:val="001344B4"/>
    <w:rsid w:val="0013459E"/>
    <w:rsid w:val="001358CD"/>
    <w:rsid w:val="00136E62"/>
    <w:rsid w:val="00137AD6"/>
    <w:rsid w:val="001406D0"/>
    <w:rsid w:val="00142C11"/>
    <w:rsid w:val="00142E16"/>
    <w:rsid w:val="001455C8"/>
    <w:rsid w:val="001467F9"/>
    <w:rsid w:val="00147521"/>
    <w:rsid w:val="00147916"/>
    <w:rsid w:val="00147B14"/>
    <w:rsid w:val="00147C58"/>
    <w:rsid w:val="00150D86"/>
    <w:rsid w:val="00150DCC"/>
    <w:rsid w:val="0015123E"/>
    <w:rsid w:val="00151878"/>
    <w:rsid w:val="00153D0C"/>
    <w:rsid w:val="0015467F"/>
    <w:rsid w:val="0015482E"/>
    <w:rsid w:val="00155C22"/>
    <w:rsid w:val="0015606B"/>
    <w:rsid w:val="00156349"/>
    <w:rsid w:val="00157A68"/>
    <w:rsid w:val="00157EA7"/>
    <w:rsid w:val="0016013C"/>
    <w:rsid w:val="001628D7"/>
    <w:rsid w:val="0016337C"/>
    <w:rsid w:val="001643CC"/>
    <w:rsid w:val="00164425"/>
    <w:rsid w:val="0016471C"/>
    <w:rsid w:val="00165111"/>
    <w:rsid w:val="00165924"/>
    <w:rsid w:val="00166429"/>
    <w:rsid w:val="001667FF"/>
    <w:rsid w:val="0016704A"/>
    <w:rsid w:val="00167399"/>
    <w:rsid w:val="001720BA"/>
    <w:rsid w:val="001733B9"/>
    <w:rsid w:val="00173549"/>
    <w:rsid w:val="0017465B"/>
    <w:rsid w:val="001750BA"/>
    <w:rsid w:val="00175327"/>
    <w:rsid w:val="00175963"/>
    <w:rsid w:val="00177839"/>
    <w:rsid w:val="00177BAD"/>
    <w:rsid w:val="00182196"/>
    <w:rsid w:val="00183081"/>
    <w:rsid w:val="0018317C"/>
    <w:rsid w:val="001836A3"/>
    <w:rsid w:val="00184552"/>
    <w:rsid w:val="001855FC"/>
    <w:rsid w:val="00186A3D"/>
    <w:rsid w:val="0018774D"/>
    <w:rsid w:val="001877A3"/>
    <w:rsid w:val="00187E84"/>
    <w:rsid w:val="00191A52"/>
    <w:rsid w:val="00193119"/>
    <w:rsid w:val="00193F76"/>
    <w:rsid w:val="00195CC3"/>
    <w:rsid w:val="00197764"/>
    <w:rsid w:val="001A080E"/>
    <w:rsid w:val="001A0D3F"/>
    <w:rsid w:val="001A3294"/>
    <w:rsid w:val="001A3A15"/>
    <w:rsid w:val="001A4155"/>
    <w:rsid w:val="001A4568"/>
    <w:rsid w:val="001A4803"/>
    <w:rsid w:val="001A492A"/>
    <w:rsid w:val="001A54C5"/>
    <w:rsid w:val="001A5519"/>
    <w:rsid w:val="001A55FD"/>
    <w:rsid w:val="001B028E"/>
    <w:rsid w:val="001B06A3"/>
    <w:rsid w:val="001B1DA6"/>
    <w:rsid w:val="001B207A"/>
    <w:rsid w:val="001B246D"/>
    <w:rsid w:val="001B333E"/>
    <w:rsid w:val="001B418E"/>
    <w:rsid w:val="001B4B85"/>
    <w:rsid w:val="001B4CBE"/>
    <w:rsid w:val="001B5234"/>
    <w:rsid w:val="001B60CF"/>
    <w:rsid w:val="001B6D31"/>
    <w:rsid w:val="001C066D"/>
    <w:rsid w:val="001C18F1"/>
    <w:rsid w:val="001C2FCF"/>
    <w:rsid w:val="001C3567"/>
    <w:rsid w:val="001D023F"/>
    <w:rsid w:val="001D43EE"/>
    <w:rsid w:val="001D56DA"/>
    <w:rsid w:val="001D56E0"/>
    <w:rsid w:val="001D6E1B"/>
    <w:rsid w:val="001D7EEB"/>
    <w:rsid w:val="001D7F06"/>
    <w:rsid w:val="001E233E"/>
    <w:rsid w:val="001E35D3"/>
    <w:rsid w:val="001E4B4C"/>
    <w:rsid w:val="001E524B"/>
    <w:rsid w:val="001E59E9"/>
    <w:rsid w:val="001E7878"/>
    <w:rsid w:val="001E78DA"/>
    <w:rsid w:val="001F09F9"/>
    <w:rsid w:val="001F141C"/>
    <w:rsid w:val="001F3494"/>
    <w:rsid w:val="001F3A35"/>
    <w:rsid w:val="001F42F5"/>
    <w:rsid w:val="001F54E4"/>
    <w:rsid w:val="001F62EA"/>
    <w:rsid w:val="001F697D"/>
    <w:rsid w:val="001F736D"/>
    <w:rsid w:val="001F7784"/>
    <w:rsid w:val="002001FB"/>
    <w:rsid w:val="00200CA7"/>
    <w:rsid w:val="00201707"/>
    <w:rsid w:val="00201FFA"/>
    <w:rsid w:val="00203E20"/>
    <w:rsid w:val="00203F02"/>
    <w:rsid w:val="00203F22"/>
    <w:rsid w:val="00204924"/>
    <w:rsid w:val="00204A17"/>
    <w:rsid w:val="002058DB"/>
    <w:rsid w:val="00205EBD"/>
    <w:rsid w:val="002066AA"/>
    <w:rsid w:val="002114A9"/>
    <w:rsid w:val="002116D0"/>
    <w:rsid w:val="00215BFF"/>
    <w:rsid w:val="00220911"/>
    <w:rsid w:val="0022197C"/>
    <w:rsid w:val="0022240C"/>
    <w:rsid w:val="00223E1B"/>
    <w:rsid w:val="00224B0A"/>
    <w:rsid w:val="0022551A"/>
    <w:rsid w:val="0022745B"/>
    <w:rsid w:val="0022789C"/>
    <w:rsid w:val="00230EF7"/>
    <w:rsid w:val="00231E0C"/>
    <w:rsid w:val="00236F1A"/>
    <w:rsid w:val="00237E6E"/>
    <w:rsid w:val="00241061"/>
    <w:rsid w:val="00241E1A"/>
    <w:rsid w:val="00243FA8"/>
    <w:rsid w:val="00244132"/>
    <w:rsid w:val="00245AB6"/>
    <w:rsid w:val="00247D46"/>
    <w:rsid w:val="002526EE"/>
    <w:rsid w:val="00252784"/>
    <w:rsid w:val="002527FF"/>
    <w:rsid w:val="00253409"/>
    <w:rsid w:val="00253E5D"/>
    <w:rsid w:val="00254766"/>
    <w:rsid w:val="00254A50"/>
    <w:rsid w:val="00257C13"/>
    <w:rsid w:val="002606BC"/>
    <w:rsid w:val="0026078F"/>
    <w:rsid w:val="00261891"/>
    <w:rsid w:val="00261E5F"/>
    <w:rsid w:val="00262FCE"/>
    <w:rsid w:val="002634C4"/>
    <w:rsid w:val="002635FA"/>
    <w:rsid w:val="002649CF"/>
    <w:rsid w:val="00265624"/>
    <w:rsid w:val="0026740D"/>
    <w:rsid w:val="00267E0D"/>
    <w:rsid w:val="00270EB8"/>
    <w:rsid w:val="0027116D"/>
    <w:rsid w:val="002715E5"/>
    <w:rsid w:val="00271621"/>
    <w:rsid w:val="00271C48"/>
    <w:rsid w:val="002728A7"/>
    <w:rsid w:val="00274C63"/>
    <w:rsid w:val="00276C41"/>
    <w:rsid w:val="00277F0B"/>
    <w:rsid w:val="002801E0"/>
    <w:rsid w:val="00281958"/>
    <w:rsid w:val="00282C4E"/>
    <w:rsid w:val="00282D4B"/>
    <w:rsid w:val="00282E16"/>
    <w:rsid w:val="002830A7"/>
    <w:rsid w:val="00284AC8"/>
    <w:rsid w:val="00284C69"/>
    <w:rsid w:val="0028539D"/>
    <w:rsid w:val="00285914"/>
    <w:rsid w:val="00285A14"/>
    <w:rsid w:val="002875F9"/>
    <w:rsid w:val="00287A20"/>
    <w:rsid w:val="00290232"/>
    <w:rsid w:val="00290F14"/>
    <w:rsid w:val="00291164"/>
    <w:rsid w:val="002913E2"/>
    <w:rsid w:val="00291629"/>
    <w:rsid w:val="0029175C"/>
    <w:rsid w:val="00291C5B"/>
    <w:rsid w:val="002927CF"/>
    <w:rsid w:val="00292E29"/>
    <w:rsid w:val="002937FB"/>
    <w:rsid w:val="00293831"/>
    <w:rsid w:val="002961CF"/>
    <w:rsid w:val="00296824"/>
    <w:rsid w:val="0029795F"/>
    <w:rsid w:val="00297FBF"/>
    <w:rsid w:val="002A03DC"/>
    <w:rsid w:val="002A23DB"/>
    <w:rsid w:val="002A294B"/>
    <w:rsid w:val="002A32DC"/>
    <w:rsid w:val="002A3AD3"/>
    <w:rsid w:val="002A5385"/>
    <w:rsid w:val="002A54B3"/>
    <w:rsid w:val="002A54DF"/>
    <w:rsid w:val="002A5AFC"/>
    <w:rsid w:val="002A737B"/>
    <w:rsid w:val="002A73CC"/>
    <w:rsid w:val="002A7E26"/>
    <w:rsid w:val="002B119A"/>
    <w:rsid w:val="002B19A8"/>
    <w:rsid w:val="002B3A7D"/>
    <w:rsid w:val="002B3C9A"/>
    <w:rsid w:val="002B3CB2"/>
    <w:rsid w:val="002B46A2"/>
    <w:rsid w:val="002B5997"/>
    <w:rsid w:val="002B79D1"/>
    <w:rsid w:val="002B7B18"/>
    <w:rsid w:val="002C014A"/>
    <w:rsid w:val="002C1C36"/>
    <w:rsid w:val="002C2E04"/>
    <w:rsid w:val="002C5A08"/>
    <w:rsid w:val="002C5B35"/>
    <w:rsid w:val="002C5FF3"/>
    <w:rsid w:val="002C6C27"/>
    <w:rsid w:val="002D0B23"/>
    <w:rsid w:val="002D21EC"/>
    <w:rsid w:val="002D30F6"/>
    <w:rsid w:val="002D40A6"/>
    <w:rsid w:val="002D553C"/>
    <w:rsid w:val="002D58CD"/>
    <w:rsid w:val="002D68B0"/>
    <w:rsid w:val="002D7407"/>
    <w:rsid w:val="002D7D2A"/>
    <w:rsid w:val="002E274F"/>
    <w:rsid w:val="002E327E"/>
    <w:rsid w:val="002E518A"/>
    <w:rsid w:val="002E55C3"/>
    <w:rsid w:val="002E5DB4"/>
    <w:rsid w:val="002E676B"/>
    <w:rsid w:val="002E6B4C"/>
    <w:rsid w:val="002F068F"/>
    <w:rsid w:val="002F17C1"/>
    <w:rsid w:val="002F1862"/>
    <w:rsid w:val="002F1931"/>
    <w:rsid w:val="002F1A9E"/>
    <w:rsid w:val="002F232F"/>
    <w:rsid w:val="002F3449"/>
    <w:rsid w:val="002F5BFC"/>
    <w:rsid w:val="002F5F40"/>
    <w:rsid w:val="002F6778"/>
    <w:rsid w:val="002F6AFD"/>
    <w:rsid w:val="00300AE9"/>
    <w:rsid w:val="00303AF5"/>
    <w:rsid w:val="00303EA4"/>
    <w:rsid w:val="003056D4"/>
    <w:rsid w:val="00306002"/>
    <w:rsid w:val="00306237"/>
    <w:rsid w:val="003100EA"/>
    <w:rsid w:val="00310C11"/>
    <w:rsid w:val="00310D3B"/>
    <w:rsid w:val="003112AC"/>
    <w:rsid w:val="0031137B"/>
    <w:rsid w:val="00312C88"/>
    <w:rsid w:val="003130FD"/>
    <w:rsid w:val="0031364A"/>
    <w:rsid w:val="003138AA"/>
    <w:rsid w:val="00315B59"/>
    <w:rsid w:val="0031643B"/>
    <w:rsid w:val="003169F8"/>
    <w:rsid w:val="00320A20"/>
    <w:rsid w:val="00320F8A"/>
    <w:rsid w:val="003213D1"/>
    <w:rsid w:val="00321822"/>
    <w:rsid w:val="003224FA"/>
    <w:rsid w:val="00323760"/>
    <w:rsid w:val="00323F42"/>
    <w:rsid w:val="0032456B"/>
    <w:rsid w:val="003251BA"/>
    <w:rsid w:val="00325211"/>
    <w:rsid w:val="00330365"/>
    <w:rsid w:val="0033160F"/>
    <w:rsid w:val="00331B20"/>
    <w:rsid w:val="00332247"/>
    <w:rsid w:val="003328F9"/>
    <w:rsid w:val="00333073"/>
    <w:rsid w:val="003345E9"/>
    <w:rsid w:val="00334601"/>
    <w:rsid w:val="00334C25"/>
    <w:rsid w:val="003356D0"/>
    <w:rsid w:val="003362DE"/>
    <w:rsid w:val="00336D3A"/>
    <w:rsid w:val="00337344"/>
    <w:rsid w:val="0034031A"/>
    <w:rsid w:val="0034141D"/>
    <w:rsid w:val="00342AF4"/>
    <w:rsid w:val="00344412"/>
    <w:rsid w:val="00345744"/>
    <w:rsid w:val="00345A86"/>
    <w:rsid w:val="00346BB2"/>
    <w:rsid w:val="00346F67"/>
    <w:rsid w:val="00350CCE"/>
    <w:rsid w:val="00351BC5"/>
    <w:rsid w:val="00352B6F"/>
    <w:rsid w:val="0035472E"/>
    <w:rsid w:val="00356F3C"/>
    <w:rsid w:val="00357189"/>
    <w:rsid w:val="003601C2"/>
    <w:rsid w:val="003611DF"/>
    <w:rsid w:val="0036190A"/>
    <w:rsid w:val="00362266"/>
    <w:rsid w:val="0036283A"/>
    <w:rsid w:val="0036334A"/>
    <w:rsid w:val="00363718"/>
    <w:rsid w:val="0036472A"/>
    <w:rsid w:val="00364806"/>
    <w:rsid w:val="00364AEC"/>
    <w:rsid w:val="0036609D"/>
    <w:rsid w:val="0036609E"/>
    <w:rsid w:val="003669EB"/>
    <w:rsid w:val="00366F0F"/>
    <w:rsid w:val="00367792"/>
    <w:rsid w:val="0037052B"/>
    <w:rsid w:val="003706D4"/>
    <w:rsid w:val="00371B93"/>
    <w:rsid w:val="003721D9"/>
    <w:rsid w:val="0037260F"/>
    <w:rsid w:val="00373695"/>
    <w:rsid w:val="003744F6"/>
    <w:rsid w:val="00376060"/>
    <w:rsid w:val="0037719C"/>
    <w:rsid w:val="0038037C"/>
    <w:rsid w:val="003803A0"/>
    <w:rsid w:val="003837AB"/>
    <w:rsid w:val="00387EC4"/>
    <w:rsid w:val="00387F6B"/>
    <w:rsid w:val="003901DB"/>
    <w:rsid w:val="00391BBE"/>
    <w:rsid w:val="00391FE0"/>
    <w:rsid w:val="0039280F"/>
    <w:rsid w:val="0039285A"/>
    <w:rsid w:val="00392F41"/>
    <w:rsid w:val="00393C63"/>
    <w:rsid w:val="00394961"/>
    <w:rsid w:val="00395343"/>
    <w:rsid w:val="003956E1"/>
    <w:rsid w:val="003973B9"/>
    <w:rsid w:val="003A0510"/>
    <w:rsid w:val="003A1451"/>
    <w:rsid w:val="003A14E7"/>
    <w:rsid w:val="003A49C0"/>
    <w:rsid w:val="003A4EC1"/>
    <w:rsid w:val="003A6282"/>
    <w:rsid w:val="003A63F3"/>
    <w:rsid w:val="003A7849"/>
    <w:rsid w:val="003A78AE"/>
    <w:rsid w:val="003B028F"/>
    <w:rsid w:val="003B1390"/>
    <w:rsid w:val="003B144C"/>
    <w:rsid w:val="003B338B"/>
    <w:rsid w:val="003B355D"/>
    <w:rsid w:val="003B44D6"/>
    <w:rsid w:val="003B47E8"/>
    <w:rsid w:val="003B4B1C"/>
    <w:rsid w:val="003B4E9F"/>
    <w:rsid w:val="003B5D24"/>
    <w:rsid w:val="003C08B7"/>
    <w:rsid w:val="003C2CE7"/>
    <w:rsid w:val="003C2DAA"/>
    <w:rsid w:val="003C2DED"/>
    <w:rsid w:val="003C4B20"/>
    <w:rsid w:val="003C50AE"/>
    <w:rsid w:val="003C62D4"/>
    <w:rsid w:val="003C686E"/>
    <w:rsid w:val="003C69D7"/>
    <w:rsid w:val="003C75A2"/>
    <w:rsid w:val="003C7B91"/>
    <w:rsid w:val="003D0FF7"/>
    <w:rsid w:val="003D2A11"/>
    <w:rsid w:val="003D4831"/>
    <w:rsid w:val="003D6A45"/>
    <w:rsid w:val="003D6A63"/>
    <w:rsid w:val="003D6AAA"/>
    <w:rsid w:val="003D6C4C"/>
    <w:rsid w:val="003E088B"/>
    <w:rsid w:val="003E15BD"/>
    <w:rsid w:val="003E26BC"/>
    <w:rsid w:val="003E33D2"/>
    <w:rsid w:val="003E3771"/>
    <w:rsid w:val="003E388C"/>
    <w:rsid w:val="003E5D95"/>
    <w:rsid w:val="003E5F30"/>
    <w:rsid w:val="003E63ED"/>
    <w:rsid w:val="003F0CFB"/>
    <w:rsid w:val="003F1147"/>
    <w:rsid w:val="003F2913"/>
    <w:rsid w:val="003F3416"/>
    <w:rsid w:val="003F34EA"/>
    <w:rsid w:val="003F571E"/>
    <w:rsid w:val="003F6813"/>
    <w:rsid w:val="003F6830"/>
    <w:rsid w:val="003F6DC8"/>
    <w:rsid w:val="003F71A4"/>
    <w:rsid w:val="003F72F9"/>
    <w:rsid w:val="003F7F76"/>
    <w:rsid w:val="00401AA7"/>
    <w:rsid w:val="00401D09"/>
    <w:rsid w:val="004024BE"/>
    <w:rsid w:val="00402FC6"/>
    <w:rsid w:val="0040501F"/>
    <w:rsid w:val="004050B7"/>
    <w:rsid w:val="0040593F"/>
    <w:rsid w:val="00406108"/>
    <w:rsid w:val="004063CF"/>
    <w:rsid w:val="00406A22"/>
    <w:rsid w:val="0040707F"/>
    <w:rsid w:val="0040788A"/>
    <w:rsid w:val="0041169C"/>
    <w:rsid w:val="00411C72"/>
    <w:rsid w:val="00411D84"/>
    <w:rsid w:val="00412B65"/>
    <w:rsid w:val="0041325E"/>
    <w:rsid w:val="00413877"/>
    <w:rsid w:val="00413C68"/>
    <w:rsid w:val="0041453E"/>
    <w:rsid w:val="00420621"/>
    <w:rsid w:val="00420696"/>
    <w:rsid w:val="00422387"/>
    <w:rsid w:val="004226DF"/>
    <w:rsid w:val="004226E3"/>
    <w:rsid w:val="004229E6"/>
    <w:rsid w:val="00423A36"/>
    <w:rsid w:val="00424A10"/>
    <w:rsid w:val="00426F72"/>
    <w:rsid w:val="00426FD6"/>
    <w:rsid w:val="004301C3"/>
    <w:rsid w:val="00430726"/>
    <w:rsid w:val="00430B58"/>
    <w:rsid w:val="00431824"/>
    <w:rsid w:val="00431EC3"/>
    <w:rsid w:val="00432FF9"/>
    <w:rsid w:val="00434C07"/>
    <w:rsid w:val="00436256"/>
    <w:rsid w:val="00436B0C"/>
    <w:rsid w:val="00437E90"/>
    <w:rsid w:val="0044077B"/>
    <w:rsid w:val="0044092E"/>
    <w:rsid w:val="00441C2A"/>
    <w:rsid w:val="0044234E"/>
    <w:rsid w:val="004431E8"/>
    <w:rsid w:val="0044345B"/>
    <w:rsid w:val="00443A35"/>
    <w:rsid w:val="004445E6"/>
    <w:rsid w:val="004447FA"/>
    <w:rsid w:val="00444F6F"/>
    <w:rsid w:val="004461C5"/>
    <w:rsid w:val="004478DE"/>
    <w:rsid w:val="00447AA1"/>
    <w:rsid w:val="004512F4"/>
    <w:rsid w:val="00452BFE"/>
    <w:rsid w:val="00453041"/>
    <w:rsid w:val="0045376D"/>
    <w:rsid w:val="00457050"/>
    <w:rsid w:val="00457896"/>
    <w:rsid w:val="00460630"/>
    <w:rsid w:val="0046264F"/>
    <w:rsid w:val="00462933"/>
    <w:rsid w:val="0046463A"/>
    <w:rsid w:val="004660A7"/>
    <w:rsid w:val="0046716A"/>
    <w:rsid w:val="00471206"/>
    <w:rsid w:val="004719DC"/>
    <w:rsid w:val="0047227C"/>
    <w:rsid w:val="00474EEF"/>
    <w:rsid w:val="00475808"/>
    <w:rsid w:val="00475D69"/>
    <w:rsid w:val="004763C5"/>
    <w:rsid w:val="0048039D"/>
    <w:rsid w:val="0048067B"/>
    <w:rsid w:val="004813C3"/>
    <w:rsid w:val="00482AB4"/>
    <w:rsid w:val="00482CBE"/>
    <w:rsid w:val="00483AB4"/>
    <w:rsid w:val="004844A5"/>
    <w:rsid w:val="004848D8"/>
    <w:rsid w:val="0048494D"/>
    <w:rsid w:val="00486961"/>
    <w:rsid w:val="0048699F"/>
    <w:rsid w:val="00486D31"/>
    <w:rsid w:val="00487433"/>
    <w:rsid w:val="0048748A"/>
    <w:rsid w:val="00491635"/>
    <w:rsid w:val="004932D8"/>
    <w:rsid w:val="00494660"/>
    <w:rsid w:val="00495BE5"/>
    <w:rsid w:val="00497EE3"/>
    <w:rsid w:val="004A04B8"/>
    <w:rsid w:val="004A1CFA"/>
    <w:rsid w:val="004A1FD3"/>
    <w:rsid w:val="004A22B9"/>
    <w:rsid w:val="004A4480"/>
    <w:rsid w:val="004A5EA3"/>
    <w:rsid w:val="004A6038"/>
    <w:rsid w:val="004A64C1"/>
    <w:rsid w:val="004A6A00"/>
    <w:rsid w:val="004B091B"/>
    <w:rsid w:val="004B1645"/>
    <w:rsid w:val="004B296F"/>
    <w:rsid w:val="004B3394"/>
    <w:rsid w:val="004B452E"/>
    <w:rsid w:val="004B5C96"/>
    <w:rsid w:val="004B5D34"/>
    <w:rsid w:val="004B5EB4"/>
    <w:rsid w:val="004B6044"/>
    <w:rsid w:val="004B76AF"/>
    <w:rsid w:val="004C0BE1"/>
    <w:rsid w:val="004C1DAA"/>
    <w:rsid w:val="004C3BBF"/>
    <w:rsid w:val="004C74E5"/>
    <w:rsid w:val="004C77CE"/>
    <w:rsid w:val="004D0348"/>
    <w:rsid w:val="004D1BC1"/>
    <w:rsid w:val="004D1CF5"/>
    <w:rsid w:val="004D39D2"/>
    <w:rsid w:val="004D5A9D"/>
    <w:rsid w:val="004D6643"/>
    <w:rsid w:val="004D6BBA"/>
    <w:rsid w:val="004D739E"/>
    <w:rsid w:val="004D7D6D"/>
    <w:rsid w:val="004E009F"/>
    <w:rsid w:val="004E0668"/>
    <w:rsid w:val="004E18DA"/>
    <w:rsid w:val="004E1A4D"/>
    <w:rsid w:val="004E2DDB"/>
    <w:rsid w:val="004E31A9"/>
    <w:rsid w:val="004E35BC"/>
    <w:rsid w:val="004E3DE4"/>
    <w:rsid w:val="004E48EB"/>
    <w:rsid w:val="004E5190"/>
    <w:rsid w:val="004E5D62"/>
    <w:rsid w:val="004E5EA0"/>
    <w:rsid w:val="004E5FCC"/>
    <w:rsid w:val="004E6559"/>
    <w:rsid w:val="004E7406"/>
    <w:rsid w:val="004E799E"/>
    <w:rsid w:val="004F1A77"/>
    <w:rsid w:val="004F2FAE"/>
    <w:rsid w:val="004F36DF"/>
    <w:rsid w:val="004F37E6"/>
    <w:rsid w:val="004F5BC1"/>
    <w:rsid w:val="004F5FF6"/>
    <w:rsid w:val="004F7AF1"/>
    <w:rsid w:val="004F7CA1"/>
    <w:rsid w:val="005019C8"/>
    <w:rsid w:val="00504A26"/>
    <w:rsid w:val="00504AF9"/>
    <w:rsid w:val="005069A4"/>
    <w:rsid w:val="00506BBF"/>
    <w:rsid w:val="00507DC9"/>
    <w:rsid w:val="00511198"/>
    <w:rsid w:val="0051126D"/>
    <w:rsid w:val="00512116"/>
    <w:rsid w:val="0051404A"/>
    <w:rsid w:val="00514988"/>
    <w:rsid w:val="0051514D"/>
    <w:rsid w:val="0051567D"/>
    <w:rsid w:val="00515AA3"/>
    <w:rsid w:val="00516157"/>
    <w:rsid w:val="00516747"/>
    <w:rsid w:val="00516D13"/>
    <w:rsid w:val="005175FD"/>
    <w:rsid w:val="00517B44"/>
    <w:rsid w:val="00523498"/>
    <w:rsid w:val="005236BA"/>
    <w:rsid w:val="005244E8"/>
    <w:rsid w:val="0052461F"/>
    <w:rsid w:val="00525AD6"/>
    <w:rsid w:val="00526284"/>
    <w:rsid w:val="005265CD"/>
    <w:rsid w:val="005307F9"/>
    <w:rsid w:val="00530BF7"/>
    <w:rsid w:val="00530CD0"/>
    <w:rsid w:val="00532031"/>
    <w:rsid w:val="00533CFF"/>
    <w:rsid w:val="005349E7"/>
    <w:rsid w:val="00534D1E"/>
    <w:rsid w:val="005375BD"/>
    <w:rsid w:val="0054129F"/>
    <w:rsid w:val="0054146E"/>
    <w:rsid w:val="00543174"/>
    <w:rsid w:val="00544873"/>
    <w:rsid w:val="00547DA7"/>
    <w:rsid w:val="005504F5"/>
    <w:rsid w:val="00550C86"/>
    <w:rsid w:val="005521E0"/>
    <w:rsid w:val="00554082"/>
    <w:rsid w:val="005546FD"/>
    <w:rsid w:val="00555CF2"/>
    <w:rsid w:val="00555D33"/>
    <w:rsid w:val="00557C73"/>
    <w:rsid w:val="005604B7"/>
    <w:rsid w:val="00561907"/>
    <w:rsid w:val="0056247E"/>
    <w:rsid w:val="00562549"/>
    <w:rsid w:val="00562BFB"/>
    <w:rsid w:val="00562C8B"/>
    <w:rsid w:val="0056484A"/>
    <w:rsid w:val="00564E4C"/>
    <w:rsid w:val="00564E6C"/>
    <w:rsid w:val="005650EF"/>
    <w:rsid w:val="00565F4E"/>
    <w:rsid w:val="005679BA"/>
    <w:rsid w:val="00570484"/>
    <w:rsid w:val="005709B8"/>
    <w:rsid w:val="00570A76"/>
    <w:rsid w:val="0057470D"/>
    <w:rsid w:val="005762AF"/>
    <w:rsid w:val="005777B1"/>
    <w:rsid w:val="0057790B"/>
    <w:rsid w:val="00580B9F"/>
    <w:rsid w:val="0058193B"/>
    <w:rsid w:val="00581E3A"/>
    <w:rsid w:val="005826CB"/>
    <w:rsid w:val="00582D1D"/>
    <w:rsid w:val="005835D2"/>
    <w:rsid w:val="005849DC"/>
    <w:rsid w:val="005865FD"/>
    <w:rsid w:val="00586994"/>
    <w:rsid w:val="00586E65"/>
    <w:rsid w:val="00586FDB"/>
    <w:rsid w:val="0059109A"/>
    <w:rsid w:val="0059285C"/>
    <w:rsid w:val="0059323E"/>
    <w:rsid w:val="00593907"/>
    <w:rsid w:val="00593D8A"/>
    <w:rsid w:val="005941D5"/>
    <w:rsid w:val="00595815"/>
    <w:rsid w:val="00595A29"/>
    <w:rsid w:val="00596A87"/>
    <w:rsid w:val="005A1F8A"/>
    <w:rsid w:val="005A2656"/>
    <w:rsid w:val="005A2E34"/>
    <w:rsid w:val="005A56EF"/>
    <w:rsid w:val="005A6051"/>
    <w:rsid w:val="005A780D"/>
    <w:rsid w:val="005B0480"/>
    <w:rsid w:val="005B24DE"/>
    <w:rsid w:val="005B69B5"/>
    <w:rsid w:val="005B70E1"/>
    <w:rsid w:val="005C0242"/>
    <w:rsid w:val="005C0B12"/>
    <w:rsid w:val="005C0D6A"/>
    <w:rsid w:val="005C2C3D"/>
    <w:rsid w:val="005C344B"/>
    <w:rsid w:val="005C35D8"/>
    <w:rsid w:val="005C4BD7"/>
    <w:rsid w:val="005C5863"/>
    <w:rsid w:val="005C5B6E"/>
    <w:rsid w:val="005C6D89"/>
    <w:rsid w:val="005C6DED"/>
    <w:rsid w:val="005C6F93"/>
    <w:rsid w:val="005C6FE9"/>
    <w:rsid w:val="005C792A"/>
    <w:rsid w:val="005C7E51"/>
    <w:rsid w:val="005D009A"/>
    <w:rsid w:val="005D0C0E"/>
    <w:rsid w:val="005D1A7A"/>
    <w:rsid w:val="005D30D3"/>
    <w:rsid w:val="005D4127"/>
    <w:rsid w:val="005D446E"/>
    <w:rsid w:val="005D539C"/>
    <w:rsid w:val="005D5D4E"/>
    <w:rsid w:val="005E0C80"/>
    <w:rsid w:val="005E12FF"/>
    <w:rsid w:val="005E15A6"/>
    <w:rsid w:val="005E1FDA"/>
    <w:rsid w:val="005E4824"/>
    <w:rsid w:val="005E504B"/>
    <w:rsid w:val="005E5436"/>
    <w:rsid w:val="005E5705"/>
    <w:rsid w:val="005E610D"/>
    <w:rsid w:val="005E6F7C"/>
    <w:rsid w:val="005E7BE5"/>
    <w:rsid w:val="005F2F54"/>
    <w:rsid w:val="005F3240"/>
    <w:rsid w:val="005F3EEF"/>
    <w:rsid w:val="005F4A8D"/>
    <w:rsid w:val="005F4DA2"/>
    <w:rsid w:val="005F575B"/>
    <w:rsid w:val="005F66E0"/>
    <w:rsid w:val="005F71F0"/>
    <w:rsid w:val="005F737B"/>
    <w:rsid w:val="00600B6F"/>
    <w:rsid w:val="00601728"/>
    <w:rsid w:val="00602439"/>
    <w:rsid w:val="006024CF"/>
    <w:rsid w:val="006035C1"/>
    <w:rsid w:val="00603E98"/>
    <w:rsid w:val="0060649F"/>
    <w:rsid w:val="00607921"/>
    <w:rsid w:val="00610361"/>
    <w:rsid w:val="0061042D"/>
    <w:rsid w:val="006110CB"/>
    <w:rsid w:val="006112E5"/>
    <w:rsid w:val="00611E16"/>
    <w:rsid w:val="00612369"/>
    <w:rsid w:val="00612400"/>
    <w:rsid w:val="00613557"/>
    <w:rsid w:val="00613CF6"/>
    <w:rsid w:val="006141DA"/>
    <w:rsid w:val="0061495D"/>
    <w:rsid w:val="0061611A"/>
    <w:rsid w:val="006165CF"/>
    <w:rsid w:val="006166B7"/>
    <w:rsid w:val="006173EA"/>
    <w:rsid w:val="006201A4"/>
    <w:rsid w:val="00620C05"/>
    <w:rsid w:val="006222C5"/>
    <w:rsid w:val="00622ECF"/>
    <w:rsid w:val="006244FE"/>
    <w:rsid w:val="00624CD3"/>
    <w:rsid w:val="00625129"/>
    <w:rsid w:val="00626CC5"/>
    <w:rsid w:val="00627ACD"/>
    <w:rsid w:val="00627E8D"/>
    <w:rsid w:val="00630195"/>
    <w:rsid w:val="00632DC2"/>
    <w:rsid w:val="006333FB"/>
    <w:rsid w:val="006344E8"/>
    <w:rsid w:val="00634B29"/>
    <w:rsid w:val="00637696"/>
    <w:rsid w:val="006376F1"/>
    <w:rsid w:val="00640383"/>
    <w:rsid w:val="00642220"/>
    <w:rsid w:val="00642B24"/>
    <w:rsid w:val="00643782"/>
    <w:rsid w:val="006437E1"/>
    <w:rsid w:val="0064778B"/>
    <w:rsid w:val="00650D3F"/>
    <w:rsid w:val="00651FDF"/>
    <w:rsid w:val="0065265B"/>
    <w:rsid w:val="00652CFC"/>
    <w:rsid w:val="00654045"/>
    <w:rsid w:val="00654462"/>
    <w:rsid w:val="00655B16"/>
    <w:rsid w:val="00656961"/>
    <w:rsid w:val="00657862"/>
    <w:rsid w:val="00660340"/>
    <w:rsid w:val="00660BA6"/>
    <w:rsid w:val="00662640"/>
    <w:rsid w:val="00663695"/>
    <w:rsid w:val="0066372B"/>
    <w:rsid w:val="006660D3"/>
    <w:rsid w:val="00666373"/>
    <w:rsid w:val="0066741A"/>
    <w:rsid w:val="00670150"/>
    <w:rsid w:val="00670E6D"/>
    <w:rsid w:val="006713D2"/>
    <w:rsid w:val="006722C0"/>
    <w:rsid w:val="00672435"/>
    <w:rsid w:val="006724EC"/>
    <w:rsid w:val="00673C16"/>
    <w:rsid w:val="006746F8"/>
    <w:rsid w:val="006753FE"/>
    <w:rsid w:val="006755F6"/>
    <w:rsid w:val="00676C09"/>
    <w:rsid w:val="00676D10"/>
    <w:rsid w:val="00676E85"/>
    <w:rsid w:val="00676F26"/>
    <w:rsid w:val="0067709B"/>
    <w:rsid w:val="0067772D"/>
    <w:rsid w:val="0068050B"/>
    <w:rsid w:val="00680ACC"/>
    <w:rsid w:val="00683FE0"/>
    <w:rsid w:val="00684F65"/>
    <w:rsid w:val="0068733B"/>
    <w:rsid w:val="00691D5C"/>
    <w:rsid w:val="00691F52"/>
    <w:rsid w:val="006936B6"/>
    <w:rsid w:val="0069563A"/>
    <w:rsid w:val="00695A20"/>
    <w:rsid w:val="006971DB"/>
    <w:rsid w:val="006973FB"/>
    <w:rsid w:val="006A01B7"/>
    <w:rsid w:val="006A0D64"/>
    <w:rsid w:val="006A1E91"/>
    <w:rsid w:val="006A2B58"/>
    <w:rsid w:val="006A3F31"/>
    <w:rsid w:val="006A5AB4"/>
    <w:rsid w:val="006B26EA"/>
    <w:rsid w:val="006B2A00"/>
    <w:rsid w:val="006B336F"/>
    <w:rsid w:val="006B365F"/>
    <w:rsid w:val="006B43F5"/>
    <w:rsid w:val="006B4EFD"/>
    <w:rsid w:val="006B682E"/>
    <w:rsid w:val="006B777E"/>
    <w:rsid w:val="006B7A7E"/>
    <w:rsid w:val="006C04FA"/>
    <w:rsid w:val="006C20AC"/>
    <w:rsid w:val="006C233B"/>
    <w:rsid w:val="006C2FF6"/>
    <w:rsid w:val="006C3274"/>
    <w:rsid w:val="006C3565"/>
    <w:rsid w:val="006C39F0"/>
    <w:rsid w:val="006C4EAF"/>
    <w:rsid w:val="006C60B5"/>
    <w:rsid w:val="006C7DB8"/>
    <w:rsid w:val="006C7F13"/>
    <w:rsid w:val="006D0347"/>
    <w:rsid w:val="006D1947"/>
    <w:rsid w:val="006D1F32"/>
    <w:rsid w:val="006D2421"/>
    <w:rsid w:val="006D26D8"/>
    <w:rsid w:val="006D2AC1"/>
    <w:rsid w:val="006D333E"/>
    <w:rsid w:val="006D3AD5"/>
    <w:rsid w:val="006D44D9"/>
    <w:rsid w:val="006D51E6"/>
    <w:rsid w:val="006D6885"/>
    <w:rsid w:val="006D68B1"/>
    <w:rsid w:val="006D6B44"/>
    <w:rsid w:val="006D6F11"/>
    <w:rsid w:val="006E0EAC"/>
    <w:rsid w:val="006E106D"/>
    <w:rsid w:val="006E131F"/>
    <w:rsid w:val="006E1AE4"/>
    <w:rsid w:val="006E1EC8"/>
    <w:rsid w:val="006E2FEF"/>
    <w:rsid w:val="006E4280"/>
    <w:rsid w:val="006E4925"/>
    <w:rsid w:val="006E5AD2"/>
    <w:rsid w:val="006E6CF3"/>
    <w:rsid w:val="006F04EA"/>
    <w:rsid w:val="006F061A"/>
    <w:rsid w:val="006F0822"/>
    <w:rsid w:val="006F0C99"/>
    <w:rsid w:val="006F0D26"/>
    <w:rsid w:val="006F129B"/>
    <w:rsid w:val="006F38D5"/>
    <w:rsid w:val="006F392D"/>
    <w:rsid w:val="006F53CA"/>
    <w:rsid w:val="006F5D37"/>
    <w:rsid w:val="006F5F04"/>
    <w:rsid w:val="00701431"/>
    <w:rsid w:val="00702357"/>
    <w:rsid w:val="00702EAC"/>
    <w:rsid w:val="007037E2"/>
    <w:rsid w:val="00704E85"/>
    <w:rsid w:val="00707427"/>
    <w:rsid w:val="00707736"/>
    <w:rsid w:val="007136F5"/>
    <w:rsid w:val="00713A40"/>
    <w:rsid w:val="00713ABA"/>
    <w:rsid w:val="0071407A"/>
    <w:rsid w:val="00714204"/>
    <w:rsid w:val="00714527"/>
    <w:rsid w:val="007153E8"/>
    <w:rsid w:val="007155D1"/>
    <w:rsid w:val="00715796"/>
    <w:rsid w:val="00715E8F"/>
    <w:rsid w:val="00716957"/>
    <w:rsid w:val="00716FCB"/>
    <w:rsid w:val="00720BCB"/>
    <w:rsid w:val="00722027"/>
    <w:rsid w:val="007230FD"/>
    <w:rsid w:val="007232F2"/>
    <w:rsid w:val="00723453"/>
    <w:rsid w:val="00723A77"/>
    <w:rsid w:val="00724A74"/>
    <w:rsid w:val="00725285"/>
    <w:rsid w:val="00725D7B"/>
    <w:rsid w:val="00726F68"/>
    <w:rsid w:val="00727EA5"/>
    <w:rsid w:val="007328DB"/>
    <w:rsid w:val="00733D99"/>
    <w:rsid w:val="007341B2"/>
    <w:rsid w:val="00735055"/>
    <w:rsid w:val="007350EB"/>
    <w:rsid w:val="0073517F"/>
    <w:rsid w:val="00735B56"/>
    <w:rsid w:val="00737411"/>
    <w:rsid w:val="00740666"/>
    <w:rsid w:val="007413A5"/>
    <w:rsid w:val="00742187"/>
    <w:rsid w:val="00742C0B"/>
    <w:rsid w:val="00742FAE"/>
    <w:rsid w:val="00743624"/>
    <w:rsid w:val="007446C9"/>
    <w:rsid w:val="007466A6"/>
    <w:rsid w:val="00746817"/>
    <w:rsid w:val="00747969"/>
    <w:rsid w:val="00750B84"/>
    <w:rsid w:val="00750E1E"/>
    <w:rsid w:val="00751752"/>
    <w:rsid w:val="00754497"/>
    <w:rsid w:val="0075566C"/>
    <w:rsid w:val="007566B2"/>
    <w:rsid w:val="00760A0E"/>
    <w:rsid w:val="00761052"/>
    <w:rsid w:val="007615CF"/>
    <w:rsid w:val="00761700"/>
    <w:rsid w:val="00761D1D"/>
    <w:rsid w:val="007621EA"/>
    <w:rsid w:val="007632B3"/>
    <w:rsid w:val="00763801"/>
    <w:rsid w:val="00763D3A"/>
    <w:rsid w:val="0076498E"/>
    <w:rsid w:val="007650B8"/>
    <w:rsid w:val="00765177"/>
    <w:rsid w:val="00765F61"/>
    <w:rsid w:val="00766EFB"/>
    <w:rsid w:val="007673B5"/>
    <w:rsid w:val="00767E80"/>
    <w:rsid w:val="00771448"/>
    <w:rsid w:val="00773AA0"/>
    <w:rsid w:val="00774293"/>
    <w:rsid w:val="0077484D"/>
    <w:rsid w:val="00774FE7"/>
    <w:rsid w:val="007777B4"/>
    <w:rsid w:val="0077795D"/>
    <w:rsid w:val="00780428"/>
    <w:rsid w:val="00780676"/>
    <w:rsid w:val="00780A89"/>
    <w:rsid w:val="00782052"/>
    <w:rsid w:val="0078444A"/>
    <w:rsid w:val="00786EEE"/>
    <w:rsid w:val="00787292"/>
    <w:rsid w:val="00790C06"/>
    <w:rsid w:val="0079313A"/>
    <w:rsid w:val="00793653"/>
    <w:rsid w:val="00793AFF"/>
    <w:rsid w:val="00795BBE"/>
    <w:rsid w:val="0079706D"/>
    <w:rsid w:val="007A0902"/>
    <w:rsid w:val="007A0916"/>
    <w:rsid w:val="007A0CA9"/>
    <w:rsid w:val="007A16C1"/>
    <w:rsid w:val="007A19AC"/>
    <w:rsid w:val="007A2DA8"/>
    <w:rsid w:val="007A30B9"/>
    <w:rsid w:val="007A30C7"/>
    <w:rsid w:val="007A4978"/>
    <w:rsid w:val="007A4A81"/>
    <w:rsid w:val="007A577F"/>
    <w:rsid w:val="007A6392"/>
    <w:rsid w:val="007A6CE7"/>
    <w:rsid w:val="007A7A47"/>
    <w:rsid w:val="007B0A1A"/>
    <w:rsid w:val="007B2DD6"/>
    <w:rsid w:val="007B36DC"/>
    <w:rsid w:val="007B38ED"/>
    <w:rsid w:val="007B4DC9"/>
    <w:rsid w:val="007B50DF"/>
    <w:rsid w:val="007B5B69"/>
    <w:rsid w:val="007B5E36"/>
    <w:rsid w:val="007B6E21"/>
    <w:rsid w:val="007B75C8"/>
    <w:rsid w:val="007B7C08"/>
    <w:rsid w:val="007C012B"/>
    <w:rsid w:val="007C1C0F"/>
    <w:rsid w:val="007C27EB"/>
    <w:rsid w:val="007C2E03"/>
    <w:rsid w:val="007C31C3"/>
    <w:rsid w:val="007C372A"/>
    <w:rsid w:val="007C3D3A"/>
    <w:rsid w:val="007C50BF"/>
    <w:rsid w:val="007C6E14"/>
    <w:rsid w:val="007C6F5B"/>
    <w:rsid w:val="007C7EAD"/>
    <w:rsid w:val="007D0D9E"/>
    <w:rsid w:val="007D5453"/>
    <w:rsid w:val="007D601C"/>
    <w:rsid w:val="007D7E67"/>
    <w:rsid w:val="007E048C"/>
    <w:rsid w:val="007E2767"/>
    <w:rsid w:val="007E2B0A"/>
    <w:rsid w:val="007E36E5"/>
    <w:rsid w:val="007E39FE"/>
    <w:rsid w:val="007E3D23"/>
    <w:rsid w:val="007E5F28"/>
    <w:rsid w:val="007E6157"/>
    <w:rsid w:val="007E67D9"/>
    <w:rsid w:val="007E755A"/>
    <w:rsid w:val="007E75CC"/>
    <w:rsid w:val="007F0396"/>
    <w:rsid w:val="007F0A30"/>
    <w:rsid w:val="007F140A"/>
    <w:rsid w:val="007F41D2"/>
    <w:rsid w:val="007F44EA"/>
    <w:rsid w:val="007F4CAF"/>
    <w:rsid w:val="007F59C7"/>
    <w:rsid w:val="007F7D00"/>
    <w:rsid w:val="007F7FCE"/>
    <w:rsid w:val="008006CF"/>
    <w:rsid w:val="008017A6"/>
    <w:rsid w:val="008019CC"/>
    <w:rsid w:val="008023E9"/>
    <w:rsid w:val="008039C3"/>
    <w:rsid w:val="00803B6C"/>
    <w:rsid w:val="00804BFF"/>
    <w:rsid w:val="00807591"/>
    <w:rsid w:val="00810921"/>
    <w:rsid w:val="00811598"/>
    <w:rsid w:val="00811A90"/>
    <w:rsid w:val="00813DC2"/>
    <w:rsid w:val="0081443D"/>
    <w:rsid w:val="00814D2D"/>
    <w:rsid w:val="00815950"/>
    <w:rsid w:val="00817192"/>
    <w:rsid w:val="00820497"/>
    <w:rsid w:val="00820877"/>
    <w:rsid w:val="00822385"/>
    <w:rsid w:val="00823D27"/>
    <w:rsid w:val="00826127"/>
    <w:rsid w:val="008269D2"/>
    <w:rsid w:val="00831714"/>
    <w:rsid w:val="0083218A"/>
    <w:rsid w:val="00832B26"/>
    <w:rsid w:val="0083390B"/>
    <w:rsid w:val="00835BC3"/>
    <w:rsid w:val="0083602F"/>
    <w:rsid w:val="0083604E"/>
    <w:rsid w:val="00840D48"/>
    <w:rsid w:val="00840E27"/>
    <w:rsid w:val="00841AEF"/>
    <w:rsid w:val="00842C98"/>
    <w:rsid w:val="00844790"/>
    <w:rsid w:val="00845867"/>
    <w:rsid w:val="0084594A"/>
    <w:rsid w:val="00845DDE"/>
    <w:rsid w:val="0085357B"/>
    <w:rsid w:val="00853887"/>
    <w:rsid w:val="00854E2E"/>
    <w:rsid w:val="0085556B"/>
    <w:rsid w:val="0086023B"/>
    <w:rsid w:val="00860DD6"/>
    <w:rsid w:val="008612A7"/>
    <w:rsid w:val="00861456"/>
    <w:rsid w:val="008629B0"/>
    <w:rsid w:val="00863593"/>
    <w:rsid w:val="008639E5"/>
    <w:rsid w:val="00863C4B"/>
    <w:rsid w:val="00864256"/>
    <w:rsid w:val="008658D6"/>
    <w:rsid w:val="00865C8A"/>
    <w:rsid w:val="00865F75"/>
    <w:rsid w:val="008660B6"/>
    <w:rsid w:val="008668F9"/>
    <w:rsid w:val="00866BCB"/>
    <w:rsid w:val="00867842"/>
    <w:rsid w:val="00867E04"/>
    <w:rsid w:val="00867E6C"/>
    <w:rsid w:val="0087077F"/>
    <w:rsid w:val="008717E3"/>
    <w:rsid w:val="00871827"/>
    <w:rsid w:val="0087223D"/>
    <w:rsid w:val="00872670"/>
    <w:rsid w:val="00874DD3"/>
    <w:rsid w:val="00874EEF"/>
    <w:rsid w:val="008760FA"/>
    <w:rsid w:val="00876F16"/>
    <w:rsid w:val="00881907"/>
    <w:rsid w:val="00882EF0"/>
    <w:rsid w:val="00883217"/>
    <w:rsid w:val="008838B8"/>
    <w:rsid w:val="00884B57"/>
    <w:rsid w:val="00884D68"/>
    <w:rsid w:val="00886F0E"/>
    <w:rsid w:val="0088751D"/>
    <w:rsid w:val="00890566"/>
    <w:rsid w:val="00891705"/>
    <w:rsid w:val="00891B6E"/>
    <w:rsid w:val="00894F8F"/>
    <w:rsid w:val="00894FAA"/>
    <w:rsid w:val="0089513F"/>
    <w:rsid w:val="0089584B"/>
    <w:rsid w:val="00895C41"/>
    <w:rsid w:val="008965AF"/>
    <w:rsid w:val="00897C35"/>
    <w:rsid w:val="008A34F9"/>
    <w:rsid w:val="008A3895"/>
    <w:rsid w:val="008A4700"/>
    <w:rsid w:val="008A5233"/>
    <w:rsid w:val="008A5643"/>
    <w:rsid w:val="008A7B56"/>
    <w:rsid w:val="008B030A"/>
    <w:rsid w:val="008B0680"/>
    <w:rsid w:val="008B0730"/>
    <w:rsid w:val="008B2628"/>
    <w:rsid w:val="008B29C1"/>
    <w:rsid w:val="008B3EEC"/>
    <w:rsid w:val="008B47F3"/>
    <w:rsid w:val="008B508E"/>
    <w:rsid w:val="008B6AC6"/>
    <w:rsid w:val="008B6DDA"/>
    <w:rsid w:val="008B6FC5"/>
    <w:rsid w:val="008B7FA0"/>
    <w:rsid w:val="008C0AA0"/>
    <w:rsid w:val="008C0FCD"/>
    <w:rsid w:val="008C1F14"/>
    <w:rsid w:val="008C1F5B"/>
    <w:rsid w:val="008C28B8"/>
    <w:rsid w:val="008C329A"/>
    <w:rsid w:val="008C3A88"/>
    <w:rsid w:val="008C4062"/>
    <w:rsid w:val="008C4C68"/>
    <w:rsid w:val="008C4F21"/>
    <w:rsid w:val="008C59FB"/>
    <w:rsid w:val="008C5CB5"/>
    <w:rsid w:val="008C7517"/>
    <w:rsid w:val="008D02DF"/>
    <w:rsid w:val="008D03F8"/>
    <w:rsid w:val="008D22F4"/>
    <w:rsid w:val="008D3203"/>
    <w:rsid w:val="008D344D"/>
    <w:rsid w:val="008D40AB"/>
    <w:rsid w:val="008D44C2"/>
    <w:rsid w:val="008D5403"/>
    <w:rsid w:val="008D6735"/>
    <w:rsid w:val="008E1868"/>
    <w:rsid w:val="008E2D2E"/>
    <w:rsid w:val="008E49E1"/>
    <w:rsid w:val="008E5784"/>
    <w:rsid w:val="008E5CC0"/>
    <w:rsid w:val="008E70AC"/>
    <w:rsid w:val="008E75A7"/>
    <w:rsid w:val="008E7C66"/>
    <w:rsid w:val="008F0078"/>
    <w:rsid w:val="008F108F"/>
    <w:rsid w:val="008F17D1"/>
    <w:rsid w:val="008F2574"/>
    <w:rsid w:val="008F4253"/>
    <w:rsid w:val="008F6069"/>
    <w:rsid w:val="008F79F7"/>
    <w:rsid w:val="008F7F4A"/>
    <w:rsid w:val="009004F5"/>
    <w:rsid w:val="00901A04"/>
    <w:rsid w:val="0090208B"/>
    <w:rsid w:val="00906D9F"/>
    <w:rsid w:val="00907D4A"/>
    <w:rsid w:val="00911437"/>
    <w:rsid w:val="00912824"/>
    <w:rsid w:val="0091353A"/>
    <w:rsid w:val="00914FF4"/>
    <w:rsid w:val="00915800"/>
    <w:rsid w:val="00916D30"/>
    <w:rsid w:val="009173C9"/>
    <w:rsid w:val="00920513"/>
    <w:rsid w:val="00921E59"/>
    <w:rsid w:val="009241B7"/>
    <w:rsid w:val="0092434A"/>
    <w:rsid w:val="00924D70"/>
    <w:rsid w:val="00926714"/>
    <w:rsid w:val="00926FAC"/>
    <w:rsid w:val="009276A6"/>
    <w:rsid w:val="00927C17"/>
    <w:rsid w:val="00930A26"/>
    <w:rsid w:val="00931DFB"/>
    <w:rsid w:val="0093218D"/>
    <w:rsid w:val="00932A4D"/>
    <w:rsid w:val="00932D70"/>
    <w:rsid w:val="0093380E"/>
    <w:rsid w:val="009338EC"/>
    <w:rsid w:val="00933F1B"/>
    <w:rsid w:val="00933F56"/>
    <w:rsid w:val="00934BBB"/>
    <w:rsid w:val="00937279"/>
    <w:rsid w:val="00940E2A"/>
    <w:rsid w:val="0094117D"/>
    <w:rsid w:val="00941E4B"/>
    <w:rsid w:val="00942CDB"/>
    <w:rsid w:val="00943EBF"/>
    <w:rsid w:val="00947B69"/>
    <w:rsid w:val="00947C6B"/>
    <w:rsid w:val="00950229"/>
    <w:rsid w:val="009508B3"/>
    <w:rsid w:val="00951152"/>
    <w:rsid w:val="0095173B"/>
    <w:rsid w:val="00952268"/>
    <w:rsid w:val="00952C4A"/>
    <w:rsid w:val="0095302B"/>
    <w:rsid w:val="009530B6"/>
    <w:rsid w:val="00954354"/>
    <w:rsid w:val="009549CA"/>
    <w:rsid w:val="00954A69"/>
    <w:rsid w:val="00954D0C"/>
    <w:rsid w:val="009551DC"/>
    <w:rsid w:val="00955E7B"/>
    <w:rsid w:val="0095731C"/>
    <w:rsid w:val="00960BA4"/>
    <w:rsid w:val="0096205A"/>
    <w:rsid w:val="009624A9"/>
    <w:rsid w:val="00964314"/>
    <w:rsid w:val="00964AE9"/>
    <w:rsid w:val="0096520B"/>
    <w:rsid w:val="0096589C"/>
    <w:rsid w:val="00965DDA"/>
    <w:rsid w:val="0096697A"/>
    <w:rsid w:val="00967273"/>
    <w:rsid w:val="009676F7"/>
    <w:rsid w:val="0096774D"/>
    <w:rsid w:val="00972131"/>
    <w:rsid w:val="0097369E"/>
    <w:rsid w:val="009744E3"/>
    <w:rsid w:val="00974AC5"/>
    <w:rsid w:val="00974E3E"/>
    <w:rsid w:val="009752C4"/>
    <w:rsid w:val="00976247"/>
    <w:rsid w:val="0097676F"/>
    <w:rsid w:val="00977188"/>
    <w:rsid w:val="009810C7"/>
    <w:rsid w:val="009814E4"/>
    <w:rsid w:val="009818D9"/>
    <w:rsid w:val="009819BA"/>
    <w:rsid w:val="009819D2"/>
    <w:rsid w:val="00982D6C"/>
    <w:rsid w:val="00982FA9"/>
    <w:rsid w:val="009837B6"/>
    <w:rsid w:val="00984319"/>
    <w:rsid w:val="0098608C"/>
    <w:rsid w:val="009869B6"/>
    <w:rsid w:val="00986F45"/>
    <w:rsid w:val="0098763E"/>
    <w:rsid w:val="009876D5"/>
    <w:rsid w:val="009902D5"/>
    <w:rsid w:val="00991E82"/>
    <w:rsid w:val="00992A1A"/>
    <w:rsid w:val="00992A9D"/>
    <w:rsid w:val="00992C15"/>
    <w:rsid w:val="00993D74"/>
    <w:rsid w:val="009948CB"/>
    <w:rsid w:val="00994F0E"/>
    <w:rsid w:val="00995BE7"/>
    <w:rsid w:val="00995CBD"/>
    <w:rsid w:val="009967B8"/>
    <w:rsid w:val="00997025"/>
    <w:rsid w:val="009A0902"/>
    <w:rsid w:val="009A0930"/>
    <w:rsid w:val="009A1806"/>
    <w:rsid w:val="009A2DF4"/>
    <w:rsid w:val="009A374A"/>
    <w:rsid w:val="009A3998"/>
    <w:rsid w:val="009A5326"/>
    <w:rsid w:val="009A5AD6"/>
    <w:rsid w:val="009B000B"/>
    <w:rsid w:val="009B04E8"/>
    <w:rsid w:val="009B06A2"/>
    <w:rsid w:val="009B0AAB"/>
    <w:rsid w:val="009B18EC"/>
    <w:rsid w:val="009B1C4E"/>
    <w:rsid w:val="009B1ED4"/>
    <w:rsid w:val="009B1EF7"/>
    <w:rsid w:val="009B2FAA"/>
    <w:rsid w:val="009B389F"/>
    <w:rsid w:val="009B490A"/>
    <w:rsid w:val="009B4CC0"/>
    <w:rsid w:val="009B5D31"/>
    <w:rsid w:val="009B6260"/>
    <w:rsid w:val="009B6D7A"/>
    <w:rsid w:val="009C1145"/>
    <w:rsid w:val="009C189B"/>
    <w:rsid w:val="009C3A21"/>
    <w:rsid w:val="009C4D6C"/>
    <w:rsid w:val="009C54CA"/>
    <w:rsid w:val="009C650C"/>
    <w:rsid w:val="009C6BC1"/>
    <w:rsid w:val="009C7868"/>
    <w:rsid w:val="009D0201"/>
    <w:rsid w:val="009D0669"/>
    <w:rsid w:val="009D0B65"/>
    <w:rsid w:val="009D0F88"/>
    <w:rsid w:val="009D1289"/>
    <w:rsid w:val="009D149D"/>
    <w:rsid w:val="009D44C8"/>
    <w:rsid w:val="009D4E24"/>
    <w:rsid w:val="009D76E7"/>
    <w:rsid w:val="009E0A35"/>
    <w:rsid w:val="009E0E8F"/>
    <w:rsid w:val="009E12A6"/>
    <w:rsid w:val="009E1DD0"/>
    <w:rsid w:val="009E22AC"/>
    <w:rsid w:val="009E28B7"/>
    <w:rsid w:val="009E2BEE"/>
    <w:rsid w:val="009E3400"/>
    <w:rsid w:val="009E404F"/>
    <w:rsid w:val="009E5C22"/>
    <w:rsid w:val="009E6122"/>
    <w:rsid w:val="009E6161"/>
    <w:rsid w:val="009E797F"/>
    <w:rsid w:val="009F5CC1"/>
    <w:rsid w:val="009F6ACD"/>
    <w:rsid w:val="00A0172E"/>
    <w:rsid w:val="00A01C8F"/>
    <w:rsid w:val="00A03259"/>
    <w:rsid w:val="00A036F0"/>
    <w:rsid w:val="00A03855"/>
    <w:rsid w:val="00A06411"/>
    <w:rsid w:val="00A103D4"/>
    <w:rsid w:val="00A10808"/>
    <w:rsid w:val="00A112D3"/>
    <w:rsid w:val="00A11954"/>
    <w:rsid w:val="00A124C2"/>
    <w:rsid w:val="00A14EC4"/>
    <w:rsid w:val="00A154DF"/>
    <w:rsid w:val="00A16422"/>
    <w:rsid w:val="00A16F49"/>
    <w:rsid w:val="00A20039"/>
    <w:rsid w:val="00A200B6"/>
    <w:rsid w:val="00A20898"/>
    <w:rsid w:val="00A2138E"/>
    <w:rsid w:val="00A21F52"/>
    <w:rsid w:val="00A22063"/>
    <w:rsid w:val="00A22784"/>
    <w:rsid w:val="00A2360A"/>
    <w:rsid w:val="00A23CC9"/>
    <w:rsid w:val="00A26410"/>
    <w:rsid w:val="00A27390"/>
    <w:rsid w:val="00A2769F"/>
    <w:rsid w:val="00A278DC"/>
    <w:rsid w:val="00A278E4"/>
    <w:rsid w:val="00A302EA"/>
    <w:rsid w:val="00A30B1E"/>
    <w:rsid w:val="00A30C0E"/>
    <w:rsid w:val="00A31661"/>
    <w:rsid w:val="00A32354"/>
    <w:rsid w:val="00A334B9"/>
    <w:rsid w:val="00A33B64"/>
    <w:rsid w:val="00A3428E"/>
    <w:rsid w:val="00A348AC"/>
    <w:rsid w:val="00A348E6"/>
    <w:rsid w:val="00A34D9E"/>
    <w:rsid w:val="00A34E93"/>
    <w:rsid w:val="00A35522"/>
    <w:rsid w:val="00A35624"/>
    <w:rsid w:val="00A3647A"/>
    <w:rsid w:val="00A404D7"/>
    <w:rsid w:val="00A41765"/>
    <w:rsid w:val="00A4259A"/>
    <w:rsid w:val="00A42913"/>
    <w:rsid w:val="00A42F4F"/>
    <w:rsid w:val="00A44631"/>
    <w:rsid w:val="00A447C8"/>
    <w:rsid w:val="00A45D45"/>
    <w:rsid w:val="00A468EC"/>
    <w:rsid w:val="00A46EAD"/>
    <w:rsid w:val="00A4702C"/>
    <w:rsid w:val="00A500B6"/>
    <w:rsid w:val="00A5086B"/>
    <w:rsid w:val="00A520EB"/>
    <w:rsid w:val="00A539F0"/>
    <w:rsid w:val="00A54321"/>
    <w:rsid w:val="00A54BA4"/>
    <w:rsid w:val="00A55EE6"/>
    <w:rsid w:val="00A56867"/>
    <w:rsid w:val="00A6077F"/>
    <w:rsid w:val="00A61E7B"/>
    <w:rsid w:val="00A6425D"/>
    <w:rsid w:val="00A64960"/>
    <w:rsid w:val="00A6551E"/>
    <w:rsid w:val="00A6560D"/>
    <w:rsid w:val="00A65756"/>
    <w:rsid w:val="00A65BE0"/>
    <w:rsid w:val="00A661F6"/>
    <w:rsid w:val="00A6732B"/>
    <w:rsid w:val="00A70A25"/>
    <w:rsid w:val="00A70B32"/>
    <w:rsid w:val="00A72152"/>
    <w:rsid w:val="00A7252B"/>
    <w:rsid w:val="00A7318F"/>
    <w:rsid w:val="00A73A09"/>
    <w:rsid w:val="00A73AFA"/>
    <w:rsid w:val="00A757D6"/>
    <w:rsid w:val="00A766F5"/>
    <w:rsid w:val="00A7768C"/>
    <w:rsid w:val="00A77D41"/>
    <w:rsid w:val="00A8063E"/>
    <w:rsid w:val="00A813A8"/>
    <w:rsid w:val="00A824C5"/>
    <w:rsid w:val="00A82A29"/>
    <w:rsid w:val="00A84C97"/>
    <w:rsid w:val="00A84EBA"/>
    <w:rsid w:val="00A85668"/>
    <w:rsid w:val="00A872CC"/>
    <w:rsid w:val="00A915B1"/>
    <w:rsid w:val="00A91680"/>
    <w:rsid w:val="00A91B1B"/>
    <w:rsid w:val="00A91B90"/>
    <w:rsid w:val="00A9462A"/>
    <w:rsid w:val="00A96284"/>
    <w:rsid w:val="00A9641E"/>
    <w:rsid w:val="00A96D2D"/>
    <w:rsid w:val="00A970B1"/>
    <w:rsid w:val="00A972BF"/>
    <w:rsid w:val="00A97C47"/>
    <w:rsid w:val="00A97F72"/>
    <w:rsid w:val="00AA1C5E"/>
    <w:rsid w:val="00AA2A4A"/>
    <w:rsid w:val="00AA2B45"/>
    <w:rsid w:val="00AA558E"/>
    <w:rsid w:val="00AA64EE"/>
    <w:rsid w:val="00AA7C06"/>
    <w:rsid w:val="00AA7F4B"/>
    <w:rsid w:val="00AB0354"/>
    <w:rsid w:val="00AB0A15"/>
    <w:rsid w:val="00AB0F25"/>
    <w:rsid w:val="00AB0FD2"/>
    <w:rsid w:val="00AB18C5"/>
    <w:rsid w:val="00AB26C8"/>
    <w:rsid w:val="00AB2EA2"/>
    <w:rsid w:val="00AB3BC5"/>
    <w:rsid w:val="00AB4118"/>
    <w:rsid w:val="00AB4F64"/>
    <w:rsid w:val="00AB689D"/>
    <w:rsid w:val="00AB7423"/>
    <w:rsid w:val="00AC04EF"/>
    <w:rsid w:val="00AC20D0"/>
    <w:rsid w:val="00AC4158"/>
    <w:rsid w:val="00AC4608"/>
    <w:rsid w:val="00AC4F3B"/>
    <w:rsid w:val="00AC5CB6"/>
    <w:rsid w:val="00AC63E0"/>
    <w:rsid w:val="00AC65F9"/>
    <w:rsid w:val="00AC7B06"/>
    <w:rsid w:val="00AD0DF2"/>
    <w:rsid w:val="00AD11F0"/>
    <w:rsid w:val="00AD15BF"/>
    <w:rsid w:val="00AD1B4B"/>
    <w:rsid w:val="00AD2544"/>
    <w:rsid w:val="00AD36C6"/>
    <w:rsid w:val="00AD3A67"/>
    <w:rsid w:val="00AD447E"/>
    <w:rsid w:val="00AD527D"/>
    <w:rsid w:val="00AD60CA"/>
    <w:rsid w:val="00AD624D"/>
    <w:rsid w:val="00AE0BDB"/>
    <w:rsid w:val="00AE0EC1"/>
    <w:rsid w:val="00AE0F4B"/>
    <w:rsid w:val="00AE1A22"/>
    <w:rsid w:val="00AE3428"/>
    <w:rsid w:val="00AE37A7"/>
    <w:rsid w:val="00AE39E8"/>
    <w:rsid w:val="00AE3E1D"/>
    <w:rsid w:val="00AE3EA3"/>
    <w:rsid w:val="00AE4A43"/>
    <w:rsid w:val="00AE6A81"/>
    <w:rsid w:val="00AF1DC7"/>
    <w:rsid w:val="00AF2C7C"/>
    <w:rsid w:val="00AF3B6B"/>
    <w:rsid w:val="00AF3C95"/>
    <w:rsid w:val="00AF591D"/>
    <w:rsid w:val="00AF5B3E"/>
    <w:rsid w:val="00AF5FD7"/>
    <w:rsid w:val="00B00808"/>
    <w:rsid w:val="00B009DD"/>
    <w:rsid w:val="00B01980"/>
    <w:rsid w:val="00B01A6F"/>
    <w:rsid w:val="00B021FC"/>
    <w:rsid w:val="00B026BA"/>
    <w:rsid w:val="00B03A3C"/>
    <w:rsid w:val="00B03D59"/>
    <w:rsid w:val="00B03F14"/>
    <w:rsid w:val="00B053FC"/>
    <w:rsid w:val="00B066AB"/>
    <w:rsid w:val="00B07596"/>
    <w:rsid w:val="00B07BB8"/>
    <w:rsid w:val="00B07DE6"/>
    <w:rsid w:val="00B102EF"/>
    <w:rsid w:val="00B11830"/>
    <w:rsid w:val="00B119BA"/>
    <w:rsid w:val="00B130BE"/>
    <w:rsid w:val="00B13842"/>
    <w:rsid w:val="00B14A8A"/>
    <w:rsid w:val="00B14B0F"/>
    <w:rsid w:val="00B154A8"/>
    <w:rsid w:val="00B1561A"/>
    <w:rsid w:val="00B15D6F"/>
    <w:rsid w:val="00B165E2"/>
    <w:rsid w:val="00B17B15"/>
    <w:rsid w:val="00B2284F"/>
    <w:rsid w:val="00B22955"/>
    <w:rsid w:val="00B22F82"/>
    <w:rsid w:val="00B237D0"/>
    <w:rsid w:val="00B27988"/>
    <w:rsid w:val="00B315AE"/>
    <w:rsid w:val="00B31E3B"/>
    <w:rsid w:val="00B32467"/>
    <w:rsid w:val="00B34056"/>
    <w:rsid w:val="00B3643A"/>
    <w:rsid w:val="00B3651C"/>
    <w:rsid w:val="00B3678D"/>
    <w:rsid w:val="00B404B1"/>
    <w:rsid w:val="00B42291"/>
    <w:rsid w:val="00B427BC"/>
    <w:rsid w:val="00B428D7"/>
    <w:rsid w:val="00B44370"/>
    <w:rsid w:val="00B4504B"/>
    <w:rsid w:val="00B45C27"/>
    <w:rsid w:val="00B4636E"/>
    <w:rsid w:val="00B46F11"/>
    <w:rsid w:val="00B475CC"/>
    <w:rsid w:val="00B50137"/>
    <w:rsid w:val="00B50DE0"/>
    <w:rsid w:val="00B53AF5"/>
    <w:rsid w:val="00B53CAD"/>
    <w:rsid w:val="00B54952"/>
    <w:rsid w:val="00B5596E"/>
    <w:rsid w:val="00B566CB"/>
    <w:rsid w:val="00B56B09"/>
    <w:rsid w:val="00B57158"/>
    <w:rsid w:val="00B60CAE"/>
    <w:rsid w:val="00B60DD6"/>
    <w:rsid w:val="00B62C93"/>
    <w:rsid w:val="00B64502"/>
    <w:rsid w:val="00B64818"/>
    <w:rsid w:val="00B648CA"/>
    <w:rsid w:val="00B6496C"/>
    <w:rsid w:val="00B658CD"/>
    <w:rsid w:val="00B663C0"/>
    <w:rsid w:val="00B66F2D"/>
    <w:rsid w:val="00B6728E"/>
    <w:rsid w:val="00B70442"/>
    <w:rsid w:val="00B7093D"/>
    <w:rsid w:val="00B714E6"/>
    <w:rsid w:val="00B72E68"/>
    <w:rsid w:val="00B73A0D"/>
    <w:rsid w:val="00B73F56"/>
    <w:rsid w:val="00B765C7"/>
    <w:rsid w:val="00B8062F"/>
    <w:rsid w:val="00B809E7"/>
    <w:rsid w:val="00B81A25"/>
    <w:rsid w:val="00B826AA"/>
    <w:rsid w:val="00B840EA"/>
    <w:rsid w:val="00B84DF3"/>
    <w:rsid w:val="00B852C7"/>
    <w:rsid w:val="00B85419"/>
    <w:rsid w:val="00B860CC"/>
    <w:rsid w:val="00B87600"/>
    <w:rsid w:val="00B87649"/>
    <w:rsid w:val="00B87EA5"/>
    <w:rsid w:val="00B87FA3"/>
    <w:rsid w:val="00B9196C"/>
    <w:rsid w:val="00B91D4F"/>
    <w:rsid w:val="00B921B3"/>
    <w:rsid w:val="00B92950"/>
    <w:rsid w:val="00B933A5"/>
    <w:rsid w:val="00B94C04"/>
    <w:rsid w:val="00B95485"/>
    <w:rsid w:val="00B962FF"/>
    <w:rsid w:val="00B969E3"/>
    <w:rsid w:val="00B9772A"/>
    <w:rsid w:val="00B9776D"/>
    <w:rsid w:val="00B978D4"/>
    <w:rsid w:val="00B97C5C"/>
    <w:rsid w:val="00BA0785"/>
    <w:rsid w:val="00BA12C7"/>
    <w:rsid w:val="00BA21CE"/>
    <w:rsid w:val="00BA265D"/>
    <w:rsid w:val="00BA284F"/>
    <w:rsid w:val="00BA3C83"/>
    <w:rsid w:val="00BA3F81"/>
    <w:rsid w:val="00BA455B"/>
    <w:rsid w:val="00BA67B2"/>
    <w:rsid w:val="00BA7144"/>
    <w:rsid w:val="00BA78B9"/>
    <w:rsid w:val="00BA7F65"/>
    <w:rsid w:val="00BB0CD1"/>
    <w:rsid w:val="00BB0D22"/>
    <w:rsid w:val="00BB19C6"/>
    <w:rsid w:val="00BB19C8"/>
    <w:rsid w:val="00BB1C96"/>
    <w:rsid w:val="00BB27B3"/>
    <w:rsid w:val="00BB39DE"/>
    <w:rsid w:val="00BB6BE8"/>
    <w:rsid w:val="00BB786C"/>
    <w:rsid w:val="00BC0E2D"/>
    <w:rsid w:val="00BC100F"/>
    <w:rsid w:val="00BC11B1"/>
    <w:rsid w:val="00BC140E"/>
    <w:rsid w:val="00BC1604"/>
    <w:rsid w:val="00BC1C57"/>
    <w:rsid w:val="00BC1D8B"/>
    <w:rsid w:val="00BC2270"/>
    <w:rsid w:val="00BC4C59"/>
    <w:rsid w:val="00BC53A8"/>
    <w:rsid w:val="00BC74FE"/>
    <w:rsid w:val="00BD232C"/>
    <w:rsid w:val="00BD4C93"/>
    <w:rsid w:val="00BD6032"/>
    <w:rsid w:val="00BD6045"/>
    <w:rsid w:val="00BD679C"/>
    <w:rsid w:val="00BD7E95"/>
    <w:rsid w:val="00BE032A"/>
    <w:rsid w:val="00BE24AF"/>
    <w:rsid w:val="00BE2881"/>
    <w:rsid w:val="00BE432B"/>
    <w:rsid w:val="00BE6A6E"/>
    <w:rsid w:val="00BF0AE5"/>
    <w:rsid w:val="00BF0F98"/>
    <w:rsid w:val="00BF2A25"/>
    <w:rsid w:val="00BF2BD9"/>
    <w:rsid w:val="00BF2E2F"/>
    <w:rsid w:val="00BF3105"/>
    <w:rsid w:val="00BF4CF0"/>
    <w:rsid w:val="00BF5054"/>
    <w:rsid w:val="00BF5182"/>
    <w:rsid w:val="00BF52E2"/>
    <w:rsid w:val="00BF605D"/>
    <w:rsid w:val="00BF62D7"/>
    <w:rsid w:val="00BF68C4"/>
    <w:rsid w:val="00BF691B"/>
    <w:rsid w:val="00C009C9"/>
    <w:rsid w:val="00C01B36"/>
    <w:rsid w:val="00C02237"/>
    <w:rsid w:val="00C030D4"/>
    <w:rsid w:val="00C041D1"/>
    <w:rsid w:val="00C05A15"/>
    <w:rsid w:val="00C061D4"/>
    <w:rsid w:val="00C0785E"/>
    <w:rsid w:val="00C07FB2"/>
    <w:rsid w:val="00C10A62"/>
    <w:rsid w:val="00C10CAE"/>
    <w:rsid w:val="00C11886"/>
    <w:rsid w:val="00C1208D"/>
    <w:rsid w:val="00C143A1"/>
    <w:rsid w:val="00C14DF7"/>
    <w:rsid w:val="00C15195"/>
    <w:rsid w:val="00C15F2C"/>
    <w:rsid w:val="00C171FF"/>
    <w:rsid w:val="00C177E0"/>
    <w:rsid w:val="00C20360"/>
    <w:rsid w:val="00C20C97"/>
    <w:rsid w:val="00C2110A"/>
    <w:rsid w:val="00C21366"/>
    <w:rsid w:val="00C21870"/>
    <w:rsid w:val="00C22678"/>
    <w:rsid w:val="00C22EFF"/>
    <w:rsid w:val="00C23C1B"/>
    <w:rsid w:val="00C23D1F"/>
    <w:rsid w:val="00C24336"/>
    <w:rsid w:val="00C25ADE"/>
    <w:rsid w:val="00C26B03"/>
    <w:rsid w:val="00C27AF1"/>
    <w:rsid w:val="00C3050E"/>
    <w:rsid w:val="00C30E3E"/>
    <w:rsid w:val="00C32665"/>
    <w:rsid w:val="00C3362A"/>
    <w:rsid w:val="00C33F68"/>
    <w:rsid w:val="00C3414A"/>
    <w:rsid w:val="00C34B7C"/>
    <w:rsid w:val="00C35D25"/>
    <w:rsid w:val="00C37962"/>
    <w:rsid w:val="00C4039D"/>
    <w:rsid w:val="00C4072C"/>
    <w:rsid w:val="00C41134"/>
    <w:rsid w:val="00C4152C"/>
    <w:rsid w:val="00C41B64"/>
    <w:rsid w:val="00C42811"/>
    <w:rsid w:val="00C43465"/>
    <w:rsid w:val="00C45898"/>
    <w:rsid w:val="00C46849"/>
    <w:rsid w:val="00C47D91"/>
    <w:rsid w:val="00C502EE"/>
    <w:rsid w:val="00C50D16"/>
    <w:rsid w:val="00C50F47"/>
    <w:rsid w:val="00C5191B"/>
    <w:rsid w:val="00C519A8"/>
    <w:rsid w:val="00C525B9"/>
    <w:rsid w:val="00C53735"/>
    <w:rsid w:val="00C54EAA"/>
    <w:rsid w:val="00C5663D"/>
    <w:rsid w:val="00C56793"/>
    <w:rsid w:val="00C57A7C"/>
    <w:rsid w:val="00C6030F"/>
    <w:rsid w:val="00C6047B"/>
    <w:rsid w:val="00C6076A"/>
    <w:rsid w:val="00C616A7"/>
    <w:rsid w:val="00C62432"/>
    <w:rsid w:val="00C62512"/>
    <w:rsid w:val="00C62A02"/>
    <w:rsid w:val="00C62AF7"/>
    <w:rsid w:val="00C62B30"/>
    <w:rsid w:val="00C63442"/>
    <w:rsid w:val="00C63690"/>
    <w:rsid w:val="00C638E0"/>
    <w:rsid w:val="00C63976"/>
    <w:rsid w:val="00C66A55"/>
    <w:rsid w:val="00C704E2"/>
    <w:rsid w:val="00C70755"/>
    <w:rsid w:val="00C709A0"/>
    <w:rsid w:val="00C71FD0"/>
    <w:rsid w:val="00C7310E"/>
    <w:rsid w:val="00C74075"/>
    <w:rsid w:val="00C74505"/>
    <w:rsid w:val="00C750B9"/>
    <w:rsid w:val="00C756D9"/>
    <w:rsid w:val="00C76395"/>
    <w:rsid w:val="00C7644D"/>
    <w:rsid w:val="00C77143"/>
    <w:rsid w:val="00C80B98"/>
    <w:rsid w:val="00C81105"/>
    <w:rsid w:val="00C818AE"/>
    <w:rsid w:val="00C81E30"/>
    <w:rsid w:val="00C81E92"/>
    <w:rsid w:val="00C82AAC"/>
    <w:rsid w:val="00C82CDB"/>
    <w:rsid w:val="00C84D99"/>
    <w:rsid w:val="00C86A7E"/>
    <w:rsid w:val="00C902D9"/>
    <w:rsid w:val="00C90F7C"/>
    <w:rsid w:val="00C915FD"/>
    <w:rsid w:val="00C9225C"/>
    <w:rsid w:val="00C9280C"/>
    <w:rsid w:val="00C92F6A"/>
    <w:rsid w:val="00C941E7"/>
    <w:rsid w:val="00C94237"/>
    <w:rsid w:val="00C95297"/>
    <w:rsid w:val="00C96295"/>
    <w:rsid w:val="00C9678F"/>
    <w:rsid w:val="00C96C45"/>
    <w:rsid w:val="00C970E4"/>
    <w:rsid w:val="00C97C56"/>
    <w:rsid w:val="00CA0324"/>
    <w:rsid w:val="00CA29C1"/>
    <w:rsid w:val="00CA3497"/>
    <w:rsid w:val="00CA4FEC"/>
    <w:rsid w:val="00CA51B9"/>
    <w:rsid w:val="00CA6CB1"/>
    <w:rsid w:val="00CA762C"/>
    <w:rsid w:val="00CA7950"/>
    <w:rsid w:val="00CA7B14"/>
    <w:rsid w:val="00CB0D51"/>
    <w:rsid w:val="00CB24DD"/>
    <w:rsid w:val="00CB2957"/>
    <w:rsid w:val="00CB3AF8"/>
    <w:rsid w:val="00CB48FC"/>
    <w:rsid w:val="00CB5F54"/>
    <w:rsid w:val="00CC0274"/>
    <w:rsid w:val="00CC0BEA"/>
    <w:rsid w:val="00CC225B"/>
    <w:rsid w:val="00CC3B3A"/>
    <w:rsid w:val="00CC3B5B"/>
    <w:rsid w:val="00CC4EE9"/>
    <w:rsid w:val="00CC5622"/>
    <w:rsid w:val="00CC6CDF"/>
    <w:rsid w:val="00CC7963"/>
    <w:rsid w:val="00CD1628"/>
    <w:rsid w:val="00CD16FF"/>
    <w:rsid w:val="00CD28D8"/>
    <w:rsid w:val="00CD42CD"/>
    <w:rsid w:val="00CD484A"/>
    <w:rsid w:val="00CD564D"/>
    <w:rsid w:val="00CD605D"/>
    <w:rsid w:val="00CE0862"/>
    <w:rsid w:val="00CE1F05"/>
    <w:rsid w:val="00CE29E7"/>
    <w:rsid w:val="00CE2B08"/>
    <w:rsid w:val="00CE30A7"/>
    <w:rsid w:val="00CE330C"/>
    <w:rsid w:val="00CE4718"/>
    <w:rsid w:val="00CE47F4"/>
    <w:rsid w:val="00CE4919"/>
    <w:rsid w:val="00CE5210"/>
    <w:rsid w:val="00CE5351"/>
    <w:rsid w:val="00CE57CF"/>
    <w:rsid w:val="00CE62B9"/>
    <w:rsid w:val="00CE6667"/>
    <w:rsid w:val="00CE6C81"/>
    <w:rsid w:val="00CE7DE5"/>
    <w:rsid w:val="00CF0235"/>
    <w:rsid w:val="00CF02AB"/>
    <w:rsid w:val="00CF0868"/>
    <w:rsid w:val="00CF158A"/>
    <w:rsid w:val="00CF4D8A"/>
    <w:rsid w:val="00CF5372"/>
    <w:rsid w:val="00CF5BA7"/>
    <w:rsid w:val="00CF6D68"/>
    <w:rsid w:val="00CF6F91"/>
    <w:rsid w:val="00D00556"/>
    <w:rsid w:val="00D0096F"/>
    <w:rsid w:val="00D028CA"/>
    <w:rsid w:val="00D04DB8"/>
    <w:rsid w:val="00D04DE1"/>
    <w:rsid w:val="00D0626B"/>
    <w:rsid w:val="00D062AB"/>
    <w:rsid w:val="00D0645A"/>
    <w:rsid w:val="00D06F54"/>
    <w:rsid w:val="00D07D99"/>
    <w:rsid w:val="00D07DAE"/>
    <w:rsid w:val="00D104AB"/>
    <w:rsid w:val="00D10ECC"/>
    <w:rsid w:val="00D10EF4"/>
    <w:rsid w:val="00D1189E"/>
    <w:rsid w:val="00D134A8"/>
    <w:rsid w:val="00D13F81"/>
    <w:rsid w:val="00D145E7"/>
    <w:rsid w:val="00D14DA7"/>
    <w:rsid w:val="00D16693"/>
    <w:rsid w:val="00D171E0"/>
    <w:rsid w:val="00D172A8"/>
    <w:rsid w:val="00D20A9A"/>
    <w:rsid w:val="00D20EE2"/>
    <w:rsid w:val="00D21177"/>
    <w:rsid w:val="00D21D15"/>
    <w:rsid w:val="00D222D8"/>
    <w:rsid w:val="00D225B1"/>
    <w:rsid w:val="00D22C58"/>
    <w:rsid w:val="00D23B64"/>
    <w:rsid w:val="00D2443F"/>
    <w:rsid w:val="00D246E2"/>
    <w:rsid w:val="00D24735"/>
    <w:rsid w:val="00D24E44"/>
    <w:rsid w:val="00D26355"/>
    <w:rsid w:val="00D26CD6"/>
    <w:rsid w:val="00D27836"/>
    <w:rsid w:val="00D27CAB"/>
    <w:rsid w:val="00D30FC9"/>
    <w:rsid w:val="00D30FFC"/>
    <w:rsid w:val="00D31019"/>
    <w:rsid w:val="00D3124E"/>
    <w:rsid w:val="00D31916"/>
    <w:rsid w:val="00D31B93"/>
    <w:rsid w:val="00D323F1"/>
    <w:rsid w:val="00D34F3F"/>
    <w:rsid w:val="00D37232"/>
    <w:rsid w:val="00D373CE"/>
    <w:rsid w:val="00D40130"/>
    <w:rsid w:val="00D40747"/>
    <w:rsid w:val="00D4090B"/>
    <w:rsid w:val="00D42E16"/>
    <w:rsid w:val="00D43956"/>
    <w:rsid w:val="00D44F17"/>
    <w:rsid w:val="00D45ADF"/>
    <w:rsid w:val="00D47379"/>
    <w:rsid w:val="00D479D2"/>
    <w:rsid w:val="00D5095D"/>
    <w:rsid w:val="00D516DD"/>
    <w:rsid w:val="00D51A30"/>
    <w:rsid w:val="00D51A85"/>
    <w:rsid w:val="00D53F65"/>
    <w:rsid w:val="00D544E7"/>
    <w:rsid w:val="00D54856"/>
    <w:rsid w:val="00D5487B"/>
    <w:rsid w:val="00D5584B"/>
    <w:rsid w:val="00D57145"/>
    <w:rsid w:val="00D60900"/>
    <w:rsid w:val="00D60948"/>
    <w:rsid w:val="00D60CF9"/>
    <w:rsid w:val="00D60E5B"/>
    <w:rsid w:val="00D61F54"/>
    <w:rsid w:val="00D62DE7"/>
    <w:rsid w:val="00D63A56"/>
    <w:rsid w:val="00D6431A"/>
    <w:rsid w:val="00D67760"/>
    <w:rsid w:val="00D67FC5"/>
    <w:rsid w:val="00D700F0"/>
    <w:rsid w:val="00D7096C"/>
    <w:rsid w:val="00D709E2"/>
    <w:rsid w:val="00D7182C"/>
    <w:rsid w:val="00D72C62"/>
    <w:rsid w:val="00D7380E"/>
    <w:rsid w:val="00D74E6B"/>
    <w:rsid w:val="00D74FB5"/>
    <w:rsid w:val="00D7538E"/>
    <w:rsid w:val="00D75861"/>
    <w:rsid w:val="00D80D69"/>
    <w:rsid w:val="00D8218E"/>
    <w:rsid w:val="00D82D70"/>
    <w:rsid w:val="00D83A83"/>
    <w:rsid w:val="00D84B36"/>
    <w:rsid w:val="00D85A9A"/>
    <w:rsid w:val="00D85BDD"/>
    <w:rsid w:val="00D87C46"/>
    <w:rsid w:val="00D906C9"/>
    <w:rsid w:val="00D90AD8"/>
    <w:rsid w:val="00D91A02"/>
    <w:rsid w:val="00D91B8B"/>
    <w:rsid w:val="00D92994"/>
    <w:rsid w:val="00D93DFB"/>
    <w:rsid w:val="00D95824"/>
    <w:rsid w:val="00D95899"/>
    <w:rsid w:val="00D95B04"/>
    <w:rsid w:val="00D96407"/>
    <w:rsid w:val="00D9644F"/>
    <w:rsid w:val="00D974EA"/>
    <w:rsid w:val="00D975C7"/>
    <w:rsid w:val="00D97E76"/>
    <w:rsid w:val="00DA338C"/>
    <w:rsid w:val="00DA3889"/>
    <w:rsid w:val="00DA546A"/>
    <w:rsid w:val="00DA5578"/>
    <w:rsid w:val="00DB3E5B"/>
    <w:rsid w:val="00DB484D"/>
    <w:rsid w:val="00DB49C7"/>
    <w:rsid w:val="00DB4FCB"/>
    <w:rsid w:val="00DB5948"/>
    <w:rsid w:val="00DB69B5"/>
    <w:rsid w:val="00DC1354"/>
    <w:rsid w:val="00DC215C"/>
    <w:rsid w:val="00DC26FB"/>
    <w:rsid w:val="00DC2BB8"/>
    <w:rsid w:val="00DC30C0"/>
    <w:rsid w:val="00DC47CE"/>
    <w:rsid w:val="00DC4937"/>
    <w:rsid w:val="00DC5736"/>
    <w:rsid w:val="00DC5B93"/>
    <w:rsid w:val="00DC5BFF"/>
    <w:rsid w:val="00DC6EA2"/>
    <w:rsid w:val="00DC76FD"/>
    <w:rsid w:val="00DC7BB7"/>
    <w:rsid w:val="00DC7DF1"/>
    <w:rsid w:val="00DD10D2"/>
    <w:rsid w:val="00DD1EFD"/>
    <w:rsid w:val="00DD1FBE"/>
    <w:rsid w:val="00DD22C3"/>
    <w:rsid w:val="00DD378A"/>
    <w:rsid w:val="00DD52C0"/>
    <w:rsid w:val="00DD533D"/>
    <w:rsid w:val="00DD55F5"/>
    <w:rsid w:val="00DD5A29"/>
    <w:rsid w:val="00DD776A"/>
    <w:rsid w:val="00DD7A2C"/>
    <w:rsid w:val="00DD7D95"/>
    <w:rsid w:val="00DE0087"/>
    <w:rsid w:val="00DE01A5"/>
    <w:rsid w:val="00DE080B"/>
    <w:rsid w:val="00DE0DA3"/>
    <w:rsid w:val="00DE0DC1"/>
    <w:rsid w:val="00DE1F87"/>
    <w:rsid w:val="00DE2062"/>
    <w:rsid w:val="00DE27E2"/>
    <w:rsid w:val="00DE40FB"/>
    <w:rsid w:val="00DE4393"/>
    <w:rsid w:val="00DE4641"/>
    <w:rsid w:val="00DE49F1"/>
    <w:rsid w:val="00DE51D3"/>
    <w:rsid w:val="00DE5487"/>
    <w:rsid w:val="00DE73F5"/>
    <w:rsid w:val="00DF0192"/>
    <w:rsid w:val="00DF0F2C"/>
    <w:rsid w:val="00DF23CA"/>
    <w:rsid w:val="00DF37AF"/>
    <w:rsid w:val="00DF5ACF"/>
    <w:rsid w:val="00DF658B"/>
    <w:rsid w:val="00DF6666"/>
    <w:rsid w:val="00DF72C3"/>
    <w:rsid w:val="00E002C9"/>
    <w:rsid w:val="00E00EAD"/>
    <w:rsid w:val="00E0246B"/>
    <w:rsid w:val="00E02EBF"/>
    <w:rsid w:val="00E03CFF"/>
    <w:rsid w:val="00E03E95"/>
    <w:rsid w:val="00E10097"/>
    <w:rsid w:val="00E11478"/>
    <w:rsid w:val="00E1286F"/>
    <w:rsid w:val="00E12FD6"/>
    <w:rsid w:val="00E13524"/>
    <w:rsid w:val="00E16375"/>
    <w:rsid w:val="00E16A7A"/>
    <w:rsid w:val="00E1705A"/>
    <w:rsid w:val="00E17309"/>
    <w:rsid w:val="00E17A48"/>
    <w:rsid w:val="00E211BD"/>
    <w:rsid w:val="00E217C1"/>
    <w:rsid w:val="00E237DE"/>
    <w:rsid w:val="00E2508D"/>
    <w:rsid w:val="00E25317"/>
    <w:rsid w:val="00E25989"/>
    <w:rsid w:val="00E25ADB"/>
    <w:rsid w:val="00E25E22"/>
    <w:rsid w:val="00E25FE5"/>
    <w:rsid w:val="00E27E6E"/>
    <w:rsid w:val="00E32132"/>
    <w:rsid w:val="00E32720"/>
    <w:rsid w:val="00E35108"/>
    <w:rsid w:val="00E40CCE"/>
    <w:rsid w:val="00E40D4E"/>
    <w:rsid w:val="00E40F1C"/>
    <w:rsid w:val="00E41BB5"/>
    <w:rsid w:val="00E41C1E"/>
    <w:rsid w:val="00E423C1"/>
    <w:rsid w:val="00E434A7"/>
    <w:rsid w:val="00E43706"/>
    <w:rsid w:val="00E44A68"/>
    <w:rsid w:val="00E44ACE"/>
    <w:rsid w:val="00E46D1D"/>
    <w:rsid w:val="00E471DB"/>
    <w:rsid w:val="00E47F81"/>
    <w:rsid w:val="00E50064"/>
    <w:rsid w:val="00E505C9"/>
    <w:rsid w:val="00E50E41"/>
    <w:rsid w:val="00E52B22"/>
    <w:rsid w:val="00E52DD4"/>
    <w:rsid w:val="00E53249"/>
    <w:rsid w:val="00E535B9"/>
    <w:rsid w:val="00E538DC"/>
    <w:rsid w:val="00E53BA1"/>
    <w:rsid w:val="00E54136"/>
    <w:rsid w:val="00E54F09"/>
    <w:rsid w:val="00E5703B"/>
    <w:rsid w:val="00E57245"/>
    <w:rsid w:val="00E60580"/>
    <w:rsid w:val="00E629D2"/>
    <w:rsid w:val="00E6416A"/>
    <w:rsid w:val="00E64FC6"/>
    <w:rsid w:val="00E650C8"/>
    <w:rsid w:val="00E667F2"/>
    <w:rsid w:val="00E705A8"/>
    <w:rsid w:val="00E70F2A"/>
    <w:rsid w:val="00E7132F"/>
    <w:rsid w:val="00E71DBF"/>
    <w:rsid w:val="00E71FDA"/>
    <w:rsid w:val="00E723F1"/>
    <w:rsid w:val="00E72680"/>
    <w:rsid w:val="00E73743"/>
    <w:rsid w:val="00E7436E"/>
    <w:rsid w:val="00E745A7"/>
    <w:rsid w:val="00E74977"/>
    <w:rsid w:val="00E74C7A"/>
    <w:rsid w:val="00E7646E"/>
    <w:rsid w:val="00E77255"/>
    <w:rsid w:val="00E77625"/>
    <w:rsid w:val="00E80262"/>
    <w:rsid w:val="00E82C23"/>
    <w:rsid w:val="00E831D0"/>
    <w:rsid w:val="00E834C2"/>
    <w:rsid w:val="00E83EE8"/>
    <w:rsid w:val="00E84BFD"/>
    <w:rsid w:val="00E8518A"/>
    <w:rsid w:val="00E86986"/>
    <w:rsid w:val="00E86B83"/>
    <w:rsid w:val="00E902BC"/>
    <w:rsid w:val="00E90F5A"/>
    <w:rsid w:val="00E91808"/>
    <w:rsid w:val="00E91F1B"/>
    <w:rsid w:val="00E9298D"/>
    <w:rsid w:val="00E94147"/>
    <w:rsid w:val="00E9462D"/>
    <w:rsid w:val="00E95013"/>
    <w:rsid w:val="00E9509A"/>
    <w:rsid w:val="00E950EA"/>
    <w:rsid w:val="00E9562E"/>
    <w:rsid w:val="00E95F66"/>
    <w:rsid w:val="00E96612"/>
    <w:rsid w:val="00E96DFA"/>
    <w:rsid w:val="00E97588"/>
    <w:rsid w:val="00E978EB"/>
    <w:rsid w:val="00EA024E"/>
    <w:rsid w:val="00EA0C69"/>
    <w:rsid w:val="00EA19F5"/>
    <w:rsid w:val="00EA1B97"/>
    <w:rsid w:val="00EA2802"/>
    <w:rsid w:val="00EA2AF6"/>
    <w:rsid w:val="00EA2C4D"/>
    <w:rsid w:val="00EA316D"/>
    <w:rsid w:val="00EA40A5"/>
    <w:rsid w:val="00EA4A7D"/>
    <w:rsid w:val="00EA56DD"/>
    <w:rsid w:val="00EA5ECA"/>
    <w:rsid w:val="00EA64DA"/>
    <w:rsid w:val="00EA6F52"/>
    <w:rsid w:val="00EA7259"/>
    <w:rsid w:val="00EA7C47"/>
    <w:rsid w:val="00EB11D3"/>
    <w:rsid w:val="00EB2636"/>
    <w:rsid w:val="00EB29DA"/>
    <w:rsid w:val="00EB2EA7"/>
    <w:rsid w:val="00EB3EFF"/>
    <w:rsid w:val="00EB4176"/>
    <w:rsid w:val="00EB5286"/>
    <w:rsid w:val="00EB542D"/>
    <w:rsid w:val="00EB5959"/>
    <w:rsid w:val="00EC262A"/>
    <w:rsid w:val="00EC2C3E"/>
    <w:rsid w:val="00EC46C4"/>
    <w:rsid w:val="00EC625E"/>
    <w:rsid w:val="00EC6FC3"/>
    <w:rsid w:val="00EC73D0"/>
    <w:rsid w:val="00EC782E"/>
    <w:rsid w:val="00EC7BC3"/>
    <w:rsid w:val="00ED0B5F"/>
    <w:rsid w:val="00ED0E37"/>
    <w:rsid w:val="00ED17D1"/>
    <w:rsid w:val="00ED3760"/>
    <w:rsid w:val="00ED43C5"/>
    <w:rsid w:val="00ED4D70"/>
    <w:rsid w:val="00ED62D4"/>
    <w:rsid w:val="00ED719F"/>
    <w:rsid w:val="00ED7326"/>
    <w:rsid w:val="00EE04DF"/>
    <w:rsid w:val="00EE292C"/>
    <w:rsid w:val="00EE449D"/>
    <w:rsid w:val="00EE65B0"/>
    <w:rsid w:val="00EE68AB"/>
    <w:rsid w:val="00EE76BF"/>
    <w:rsid w:val="00EF053E"/>
    <w:rsid w:val="00EF0C17"/>
    <w:rsid w:val="00EF18CB"/>
    <w:rsid w:val="00EF19B3"/>
    <w:rsid w:val="00EF34DF"/>
    <w:rsid w:val="00EF3809"/>
    <w:rsid w:val="00EF46B7"/>
    <w:rsid w:val="00EF4F5B"/>
    <w:rsid w:val="00EF5364"/>
    <w:rsid w:val="00EF76E0"/>
    <w:rsid w:val="00F01840"/>
    <w:rsid w:val="00F028A8"/>
    <w:rsid w:val="00F03438"/>
    <w:rsid w:val="00F05017"/>
    <w:rsid w:val="00F0554E"/>
    <w:rsid w:val="00F05935"/>
    <w:rsid w:val="00F06301"/>
    <w:rsid w:val="00F07877"/>
    <w:rsid w:val="00F110E4"/>
    <w:rsid w:val="00F13A42"/>
    <w:rsid w:val="00F13C2E"/>
    <w:rsid w:val="00F13CFA"/>
    <w:rsid w:val="00F14272"/>
    <w:rsid w:val="00F14646"/>
    <w:rsid w:val="00F14FF3"/>
    <w:rsid w:val="00F160FE"/>
    <w:rsid w:val="00F16A62"/>
    <w:rsid w:val="00F2173F"/>
    <w:rsid w:val="00F21BA2"/>
    <w:rsid w:val="00F2337A"/>
    <w:rsid w:val="00F244D1"/>
    <w:rsid w:val="00F24855"/>
    <w:rsid w:val="00F2526C"/>
    <w:rsid w:val="00F260E6"/>
    <w:rsid w:val="00F26184"/>
    <w:rsid w:val="00F2798C"/>
    <w:rsid w:val="00F301DF"/>
    <w:rsid w:val="00F30585"/>
    <w:rsid w:val="00F30AFF"/>
    <w:rsid w:val="00F316FD"/>
    <w:rsid w:val="00F31E01"/>
    <w:rsid w:val="00F32291"/>
    <w:rsid w:val="00F32BE6"/>
    <w:rsid w:val="00F33A62"/>
    <w:rsid w:val="00F33FEE"/>
    <w:rsid w:val="00F34114"/>
    <w:rsid w:val="00F34A62"/>
    <w:rsid w:val="00F354C2"/>
    <w:rsid w:val="00F35770"/>
    <w:rsid w:val="00F35C0E"/>
    <w:rsid w:val="00F3778C"/>
    <w:rsid w:val="00F40FBF"/>
    <w:rsid w:val="00F41EF3"/>
    <w:rsid w:val="00F42485"/>
    <w:rsid w:val="00F424D0"/>
    <w:rsid w:val="00F429F1"/>
    <w:rsid w:val="00F42BFE"/>
    <w:rsid w:val="00F42CC2"/>
    <w:rsid w:val="00F44380"/>
    <w:rsid w:val="00F44713"/>
    <w:rsid w:val="00F45E33"/>
    <w:rsid w:val="00F466A7"/>
    <w:rsid w:val="00F466E2"/>
    <w:rsid w:val="00F46C0D"/>
    <w:rsid w:val="00F470E3"/>
    <w:rsid w:val="00F47EC7"/>
    <w:rsid w:val="00F519FB"/>
    <w:rsid w:val="00F522F3"/>
    <w:rsid w:val="00F5264A"/>
    <w:rsid w:val="00F52919"/>
    <w:rsid w:val="00F52B8A"/>
    <w:rsid w:val="00F53AD0"/>
    <w:rsid w:val="00F54D03"/>
    <w:rsid w:val="00F55AA0"/>
    <w:rsid w:val="00F56E2E"/>
    <w:rsid w:val="00F57242"/>
    <w:rsid w:val="00F61668"/>
    <w:rsid w:val="00F617B4"/>
    <w:rsid w:val="00F620DE"/>
    <w:rsid w:val="00F63BF7"/>
    <w:rsid w:val="00F63CCF"/>
    <w:rsid w:val="00F648EF"/>
    <w:rsid w:val="00F6673F"/>
    <w:rsid w:val="00F66C0E"/>
    <w:rsid w:val="00F67708"/>
    <w:rsid w:val="00F70030"/>
    <w:rsid w:val="00F70445"/>
    <w:rsid w:val="00F72178"/>
    <w:rsid w:val="00F73377"/>
    <w:rsid w:val="00F7407B"/>
    <w:rsid w:val="00F74402"/>
    <w:rsid w:val="00F7696A"/>
    <w:rsid w:val="00F771F1"/>
    <w:rsid w:val="00F77526"/>
    <w:rsid w:val="00F77595"/>
    <w:rsid w:val="00F77886"/>
    <w:rsid w:val="00F826E4"/>
    <w:rsid w:val="00F82E55"/>
    <w:rsid w:val="00F844F7"/>
    <w:rsid w:val="00F849A3"/>
    <w:rsid w:val="00F84A57"/>
    <w:rsid w:val="00F861C7"/>
    <w:rsid w:val="00F9050B"/>
    <w:rsid w:val="00F91438"/>
    <w:rsid w:val="00F91E1B"/>
    <w:rsid w:val="00F93A77"/>
    <w:rsid w:val="00F93DB4"/>
    <w:rsid w:val="00F94366"/>
    <w:rsid w:val="00F94AEE"/>
    <w:rsid w:val="00F966DE"/>
    <w:rsid w:val="00F96752"/>
    <w:rsid w:val="00F97454"/>
    <w:rsid w:val="00FA11D9"/>
    <w:rsid w:val="00FA4447"/>
    <w:rsid w:val="00FA4BB9"/>
    <w:rsid w:val="00FA5679"/>
    <w:rsid w:val="00FA56A9"/>
    <w:rsid w:val="00FA7231"/>
    <w:rsid w:val="00FB1BD6"/>
    <w:rsid w:val="00FB223F"/>
    <w:rsid w:val="00FB2BC5"/>
    <w:rsid w:val="00FB4741"/>
    <w:rsid w:val="00FB4901"/>
    <w:rsid w:val="00FB4E9E"/>
    <w:rsid w:val="00FB56E6"/>
    <w:rsid w:val="00FB57C7"/>
    <w:rsid w:val="00FB778F"/>
    <w:rsid w:val="00FC10F0"/>
    <w:rsid w:val="00FC13E7"/>
    <w:rsid w:val="00FC14C7"/>
    <w:rsid w:val="00FC3BF3"/>
    <w:rsid w:val="00FC3DC7"/>
    <w:rsid w:val="00FC4622"/>
    <w:rsid w:val="00FC48FE"/>
    <w:rsid w:val="00FC49EC"/>
    <w:rsid w:val="00FC4BCA"/>
    <w:rsid w:val="00FC5342"/>
    <w:rsid w:val="00FC5B47"/>
    <w:rsid w:val="00FC60C2"/>
    <w:rsid w:val="00FC708F"/>
    <w:rsid w:val="00FD0B2A"/>
    <w:rsid w:val="00FD0E80"/>
    <w:rsid w:val="00FD1438"/>
    <w:rsid w:val="00FD2896"/>
    <w:rsid w:val="00FD32FE"/>
    <w:rsid w:val="00FD41BB"/>
    <w:rsid w:val="00FD4366"/>
    <w:rsid w:val="00FD4D6B"/>
    <w:rsid w:val="00FD6271"/>
    <w:rsid w:val="00FD7587"/>
    <w:rsid w:val="00FE07F5"/>
    <w:rsid w:val="00FE0837"/>
    <w:rsid w:val="00FE0839"/>
    <w:rsid w:val="00FE12AA"/>
    <w:rsid w:val="00FE2EE0"/>
    <w:rsid w:val="00FE311C"/>
    <w:rsid w:val="00FE3206"/>
    <w:rsid w:val="00FE44B7"/>
    <w:rsid w:val="00FE7178"/>
    <w:rsid w:val="00FE722B"/>
    <w:rsid w:val="00FE72E8"/>
    <w:rsid w:val="00FF124E"/>
    <w:rsid w:val="00FF2727"/>
    <w:rsid w:val="00FF3CA2"/>
    <w:rsid w:val="00FF4FFC"/>
    <w:rsid w:val="00FF530D"/>
    <w:rsid w:val="00FF5DB5"/>
    <w:rsid w:val="00FF6283"/>
    <w:rsid w:val="00FF6B73"/>
    <w:rsid w:val="00FF6DDB"/>
    <w:rsid w:val="00FF7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qFormat="1"/>
    <w:lsdException w:name="annotation text" w:locked="0"/>
    <w:lsdException w:name="header" w:locked="0" w:semiHidden="0"/>
    <w:lsdException w:name="footer" w:locked="0" w:semiHidden="0"/>
    <w:lsdException w:name="index heading" w:locked="0"/>
    <w:lsdException w:name="caption" w:locked="0" w:semiHidden="0" w:uiPriority="35" w:qFormat="1"/>
    <w:lsdException w:name="envelope address" w:locked="0"/>
    <w:lsdException w:name="envelope return" w:locked="0"/>
    <w:lsdException w:name="footnote reference" w:locked="0" w:uiPriority="24"/>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5"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39" w:unhideWhenUsed="0" w:qFormat="1"/>
  </w:latentStyles>
  <w:style w:type="paragraph" w:default="1" w:styleId="Normal">
    <w:name w:val="Normal"/>
    <w:qFormat/>
    <w:rsid w:val="00334C25"/>
    <w:pPr>
      <w:spacing w:after="120" w:line="312" w:lineRule="auto"/>
    </w:pPr>
    <w:rPr>
      <w:rFonts w:ascii="Arial" w:hAnsi="Arial"/>
      <w:color w:val="414141"/>
      <w:sz w:val="21"/>
      <w:lang w:val="en-AU"/>
    </w:rPr>
  </w:style>
  <w:style w:type="paragraph" w:styleId="Heading1">
    <w:name w:val="heading 1"/>
    <w:basedOn w:val="BodyText"/>
    <w:next w:val="BodyText"/>
    <w:link w:val="Heading1Char"/>
    <w:uiPriority w:val="4"/>
    <w:semiHidden/>
    <w:qFormat/>
    <w:rsid w:val="007C3D3A"/>
    <w:pPr>
      <w:keepNext/>
      <w:pageBreakBefore/>
      <w:numPr>
        <w:numId w:val="18"/>
      </w:numPr>
      <w:spacing w:before="800" w:after="800" w:line="240" w:lineRule="auto"/>
      <w:contextualSpacing/>
      <w:outlineLvl w:val="0"/>
    </w:pPr>
    <w:rPr>
      <w:rFonts w:eastAsia="Times New Roman" w:cs="Arial"/>
      <w:bCs/>
      <w:caps/>
      <w:color w:val="0C9FCD"/>
      <w:sz w:val="40"/>
      <w:szCs w:val="32"/>
      <w:lang w:val="en-GB" w:eastAsia="en-AU"/>
    </w:rPr>
  </w:style>
  <w:style w:type="paragraph" w:styleId="Heading2">
    <w:name w:val="heading 2"/>
    <w:basedOn w:val="Heading1"/>
    <w:next w:val="BodyText"/>
    <w:link w:val="Heading2Char"/>
    <w:uiPriority w:val="4"/>
    <w:semiHidden/>
    <w:qFormat/>
    <w:rsid w:val="007C3D3A"/>
    <w:pPr>
      <w:pageBreakBefore w:val="0"/>
      <w:numPr>
        <w:ilvl w:val="1"/>
      </w:numPr>
      <w:spacing w:before="200" w:after="120"/>
      <w:outlineLvl w:val="1"/>
    </w:pPr>
    <w:rPr>
      <w:bCs w:val="0"/>
      <w:iCs/>
      <w:caps w:val="0"/>
      <w:sz w:val="28"/>
      <w:szCs w:val="28"/>
    </w:rPr>
  </w:style>
  <w:style w:type="paragraph" w:styleId="Heading3">
    <w:name w:val="heading 3"/>
    <w:basedOn w:val="Heading1"/>
    <w:next w:val="BodyText"/>
    <w:link w:val="Heading3Char"/>
    <w:uiPriority w:val="4"/>
    <w:semiHidden/>
    <w:qFormat/>
    <w:rsid w:val="007C3D3A"/>
    <w:pPr>
      <w:pageBreakBefore w:val="0"/>
      <w:numPr>
        <w:ilvl w:val="2"/>
      </w:numPr>
      <w:spacing w:before="200" w:after="120" w:line="312" w:lineRule="auto"/>
      <w:outlineLvl w:val="2"/>
    </w:pPr>
    <w:rPr>
      <w:bCs w:val="0"/>
      <w:caps w:val="0"/>
      <w:spacing w:val="-10"/>
      <w:sz w:val="26"/>
      <w:szCs w:val="26"/>
    </w:rPr>
  </w:style>
  <w:style w:type="paragraph" w:styleId="Heading4">
    <w:name w:val="heading 4"/>
    <w:basedOn w:val="Heading1"/>
    <w:next w:val="BodyText"/>
    <w:link w:val="Heading4Char"/>
    <w:uiPriority w:val="4"/>
    <w:semiHidden/>
    <w:qFormat/>
    <w:rsid w:val="007C3D3A"/>
    <w:pPr>
      <w:pageBreakBefore w:val="0"/>
      <w:numPr>
        <w:numId w:val="0"/>
      </w:numPr>
      <w:spacing w:before="120" w:after="120" w:line="312" w:lineRule="auto"/>
      <w:outlineLvl w:val="3"/>
    </w:pPr>
    <w:rPr>
      <w:bCs w:val="0"/>
      <w:caps w:val="0"/>
      <w:spacing w:val="-5"/>
      <w:sz w:val="22"/>
      <w:szCs w:val="21"/>
    </w:rPr>
  </w:style>
  <w:style w:type="paragraph" w:styleId="Heading5">
    <w:name w:val="heading 5"/>
    <w:basedOn w:val="Normal"/>
    <w:next w:val="Normal"/>
    <w:link w:val="Heading5Char"/>
    <w:uiPriority w:val="4"/>
    <w:semiHidden/>
    <w:qFormat/>
    <w:rsid w:val="007C3D3A"/>
    <w:pPr>
      <w:numPr>
        <w:ilvl w:val="4"/>
        <w:numId w:val="17"/>
      </w:numPr>
      <w:spacing w:after="60"/>
      <w:outlineLvl w:val="4"/>
    </w:pPr>
    <w:rPr>
      <w:rFonts w:eastAsia="Times New Roman" w:cs="Times New Roman"/>
      <w:b/>
      <w:bCs/>
      <w:iCs/>
      <w:sz w:val="20"/>
      <w:szCs w:val="20"/>
      <w:lang w:val="en-GB" w:eastAsia="en-AU"/>
    </w:rPr>
  </w:style>
  <w:style w:type="paragraph" w:styleId="Heading6">
    <w:name w:val="heading 6"/>
    <w:basedOn w:val="Normal"/>
    <w:next w:val="Normal"/>
    <w:link w:val="Heading6Char"/>
    <w:uiPriority w:val="4"/>
    <w:semiHidden/>
    <w:qFormat/>
    <w:rsid w:val="0041169C"/>
    <w:pPr>
      <w:keepNext/>
      <w:keepLines/>
      <w:spacing w:before="200" w:after="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4"/>
    <w:semiHidden/>
    <w:qFormat/>
    <w:rsid w:val="004116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4"/>
    <w:semiHidden/>
    <w:qFormat/>
    <w:rsid w:val="004116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4"/>
    <w:semiHidden/>
    <w:qFormat/>
    <w:rsid w:val="004116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252784"/>
    <w:pPr>
      <w:numPr>
        <w:numId w:val="1"/>
      </w:numPr>
      <w:spacing w:after="80"/>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rsid w:val="00252784"/>
    <w:pPr>
      <w:numPr>
        <w:ilvl w:val="1"/>
        <w:numId w:val="1"/>
      </w:numPr>
      <w:spacing w:after="80"/>
    </w:pPr>
    <w:rPr>
      <w:rFonts w:eastAsia="Times New Roman" w:cs="Times New Roman"/>
      <w:sz w:val="20"/>
      <w:szCs w:val="24"/>
      <w:lang w:eastAsia="en-GB"/>
    </w:rPr>
  </w:style>
  <w:style w:type="paragraph" w:styleId="ListBullet3">
    <w:name w:val="List Bullet 3"/>
    <w:basedOn w:val="Normal"/>
    <w:uiPriority w:val="8"/>
    <w:rsid w:val="00252784"/>
    <w:pPr>
      <w:numPr>
        <w:ilvl w:val="2"/>
        <w:numId w:val="1"/>
      </w:numPr>
      <w:spacing w:before="80" w:after="160" w:line="288" w:lineRule="auto"/>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1B60CF"/>
    <w:pPr>
      <w:numPr>
        <w:ilvl w:val="1"/>
        <w:numId w:val="8"/>
      </w:numPr>
      <w:spacing w:after="80"/>
      <w:ind w:left="714" w:hanging="357"/>
    </w:pPr>
    <w:rPr>
      <w:rFonts w:eastAsia="Times New Roman" w:cs="Times New Roman"/>
      <w:sz w:val="20"/>
      <w:szCs w:val="24"/>
      <w:lang w:eastAsia="en-GB"/>
    </w:rPr>
  </w:style>
  <w:style w:type="paragraph" w:styleId="ListNumber3">
    <w:name w:val="List Number 3"/>
    <w:basedOn w:val="Normal"/>
    <w:uiPriority w:val="8"/>
    <w:semiHidden/>
    <w:rsid w:val="001B60CF"/>
    <w:pPr>
      <w:numPr>
        <w:ilvl w:val="2"/>
        <w:numId w:val="8"/>
      </w:numPr>
      <w:spacing w:before="80" w:after="160" w:line="288" w:lineRule="auto"/>
      <w:contextualSpacing/>
    </w:pPr>
    <w:rPr>
      <w:rFonts w:eastAsia="Times New Roman" w:cs="Times New Roman"/>
      <w:sz w:val="20"/>
      <w:szCs w:val="24"/>
      <w:lang w:eastAsia="en-GB"/>
    </w:rPr>
  </w:style>
  <w:style w:type="paragraph" w:styleId="ListNumber">
    <w:name w:val="List Number"/>
    <w:basedOn w:val="Normal"/>
    <w:uiPriority w:val="8"/>
    <w:rsid w:val="001B60CF"/>
    <w:pPr>
      <w:numPr>
        <w:numId w:val="8"/>
      </w:numPr>
      <w:spacing w:after="80"/>
      <w:ind w:left="357" w:hanging="357"/>
    </w:pPr>
    <w:rPr>
      <w:rFonts w:eastAsia="Times New Roman" w:cs="Times New Roman"/>
      <w:sz w:val="20"/>
      <w:szCs w:val="24"/>
      <w:lang w:eastAsia="en-GB"/>
    </w:rPr>
  </w:style>
  <w:style w:type="paragraph" w:styleId="NoSpacing">
    <w:name w:val="No Spacing"/>
    <w:uiPriority w:val="15"/>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8C4F21"/>
    <w:pPr>
      <w:keepNext/>
      <w:spacing w:before="80" w:after="40" w:line="240" w:lineRule="auto"/>
    </w:pPr>
    <w:rPr>
      <w:rFonts w:eastAsia="Times New Roman" w:cs="Times New Roman"/>
      <w:b/>
      <w:bCs/>
      <w:color w:val="FFFFFF"/>
      <w:spacing w:val="6"/>
      <w:sz w:val="19"/>
      <w:szCs w:val="24"/>
      <w:lang w:eastAsia="en-GB"/>
    </w:rPr>
  </w:style>
  <w:style w:type="paragraph" w:customStyle="1" w:styleId="TableListBullet">
    <w:name w:val="Table List Bullet"/>
    <w:basedOn w:val="Normal"/>
    <w:uiPriority w:val="12"/>
    <w:qFormat/>
    <w:rsid w:val="00E211BD"/>
    <w:pPr>
      <w:numPr>
        <w:numId w:val="9"/>
      </w:numPr>
      <w:spacing w:before="40" w:after="80" w:line="240" w:lineRule="auto"/>
    </w:pPr>
    <w:rPr>
      <w:rFonts w:eastAsia="Times New Roman" w:cs="Times New Roman"/>
      <w:bCs/>
      <w:sz w:val="18"/>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6722C0"/>
    <w:pPr>
      <w:numPr>
        <w:ilvl w:val="1"/>
      </w:numPr>
    </w:pPr>
  </w:style>
  <w:style w:type="paragraph" w:customStyle="1" w:styleId="TableListNumber">
    <w:name w:val="Table List Number"/>
    <w:basedOn w:val="Normal"/>
    <w:uiPriority w:val="12"/>
    <w:qFormat/>
    <w:rsid w:val="00394961"/>
    <w:pPr>
      <w:numPr>
        <w:numId w:val="10"/>
      </w:numPr>
      <w:spacing w:before="40" w:after="80" w:line="240" w:lineRule="auto"/>
    </w:pPr>
    <w:rPr>
      <w:rFonts w:eastAsia="Times New Roman" w:cs="Times New Roman"/>
      <w:bCs/>
      <w:sz w:val="18"/>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722C0"/>
    <w:pPr>
      <w:numPr>
        <w:ilvl w:val="1"/>
      </w:numPr>
    </w:pPr>
  </w:style>
  <w:style w:type="paragraph" w:customStyle="1" w:styleId="TableText">
    <w:name w:val="Table Text"/>
    <w:basedOn w:val="Normal"/>
    <w:link w:val="TableTextChar"/>
    <w:uiPriority w:val="11"/>
    <w:qFormat/>
    <w:rsid w:val="00364AEC"/>
    <w:pPr>
      <w:spacing w:before="40" w:after="80" w:line="240" w:lineRule="auto"/>
    </w:pPr>
    <w:rPr>
      <w:rFonts w:eastAsia="Times New Roman" w:cs="Times New Roman"/>
      <w:bCs/>
      <w:sz w:val="18"/>
      <w:szCs w:val="24"/>
      <w:lang w:eastAsia="en-GB"/>
    </w:rPr>
  </w:style>
  <w:style w:type="paragraph" w:customStyle="1" w:styleId="TableTextsmall">
    <w:name w:val="Table Text (small)"/>
    <w:basedOn w:val="TableText"/>
    <w:uiPriority w:val="13"/>
    <w:qFormat/>
    <w:rsid w:val="006722C0"/>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qFormat/>
    <w:rsid w:val="00E950EA"/>
  </w:style>
  <w:style w:type="character" w:customStyle="1" w:styleId="BodyTextChar">
    <w:name w:val="Body Text Char"/>
    <w:basedOn w:val="DefaultParagraphFont"/>
    <w:link w:val="BodyText"/>
    <w:uiPriority w:val="1"/>
    <w:rsid w:val="00E950EA"/>
    <w:rPr>
      <w:rFonts w:ascii="Arial" w:hAnsi="Arial"/>
      <w:color w:val="414141"/>
      <w:sz w:val="21"/>
      <w:lang w:val="en-AU"/>
    </w:rPr>
  </w:style>
  <w:style w:type="paragraph" w:styleId="Caption">
    <w:name w:val="caption"/>
    <w:aliases w:val="PAE,Item,Table Caption,Table Caption1,Figure,CDM B/Caption,TABLE"/>
    <w:basedOn w:val="Normal"/>
    <w:next w:val="Normal"/>
    <w:link w:val="CaptionChar"/>
    <w:uiPriority w:val="35"/>
    <w:qFormat/>
    <w:rsid w:val="00B53AF5"/>
    <w:pPr>
      <w:keepNext/>
      <w:tabs>
        <w:tab w:val="left" w:pos="1418"/>
      </w:tabs>
      <w:spacing w:line="240" w:lineRule="auto"/>
      <w:ind w:left="1418" w:hanging="1418"/>
    </w:pPr>
    <w:rPr>
      <w:b/>
      <w:bCs/>
      <w:sz w:val="24"/>
      <w:szCs w:val="18"/>
    </w:rPr>
  </w:style>
  <w:style w:type="paragraph" w:customStyle="1" w:styleId="Image">
    <w:name w:val="Image"/>
    <w:basedOn w:val="Normal"/>
    <w:uiPriority w:val="15"/>
    <w:qFormat/>
    <w:rsid w:val="00262FCE"/>
    <w:pPr>
      <w:spacing w:before="60" w:after="60" w:line="240" w:lineRule="auto"/>
    </w:pPr>
    <w:rPr>
      <w:rFonts w:eastAsia="Times New Roman" w:cs="Times New Roman"/>
      <w:sz w:val="20"/>
      <w:szCs w:val="24"/>
      <w:lang w:val="en-GB" w:eastAsia="en-AU"/>
    </w:rPr>
  </w:style>
  <w:style w:type="character" w:customStyle="1" w:styleId="Heading1Char">
    <w:name w:val="Heading 1 Char"/>
    <w:basedOn w:val="DefaultParagraphFont"/>
    <w:link w:val="Heading1"/>
    <w:uiPriority w:val="4"/>
    <w:semiHidden/>
    <w:rsid w:val="00E52DD4"/>
    <w:rPr>
      <w:rFonts w:ascii="Arial" w:eastAsia="Times New Roman" w:hAnsi="Arial" w:cs="Arial"/>
      <w:bCs/>
      <w:caps/>
      <w:color w:val="0C9FCD"/>
      <w:sz w:val="40"/>
      <w:szCs w:val="32"/>
      <w:lang w:val="en-GB" w:eastAsia="en-AU"/>
    </w:rPr>
  </w:style>
  <w:style w:type="paragraph" w:styleId="Header">
    <w:name w:val="header"/>
    <w:aliases w:val="HeaderPAE"/>
    <w:basedOn w:val="Normal"/>
    <w:link w:val="HeaderChar"/>
    <w:uiPriority w:val="9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aliases w:val="HeaderPAE Char"/>
    <w:basedOn w:val="DefaultParagraphFont"/>
    <w:link w:val="Header"/>
    <w:uiPriority w:val="99"/>
    <w:rsid w:val="00600B6F"/>
    <w:rPr>
      <w:rFonts w:ascii="Times New Roman" w:hAnsi="Times New Roman" w:cs="Times New Roman"/>
      <w:color w:val="414141"/>
      <w:sz w:val="32"/>
      <w:szCs w:val="32"/>
      <w:lang w:val="en-AU"/>
    </w:rPr>
  </w:style>
  <w:style w:type="paragraph" w:styleId="Footer">
    <w:name w:val="footer"/>
    <w:basedOn w:val="Normal"/>
    <w:link w:val="FooterChar"/>
    <w:uiPriority w:val="99"/>
    <w:rsid w:val="002F1862"/>
    <w:pPr>
      <w:tabs>
        <w:tab w:val="left" w:pos="397"/>
      </w:tabs>
      <w:spacing w:after="0" w:line="240" w:lineRule="auto"/>
    </w:pPr>
    <w:rPr>
      <w:sz w:val="16"/>
    </w:rPr>
  </w:style>
  <w:style w:type="character" w:customStyle="1" w:styleId="FooterChar">
    <w:name w:val="Footer Char"/>
    <w:basedOn w:val="DefaultParagraphFont"/>
    <w:link w:val="Footer"/>
    <w:uiPriority w:val="99"/>
    <w:rsid w:val="002F1862"/>
    <w:rPr>
      <w:rFonts w:ascii="Arial" w:hAnsi="Arial"/>
      <w:color w:val="414141"/>
      <w:sz w:val="16"/>
      <w:lang w:val="en-AU"/>
    </w:rPr>
  </w:style>
  <w:style w:type="paragraph" w:styleId="TOC1">
    <w:name w:val="toc 1"/>
    <w:basedOn w:val="Normal"/>
    <w:next w:val="Normal"/>
    <w:autoRedefine/>
    <w:uiPriority w:val="39"/>
    <w:qFormat/>
    <w:rsid w:val="00487433"/>
    <w:pPr>
      <w:keepNext/>
      <w:tabs>
        <w:tab w:val="left" w:pos="440"/>
        <w:tab w:val="left" w:pos="1540"/>
        <w:tab w:val="decimal" w:leader="dot" w:pos="9629"/>
      </w:tabs>
      <w:spacing w:before="60" w:after="60"/>
      <w:ind w:left="1542" w:right="567" w:hanging="1542"/>
    </w:pPr>
    <w:rPr>
      <w:b/>
      <w:noProof/>
    </w:rPr>
  </w:style>
  <w:style w:type="paragraph" w:styleId="Subtitle">
    <w:name w:val="Subtitle"/>
    <w:basedOn w:val="Normal"/>
    <w:next w:val="Normal"/>
    <w:link w:val="SubtitleChar"/>
    <w:uiPriority w:val="19"/>
    <w:qFormat/>
    <w:rsid w:val="00094EFE"/>
    <w:pPr>
      <w:jc w:val="right"/>
    </w:pPr>
    <w:rPr>
      <w:rFonts w:cs="Arial"/>
      <w:color w:val="FFFFFF" w:themeColor="background1"/>
      <w:sz w:val="32"/>
      <w:szCs w:val="28"/>
    </w:rPr>
  </w:style>
  <w:style w:type="character" w:customStyle="1" w:styleId="SubtitleChar">
    <w:name w:val="Subtitle Char"/>
    <w:basedOn w:val="DefaultParagraphFont"/>
    <w:link w:val="Subtitle"/>
    <w:uiPriority w:val="19"/>
    <w:rsid w:val="009B389F"/>
    <w:rPr>
      <w:rFonts w:ascii="Arial" w:hAnsi="Arial" w:cs="Arial"/>
      <w:color w:val="FFFFFF" w:themeColor="background1"/>
      <w:sz w:val="32"/>
      <w:szCs w:val="28"/>
      <w:lang w:val="en-AU"/>
    </w:rPr>
  </w:style>
  <w:style w:type="paragraph" w:styleId="Date">
    <w:name w:val="Date"/>
    <w:basedOn w:val="Subtitle"/>
    <w:next w:val="Normal"/>
    <w:link w:val="DateChar"/>
    <w:uiPriority w:val="19"/>
    <w:rsid w:val="001B333E"/>
    <w:rPr>
      <w:caps/>
      <w:color w:val="414141"/>
      <w:sz w:val="28"/>
    </w:rPr>
  </w:style>
  <w:style w:type="character" w:customStyle="1" w:styleId="DateChar">
    <w:name w:val="Date Char"/>
    <w:basedOn w:val="DefaultParagraphFont"/>
    <w:link w:val="Date"/>
    <w:uiPriority w:val="19"/>
    <w:rsid w:val="009B389F"/>
    <w:rPr>
      <w:rFonts w:ascii="Arial" w:hAnsi="Arial" w:cs="Arial"/>
      <w:caps/>
      <w:color w:val="414141"/>
      <w:sz w:val="28"/>
      <w:szCs w:val="28"/>
      <w:lang w:val="en-AU"/>
    </w:rPr>
  </w:style>
  <w:style w:type="paragraph" w:styleId="Title">
    <w:name w:val="Title"/>
    <w:basedOn w:val="Normal"/>
    <w:link w:val="TitleChar"/>
    <w:uiPriority w:val="19"/>
    <w:qFormat/>
    <w:rsid w:val="001B333E"/>
    <w:pPr>
      <w:spacing w:after="0" w:line="240" w:lineRule="auto"/>
      <w:jc w:val="right"/>
    </w:pPr>
    <w:rPr>
      <w:caps/>
      <w:sz w:val="40"/>
    </w:rPr>
  </w:style>
  <w:style w:type="character" w:customStyle="1" w:styleId="TitleChar">
    <w:name w:val="Title Char"/>
    <w:basedOn w:val="DefaultParagraphFont"/>
    <w:link w:val="Title"/>
    <w:uiPriority w:val="19"/>
    <w:rsid w:val="009B389F"/>
    <w:rPr>
      <w:rFonts w:ascii="Arial" w:hAnsi="Arial"/>
      <w:caps/>
      <w:color w:val="414141"/>
      <w:sz w:val="40"/>
      <w:lang w:val="en-AU"/>
    </w:rPr>
  </w:style>
  <w:style w:type="paragraph" w:customStyle="1" w:styleId="AppendixHeading1">
    <w:name w:val="Appendix Heading 1"/>
    <w:basedOn w:val="Heading1"/>
    <w:next w:val="BodyText"/>
    <w:uiPriority w:val="6"/>
    <w:rsid w:val="00453041"/>
    <w:pPr>
      <w:keepNext w:val="0"/>
      <w:numPr>
        <w:numId w:val="39"/>
      </w:numPr>
      <w:tabs>
        <w:tab w:val="left" w:pos="2835"/>
      </w:tabs>
      <w:suppressAutoHyphens/>
    </w:pPr>
    <w:rPr>
      <w:rFonts w:cs="Times New Roman"/>
      <w:szCs w:val="30"/>
    </w:rPr>
  </w:style>
  <w:style w:type="paragraph" w:customStyle="1" w:styleId="AppendixHeading2">
    <w:name w:val="Appendix Heading 2"/>
    <w:basedOn w:val="AppendixHeading1"/>
    <w:next w:val="BodyText"/>
    <w:uiPriority w:val="6"/>
    <w:rsid w:val="00E950EA"/>
    <w:pPr>
      <w:keepNext/>
      <w:pageBreakBefore w:val="0"/>
      <w:numPr>
        <w:ilvl w:val="1"/>
      </w:numPr>
      <w:spacing w:before="200" w:after="120"/>
    </w:pPr>
    <w:rPr>
      <w:caps w:val="0"/>
      <w:sz w:val="28"/>
    </w:rPr>
  </w:style>
  <w:style w:type="character" w:customStyle="1" w:styleId="Heading2Char">
    <w:name w:val="Heading 2 Char"/>
    <w:basedOn w:val="DefaultParagraphFont"/>
    <w:link w:val="Heading2"/>
    <w:uiPriority w:val="4"/>
    <w:semiHidden/>
    <w:rsid w:val="00E52DD4"/>
    <w:rPr>
      <w:rFonts w:ascii="Arial" w:eastAsia="Times New Roman" w:hAnsi="Arial" w:cs="Arial"/>
      <w:iCs/>
      <w:color w:val="0C9FCD"/>
      <w:sz w:val="28"/>
      <w:szCs w:val="28"/>
      <w:lang w:val="en-GB" w:eastAsia="en-AU"/>
    </w:rPr>
  </w:style>
  <w:style w:type="character" w:customStyle="1" w:styleId="Heading3Char">
    <w:name w:val="Heading 3 Char"/>
    <w:basedOn w:val="DefaultParagraphFont"/>
    <w:link w:val="Heading3"/>
    <w:uiPriority w:val="4"/>
    <w:semiHidden/>
    <w:rsid w:val="00E52DD4"/>
    <w:rPr>
      <w:rFonts w:ascii="Arial" w:eastAsia="Times New Roman" w:hAnsi="Arial" w:cs="Arial"/>
      <w:color w:val="0C9FCD"/>
      <w:spacing w:val="-10"/>
      <w:sz w:val="26"/>
      <w:szCs w:val="26"/>
      <w:lang w:val="en-GB" w:eastAsia="en-AU"/>
    </w:rPr>
  </w:style>
  <w:style w:type="character" w:customStyle="1" w:styleId="Heading4Char">
    <w:name w:val="Heading 4 Char"/>
    <w:basedOn w:val="DefaultParagraphFont"/>
    <w:link w:val="Heading4"/>
    <w:uiPriority w:val="4"/>
    <w:semiHidden/>
    <w:rsid w:val="00E52DD4"/>
    <w:rPr>
      <w:rFonts w:ascii="Arial" w:eastAsia="Times New Roman" w:hAnsi="Arial" w:cs="Arial"/>
      <w:color w:val="0C9FCD"/>
      <w:spacing w:val="-5"/>
      <w:szCs w:val="21"/>
      <w:lang w:val="en-GB" w:eastAsia="en-AU"/>
    </w:rPr>
  </w:style>
  <w:style w:type="character" w:customStyle="1" w:styleId="Heading5Char">
    <w:name w:val="Heading 5 Char"/>
    <w:basedOn w:val="DefaultParagraphFont"/>
    <w:link w:val="Heading5"/>
    <w:uiPriority w:val="4"/>
    <w:semiHidden/>
    <w:rsid w:val="007C3D3A"/>
    <w:rPr>
      <w:rFonts w:ascii="Arial" w:eastAsia="Times New Roman" w:hAnsi="Arial" w:cs="Times New Roman"/>
      <w:b/>
      <w:bCs/>
      <w:iCs/>
      <w:color w:val="414141"/>
      <w:sz w:val="20"/>
      <w:szCs w:val="20"/>
      <w:lang w:val="en-GB" w:eastAsia="en-AU"/>
    </w:rPr>
  </w:style>
  <w:style w:type="paragraph" w:customStyle="1" w:styleId="Headingnon-numbered">
    <w:name w:val="Heading (non-numbered)"/>
    <w:basedOn w:val="Heading1"/>
    <w:next w:val="BodyText"/>
    <w:uiPriority w:val="5"/>
    <w:qFormat/>
    <w:rsid w:val="007C3D3A"/>
    <w:pPr>
      <w:numPr>
        <w:numId w:val="0"/>
      </w:numPr>
    </w:pPr>
  </w:style>
  <w:style w:type="paragraph" w:customStyle="1" w:styleId="AppendixHeading3">
    <w:name w:val="Appendix Heading 3"/>
    <w:basedOn w:val="Heading1"/>
    <w:next w:val="BodyText"/>
    <w:uiPriority w:val="6"/>
    <w:rsid w:val="00E950EA"/>
    <w:pPr>
      <w:pageBreakBefore w:val="0"/>
      <w:numPr>
        <w:numId w:val="0"/>
      </w:numPr>
      <w:suppressAutoHyphens/>
      <w:spacing w:before="200" w:after="120" w:line="312" w:lineRule="auto"/>
    </w:pPr>
    <w:rPr>
      <w:rFonts w:cs="Times New Roman"/>
      <w:caps w:val="0"/>
      <w:sz w:val="26"/>
      <w:szCs w:val="30"/>
      <w:lang w:val="en-AU"/>
    </w:rPr>
  </w:style>
  <w:style w:type="paragraph" w:styleId="TOC2">
    <w:name w:val="toc 2"/>
    <w:basedOn w:val="Normal"/>
    <w:next w:val="Normal"/>
    <w:autoRedefine/>
    <w:uiPriority w:val="39"/>
    <w:qFormat/>
    <w:rsid w:val="00E86986"/>
    <w:pPr>
      <w:tabs>
        <w:tab w:val="left" w:pos="880"/>
        <w:tab w:val="left" w:pos="1378"/>
        <w:tab w:val="decimal" w:leader="dot" w:pos="9629"/>
      </w:tabs>
      <w:spacing w:before="60" w:after="60"/>
      <w:ind w:left="879" w:right="567" w:hanging="879"/>
    </w:pPr>
    <w:rPr>
      <w:noProof/>
    </w:rPr>
  </w:style>
  <w:style w:type="paragraph" w:styleId="TOC3">
    <w:name w:val="toc 3"/>
    <w:basedOn w:val="Normal"/>
    <w:next w:val="Normal"/>
    <w:autoRedefine/>
    <w:uiPriority w:val="39"/>
    <w:qFormat/>
    <w:rsid w:val="000C0A57"/>
    <w:pPr>
      <w:tabs>
        <w:tab w:val="left" w:pos="1760"/>
        <w:tab w:val="decimal" w:leader="dot" w:pos="9629"/>
      </w:tabs>
      <w:spacing w:before="60" w:after="60"/>
      <w:ind w:left="1599" w:right="567" w:hanging="720"/>
    </w:pPr>
  </w:style>
  <w:style w:type="character" w:styleId="Hyperlink">
    <w:name w:val="Hyperlink"/>
    <w:basedOn w:val="DefaultParagraphFont"/>
    <w:uiPriority w:val="99"/>
    <w:locked/>
    <w:rsid w:val="00D61F54"/>
    <w:rPr>
      <w:color w:val="5F5F5F" w:themeColor="hyperlink"/>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B94C04"/>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customStyle="1" w:styleId="Headingnumberedbox">
    <w:name w:val="Heading (numbered box)"/>
    <w:basedOn w:val="AppendixHeading1"/>
    <w:next w:val="TableText"/>
    <w:uiPriority w:val="7"/>
    <w:qFormat/>
    <w:rsid w:val="00A520EB"/>
    <w:pPr>
      <w:keepNext/>
      <w:pageBreakBefore w:val="0"/>
      <w:numPr>
        <w:numId w:val="5"/>
      </w:numPr>
      <w:spacing w:before="160" w:after="120"/>
    </w:pPr>
    <w:rPr>
      <w:b/>
      <w:caps w:val="0"/>
      <w:color w:val="414141"/>
      <w:sz w:val="24"/>
    </w:rPr>
  </w:style>
  <w:style w:type="paragraph" w:customStyle="1" w:styleId="Headingrecommendations">
    <w:name w:val="Heading (recommendations)"/>
    <w:basedOn w:val="Headingnumberedbox"/>
    <w:next w:val="ListRecommendations"/>
    <w:uiPriority w:val="7"/>
    <w:qFormat/>
    <w:rsid w:val="00E950EA"/>
    <w:pPr>
      <w:numPr>
        <w:numId w:val="0"/>
      </w:numPr>
    </w:pPr>
  </w:style>
  <w:style w:type="paragraph" w:customStyle="1" w:styleId="Symbol">
    <w:name w:val="Symbol"/>
    <w:basedOn w:val="Normal"/>
    <w:uiPriority w:val="15"/>
    <w:qFormat/>
    <w:rsid w:val="00D323F1"/>
    <w:pPr>
      <w:spacing w:line="240" w:lineRule="auto"/>
    </w:pPr>
    <w:rPr>
      <w:color w:val="0C9FCD"/>
      <w:sz w:val="48"/>
    </w:rPr>
  </w:style>
  <w:style w:type="table" w:customStyle="1" w:styleId="CCATable">
    <w:name w:val="CCA Table"/>
    <w:basedOn w:val="TableNormal"/>
    <w:uiPriority w:val="99"/>
    <w:rsid w:val="007B6E21"/>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TOCHeading">
    <w:name w:val="TOC Heading"/>
    <w:basedOn w:val="Headingnon-numbered"/>
    <w:next w:val="Normal"/>
    <w:uiPriority w:val="39"/>
    <w:qFormat/>
    <w:rsid w:val="001F62EA"/>
    <w:pPr>
      <w:pageBreakBefore w:val="0"/>
      <w:spacing w:before="240" w:after="240"/>
    </w:pPr>
  </w:style>
  <w:style w:type="numbering" w:customStyle="1" w:styleId="AppendixHeadingmaster">
    <w:name w:val="Appendix Heading (master)"/>
    <w:uiPriority w:val="99"/>
    <w:rsid w:val="00CA7950"/>
    <w:pPr>
      <w:numPr>
        <w:numId w:val="6"/>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3C62D4"/>
    <w:pPr>
      <w:tabs>
        <w:tab w:val="left" w:pos="1134"/>
        <w:tab w:val="decimal" w:leader="dot" w:pos="9628"/>
      </w:tabs>
      <w:spacing w:before="60" w:after="60"/>
      <w:ind w:left="1134" w:right="567" w:hanging="1134"/>
    </w:pPr>
  </w:style>
  <w:style w:type="paragraph" w:customStyle="1" w:styleId="InstructionalText">
    <w:name w:val="Instructional Text"/>
    <w:basedOn w:val="Normal"/>
    <w:uiPriority w:val="39"/>
    <w:qFormat/>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704E85"/>
    <w:pPr>
      <w:spacing w:before="120" w:after="240"/>
    </w:pPr>
    <w:rPr>
      <w:color w:val="40443F"/>
    </w:rPr>
  </w:style>
  <w:style w:type="numbering" w:customStyle="1" w:styleId="Headingsmaster">
    <w:name w:val="Headings (master)"/>
    <w:uiPriority w:val="99"/>
    <w:rsid w:val="007C3D3A"/>
    <w:pPr>
      <w:numPr>
        <w:numId w:val="7"/>
      </w:numPr>
    </w:pPr>
  </w:style>
  <w:style w:type="paragraph" w:styleId="TOC4">
    <w:name w:val="toc 4"/>
    <w:basedOn w:val="TOC1"/>
    <w:next w:val="Normal"/>
    <w:autoRedefine/>
    <w:uiPriority w:val="39"/>
    <w:rsid w:val="00A6425D"/>
    <w:pPr>
      <w:tabs>
        <w:tab w:val="clear" w:pos="440"/>
        <w:tab w:val="clear" w:pos="1540"/>
        <w:tab w:val="left" w:pos="1134"/>
      </w:tabs>
      <w:ind w:left="1418" w:hanging="1418"/>
    </w:pPr>
    <w:rPr>
      <w:b w:val="0"/>
      <w:caps/>
    </w:rPr>
  </w:style>
  <w:style w:type="paragraph" w:styleId="EndnoteText">
    <w:name w:val="endnote text"/>
    <w:basedOn w:val="Normal"/>
    <w:link w:val="EndnoteTextChar"/>
    <w:uiPriority w:val="99"/>
    <w:semiHidden/>
    <w:rsid w:val="003B44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44D6"/>
    <w:rPr>
      <w:rFonts w:ascii="Arial" w:hAnsi="Arial"/>
      <w:color w:val="414141"/>
      <w:sz w:val="20"/>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aliases w:val="Char Char,Char Char Char, Char Char, Char Char Char"/>
    <w:basedOn w:val="Normal"/>
    <w:link w:val="FootnoteTextChar"/>
    <w:uiPriority w:val="99"/>
    <w:qFormat/>
    <w:rsid w:val="003B44D6"/>
    <w:pPr>
      <w:spacing w:after="0" w:line="240" w:lineRule="auto"/>
    </w:pPr>
    <w:rPr>
      <w:sz w:val="17"/>
      <w:szCs w:val="20"/>
    </w:rPr>
  </w:style>
  <w:style w:type="character" w:customStyle="1" w:styleId="FootnoteTextChar">
    <w:name w:val="Footnote Text Char"/>
    <w:aliases w:val="Char Char Char1,Char Char Char Char, Char Char Char1, Char Char Char Char"/>
    <w:basedOn w:val="DefaultParagraphFont"/>
    <w:link w:val="FootnoteText"/>
    <w:uiPriority w:val="99"/>
    <w:rsid w:val="005D4127"/>
    <w:rPr>
      <w:rFonts w:ascii="Arial" w:hAnsi="Arial"/>
      <w:color w:val="414141"/>
      <w:sz w:val="17"/>
      <w:szCs w:val="20"/>
      <w:lang w:val="en-AU"/>
    </w:rPr>
  </w:style>
  <w:style w:type="character" w:styleId="FootnoteReference">
    <w:name w:val="footnote reference"/>
    <w:aliases w:val="(NECG) Footnote Reference,SFG_Footnote Reference"/>
    <w:basedOn w:val="DefaultParagraphFont"/>
    <w:uiPriority w:val="24"/>
    <w:rsid w:val="003B44D6"/>
    <w:rPr>
      <w:vertAlign w:val="superscript"/>
    </w:rPr>
  </w:style>
  <w:style w:type="paragraph" w:styleId="Bibliography">
    <w:name w:val="Bibliography"/>
    <w:basedOn w:val="Normal"/>
    <w:next w:val="Normal"/>
    <w:uiPriority w:val="15"/>
    <w:rsid w:val="00AE0F4B"/>
    <w:pPr>
      <w:autoSpaceDE w:val="0"/>
      <w:autoSpaceDN w:val="0"/>
      <w:adjustRightInd w:val="0"/>
      <w:spacing w:before="80" w:line="240" w:lineRule="auto"/>
      <w:ind w:left="454" w:hanging="454"/>
      <w:textAlignment w:val="center"/>
    </w:pPr>
    <w:rPr>
      <w:rFonts w:eastAsia="Cambria" w:cs="MinionPro-Regular"/>
      <w:noProof/>
      <w:sz w:val="19"/>
      <w:szCs w:val="24"/>
      <w:lang w:val="en-GB" w:eastAsia="en-AU"/>
    </w:rPr>
  </w:style>
  <w:style w:type="table" w:customStyle="1" w:styleId="CCATablerecommendations">
    <w:name w:val="CCA Table (recommendations)"/>
    <w:basedOn w:val="CCATablebox"/>
    <w:uiPriority w:val="99"/>
    <w:rsid w:val="00F63CCF"/>
    <w:tblPr/>
    <w:tcPr>
      <w:shd w:val="clear" w:color="auto" w:fill="EAF5D9"/>
    </w:tcPr>
    <w:tblStylePr w:type="firstRow">
      <w:tblPr/>
      <w:trPr>
        <w:tblHeader/>
      </w:trPr>
    </w:tblStylePr>
  </w:style>
  <w:style w:type="paragraph" w:customStyle="1" w:styleId="ListRecommendations">
    <w:name w:val="List Recommendations"/>
    <w:basedOn w:val="ListNumber"/>
    <w:uiPriority w:val="10"/>
    <w:qFormat/>
    <w:rsid w:val="00CC3B3A"/>
    <w:pPr>
      <w:numPr>
        <w:numId w:val="13"/>
      </w:numPr>
    </w:pPr>
    <w:rPr>
      <w:lang w:val="en-GB"/>
    </w:rPr>
  </w:style>
  <w:style w:type="paragraph" w:customStyle="1" w:styleId="IntroParagraph">
    <w:name w:val="Intro Paragraph"/>
    <w:basedOn w:val="BodyText"/>
    <w:uiPriority w:val="3"/>
    <w:qFormat/>
    <w:rsid w:val="00362266"/>
    <w:rPr>
      <w:b/>
      <w:sz w:val="24"/>
      <w:lang w:val="en-GB" w:eastAsia="en-AU"/>
    </w:rPr>
  </w:style>
  <w:style w:type="paragraph" w:styleId="Quote">
    <w:name w:val="Quote"/>
    <w:basedOn w:val="Normal"/>
    <w:link w:val="QuoteChar"/>
    <w:uiPriority w:val="15"/>
    <w:qFormat/>
    <w:rsid w:val="00AE0F4B"/>
    <w:pPr>
      <w:ind w:left="454" w:right="454"/>
    </w:pPr>
    <w:rPr>
      <w:i/>
      <w:iCs/>
    </w:rPr>
  </w:style>
  <w:style w:type="character" w:customStyle="1" w:styleId="QuoteChar">
    <w:name w:val="Quote Char"/>
    <w:basedOn w:val="DefaultParagraphFont"/>
    <w:link w:val="Quote"/>
    <w:uiPriority w:val="15"/>
    <w:rsid w:val="006971DB"/>
    <w:rPr>
      <w:rFonts w:ascii="Arial" w:hAnsi="Arial"/>
      <w:i/>
      <w:iCs/>
      <w:color w:val="414141"/>
      <w:sz w:val="21"/>
      <w:lang w:val="en-AU"/>
    </w:rPr>
  </w:style>
  <w:style w:type="paragraph" w:customStyle="1" w:styleId="TableTextrightalignment">
    <w:name w:val="Table Text (right alignment)"/>
    <w:basedOn w:val="TableText"/>
    <w:uiPriority w:val="13"/>
    <w:qFormat/>
    <w:rsid w:val="00EF76E0"/>
    <w:pPr>
      <w:jc w:val="right"/>
    </w:pPr>
  </w:style>
  <w:style w:type="table" w:customStyle="1" w:styleId="CCATablequestions">
    <w:name w:val="CCA Table (questions)"/>
    <w:basedOn w:val="CCATablerecommendations"/>
    <w:uiPriority w:val="99"/>
    <w:rsid w:val="008D02DF"/>
    <w:tblPr/>
    <w:tcPr>
      <w:shd w:val="clear" w:color="auto" w:fill="EAF5D9"/>
    </w:tcPr>
    <w:tblStylePr w:type="firstRow">
      <w:tblPr/>
      <w:trPr>
        <w:tblHeader/>
      </w:trPr>
    </w:tblStylePr>
  </w:style>
  <w:style w:type="paragraph" w:customStyle="1" w:styleId="Headingquestions">
    <w:name w:val="Heading (questions)"/>
    <w:basedOn w:val="Headingrecommendations"/>
    <w:next w:val="ListQuestions"/>
    <w:uiPriority w:val="7"/>
    <w:qFormat/>
    <w:rsid w:val="00543174"/>
  </w:style>
  <w:style w:type="paragraph" w:customStyle="1" w:styleId="ListQuestions">
    <w:name w:val="List Questions"/>
    <w:basedOn w:val="ListRecommendations"/>
    <w:uiPriority w:val="10"/>
    <w:qFormat/>
    <w:rsid w:val="00BA0785"/>
    <w:pPr>
      <w:numPr>
        <w:numId w:val="14"/>
      </w:numPr>
    </w:pPr>
    <w:rPr>
      <w:lang w:eastAsia="en-AU"/>
    </w:rPr>
  </w:style>
  <w:style w:type="numbering" w:customStyle="1" w:styleId="ListRecommendationsMaster">
    <w:name w:val="List Recommendations Master"/>
    <w:uiPriority w:val="99"/>
    <w:rsid w:val="00CC3B3A"/>
    <w:pPr>
      <w:numPr>
        <w:numId w:val="11"/>
      </w:numPr>
    </w:pPr>
  </w:style>
  <w:style w:type="numbering" w:customStyle="1" w:styleId="ListQuestionsMaster">
    <w:name w:val="List Questions Master"/>
    <w:uiPriority w:val="99"/>
    <w:rsid w:val="00BA0785"/>
    <w:pPr>
      <w:numPr>
        <w:numId w:val="12"/>
      </w:numPr>
    </w:pPr>
  </w:style>
  <w:style w:type="paragraph" w:customStyle="1" w:styleId="Footeroddpage">
    <w:name w:val="Footer (odd page)"/>
    <w:basedOn w:val="Footer"/>
    <w:uiPriority w:val="19"/>
    <w:qFormat/>
    <w:rsid w:val="002F1862"/>
    <w:pPr>
      <w:tabs>
        <w:tab w:val="clear" w:pos="397"/>
        <w:tab w:val="right" w:pos="8505"/>
      </w:tabs>
      <w:jc w:val="right"/>
    </w:pPr>
    <w:rPr>
      <w:noProof/>
    </w:rPr>
  </w:style>
  <w:style w:type="paragraph" w:customStyle="1" w:styleId="Headingreferences">
    <w:name w:val="Heading (references)"/>
    <w:basedOn w:val="Heading2"/>
    <w:next w:val="BodyText"/>
    <w:uiPriority w:val="5"/>
    <w:qFormat/>
    <w:rsid w:val="007B5E36"/>
    <w:pPr>
      <w:numPr>
        <w:ilvl w:val="0"/>
        <w:numId w:val="0"/>
      </w:numPr>
    </w:pPr>
  </w:style>
  <w:style w:type="paragraph" w:styleId="TOC5">
    <w:name w:val="toc 5"/>
    <w:basedOn w:val="Normal"/>
    <w:next w:val="Normal"/>
    <w:autoRedefine/>
    <w:uiPriority w:val="21"/>
    <w:rsid w:val="00CC3B3A"/>
    <w:pPr>
      <w:tabs>
        <w:tab w:val="right" w:leader="dot" w:pos="9629"/>
      </w:tabs>
      <w:spacing w:after="100"/>
    </w:pPr>
    <w:rPr>
      <w:rFonts w:ascii="Arial Bold" w:hAnsi="Arial Bold"/>
      <w:b/>
      <w:caps/>
    </w:rPr>
  </w:style>
  <w:style w:type="paragraph" w:customStyle="1" w:styleId="ChapterHeading2">
    <w:name w:val="Chapter Heading 2"/>
    <w:basedOn w:val="Heading2"/>
    <w:next w:val="BodyText"/>
    <w:uiPriority w:val="5"/>
    <w:qFormat/>
    <w:rsid w:val="007C3D3A"/>
    <w:pPr>
      <w:numPr>
        <w:numId w:val="16"/>
      </w:numPr>
    </w:pPr>
  </w:style>
  <w:style w:type="paragraph" w:customStyle="1" w:styleId="ChapterHeading3">
    <w:name w:val="Chapter Heading 3"/>
    <w:basedOn w:val="Heading3"/>
    <w:next w:val="BodyText"/>
    <w:uiPriority w:val="5"/>
    <w:qFormat/>
    <w:rsid w:val="007C3D3A"/>
    <w:pPr>
      <w:numPr>
        <w:numId w:val="16"/>
      </w:numPr>
    </w:pPr>
  </w:style>
  <w:style w:type="paragraph" w:customStyle="1" w:styleId="ChapterHeading4">
    <w:name w:val="Chapter Heading 4"/>
    <w:basedOn w:val="Heading4"/>
    <w:next w:val="BodyText"/>
    <w:uiPriority w:val="5"/>
    <w:qFormat/>
    <w:rsid w:val="007C3D3A"/>
    <w:pPr>
      <w:numPr>
        <w:ilvl w:val="3"/>
        <w:numId w:val="16"/>
      </w:numPr>
    </w:pPr>
  </w:style>
  <w:style w:type="paragraph" w:customStyle="1" w:styleId="ChapterHeading1">
    <w:name w:val="Chapter Heading 1"/>
    <w:basedOn w:val="Heading1"/>
    <w:next w:val="BodyText"/>
    <w:uiPriority w:val="5"/>
    <w:qFormat/>
    <w:rsid w:val="00EA64DA"/>
    <w:pPr>
      <w:numPr>
        <w:numId w:val="16"/>
      </w:numPr>
    </w:pPr>
  </w:style>
  <w:style w:type="numbering" w:customStyle="1" w:styleId="ChapterHeadingsmaster">
    <w:name w:val="Chapter Headings (master)"/>
    <w:uiPriority w:val="99"/>
    <w:rsid w:val="007C3D3A"/>
    <w:pPr>
      <w:numPr>
        <w:numId w:val="48"/>
      </w:numPr>
    </w:pPr>
  </w:style>
  <w:style w:type="paragraph" w:customStyle="1" w:styleId="Conclusion">
    <w:name w:val="Conclusion"/>
    <w:basedOn w:val="BodyText"/>
    <w:qFormat/>
    <w:rsid w:val="005650EF"/>
    <w:pPr>
      <w:keepNext/>
      <w:keepLines/>
      <w:numPr>
        <w:numId w:val="19"/>
      </w:numPr>
      <w:spacing w:after="80"/>
      <w:ind w:left="714" w:hanging="714"/>
    </w:pPr>
    <w:rPr>
      <w:sz w:val="20"/>
    </w:rPr>
  </w:style>
  <w:style w:type="paragraph" w:styleId="ListParagraph">
    <w:name w:val="List Paragraph"/>
    <w:basedOn w:val="Normal"/>
    <w:uiPriority w:val="34"/>
    <w:qFormat/>
    <w:rsid w:val="00866BCB"/>
    <w:pPr>
      <w:spacing w:line="240" w:lineRule="atLeast"/>
      <w:ind w:left="720"/>
      <w:contextualSpacing/>
    </w:pPr>
    <w:rPr>
      <w:rFonts w:ascii="Calibri" w:eastAsia="Calibri" w:hAnsi="Calibri" w:cs="Times New Roman"/>
      <w:color w:val="auto"/>
      <w:sz w:val="22"/>
    </w:rPr>
  </w:style>
  <w:style w:type="paragraph" w:customStyle="1" w:styleId="Para0">
    <w:name w:val="Para 0"/>
    <w:aliases w:val="Auto,After:  3 pt"/>
    <w:basedOn w:val="Normal"/>
    <w:link w:val="Para0Char"/>
    <w:qFormat/>
    <w:rsid w:val="005F3240"/>
    <w:pPr>
      <w:spacing w:before="240" w:line="240" w:lineRule="atLeast"/>
    </w:pPr>
    <w:rPr>
      <w:rFonts w:eastAsiaTheme="minorEastAsia"/>
      <w:color w:val="auto"/>
      <w:sz w:val="20"/>
      <w:szCs w:val="24"/>
      <w:lang w:val="en-GB"/>
    </w:rPr>
  </w:style>
  <w:style w:type="paragraph" w:customStyle="1" w:styleId="ContentBulletsNumber">
    <w:name w:val="Content Bullets Number"/>
    <w:basedOn w:val="Para0"/>
    <w:uiPriority w:val="99"/>
    <w:semiHidden/>
    <w:qFormat/>
    <w:rsid w:val="005F3240"/>
    <w:pPr>
      <w:numPr>
        <w:numId w:val="20"/>
      </w:numPr>
      <w:ind w:left="360" w:hanging="360"/>
    </w:pPr>
  </w:style>
  <w:style w:type="character" w:customStyle="1" w:styleId="Para0Char">
    <w:name w:val="Para 0 Char"/>
    <w:aliases w:val="Auto Char,After:  3 pt Char Char"/>
    <w:basedOn w:val="DefaultParagraphFont"/>
    <w:link w:val="Para0"/>
    <w:rsid w:val="005F3240"/>
    <w:rPr>
      <w:rFonts w:ascii="Arial" w:eastAsiaTheme="minorEastAsia" w:hAnsi="Arial"/>
      <w:sz w:val="20"/>
      <w:szCs w:val="24"/>
      <w:lang w:val="en-GB"/>
    </w:rPr>
  </w:style>
  <w:style w:type="paragraph" w:customStyle="1" w:styleId="Para0number">
    <w:name w:val="Para 0 number"/>
    <w:basedOn w:val="Para0"/>
    <w:link w:val="Para0numberChar"/>
    <w:qFormat/>
    <w:rsid w:val="000C120B"/>
    <w:pPr>
      <w:numPr>
        <w:numId w:val="21"/>
      </w:numPr>
      <w:tabs>
        <w:tab w:val="left" w:pos="851"/>
      </w:tabs>
      <w:spacing w:before="0"/>
    </w:pPr>
  </w:style>
  <w:style w:type="paragraph" w:customStyle="1" w:styleId="Para2roman">
    <w:name w:val="Para 2 roman"/>
    <w:basedOn w:val="Normal"/>
    <w:rsid w:val="000C120B"/>
    <w:pPr>
      <w:numPr>
        <w:ilvl w:val="2"/>
        <w:numId w:val="21"/>
      </w:numPr>
      <w:tabs>
        <w:tab w:val="left" w:pos="851"/>
      </w:tabs>
      <w:spacing w:line="240" w:lineRule="atLeast"/>
    </w:pPr>
    <w:rPr>
      <w:rFonts w:eastAsiaTheme="minorEastAsia"/>
      <w:color w:val="auto"/>
      <w:sz w:val="20"/>
      <w:szCs w:val="24"/>
      <w:lang w:val="en-GB"/>
    </w:rPr>
  </w:style>
  <w:style w:type="numbering" w:customStyle="1" w:styleId="SKMNumberedList1">
    <w:name w:val="SKM Numbered List 1"/>
    <w:uiPriority w:val="99"/>
    <w:rsid w:val="000C120B"/>
    <w:pPr>
      <w:numPr>
        <w:numId w:val="21"/>
      </w:numPr>
    </w:pPr>
  </w:style>
  <w:style w:type="paragraph" w:customStyle="1" w:styleId="bulletlist">
    <w:name w:val="bullet list"/>
    <w:basedOn w:val="Normal"/>
    <w:link w:val="bulletlistChar"/>
    <w:uiPriority w:val="99"/>
    <w:qFormat/>
    <w:rsid w:val="000C120B"/>
    <w:pPr>
      <w:numPr>
        <w:numId w:val="22"/>
      </w:numPr>
      <w:tabs>
        <w:tab w:val="left" w:pos="709"/>
      </w:tabs>
      <w:spacing w:after="60" w:line="300" w:lineRule="auto"/>
    </w:pPr>
    <w:rPr>
      <w:rFonts w:eastAsia="Times New Roman" w:cs="Times New Roman"/>
      <w:color w:val="000000"/>
      <w:sz w:val="20"/>
      <w:szCs w:val="20"/>
      <w:lang w:val="en-GB"/>
    </w:rPr>
  </w:style>
  <w:style w:type="character" w:customStyle="1" w:styleId="bulletlistChar">
    <w:name w:val="bullet list Char"/>
    <w:basedOn w:val="DefaultParagraphFont"/>
    <w:link w:val="bulletlist"/>
    <w:uiPriority w:val="99"/>
    <w:rsid w:val="000C120B"/>
    <w:rPr>
      <w:rFonts w:ascii="Arial" w:eastAsia="Times New Roman" w:hAnsi="Arial" w:cs="Times New Roman"/>
      <w:color w:val="000000"/>
      <w:sz w:val="20"/>
      <w:szCs w:val="20"/>
      <w:lang w:val="en-GB"/>
    </w:rPr>
  </w:style>
  <w:style w:type="character" w:customStyle="1" w:styleId="Para0numberChar">
    <w:name w:val="Para 0 number Char"/>
    <w:basedOn w:val="DefaultParagraphFont"/>
    <w:link w:val="Para0number"/>
    <w:rsid w:val="000C120B"/>
    <w:rPr>
      <w:rFonts w:ascii="Arial" w:eastAsiaTheme="minorEastAsia" w:hAnsi="Arial"/>
      <w:sz w:val="20"/>
      <w:szCs w:val="24"/>
      <w:lang w:val="en-GB"/>
    </w:rPr>
  </w:style>
  <w:style w:type="character" w:styleId="CommentReference">
    <w:name w:val="annotation reference"/>
    <w:basedOn w:val="DefaultParagraphFont"/>
    <w:uiPriority w:val="99"/>
    <w:rsid w:val="00E41C1E"/>
    <w:rPr>
      <w:sz w:val="16"/>
      <w:szCs w:val="16"/>
    </w:rPr>
  </w:style>
  <w:style w:type="paragraph" w:styleId="CommentText">
    <w:name w:val="annotation text"/>
    <w:basedOn w:val="Normal"/>
    <w:link w:val="CommentTextChar"/>
    <w:uiPriority w:val="99"/>
    <w:rsid w:val="00E41C1E"/>
    <w:pPr>
      <w:spacing w:line="240" w:lineRule="auto"/>
    </w:pPr>
    <w:rPr>
      <w:sz w:val="20"/>
      <w:szCs w:val="20"/>
    </w:rPr>
  </w:style>
  <w:style w:type="character" w:customStyle="1" w:styleId="CommentTextChar">
    <w:name w:val="Comment Text Char"/>
    <w:basedOn w:val="DefaultParagraphFont"/>
    <w:link w:val="CommentText"/>
    <w:uiPriority w:val="99"/>
    <w:rsid w:val="00E41C1E"/>
    <w:rPr>
      <w:rFonts w:ascii="Arial" w:hAnsi="Arial"/>
      <w:color w:val="414141"/>
      <w:sz w:val="20"/>
      <w:szCs w:val="20"/>
      <w:lang w:val="en-AU"/>
    </w:rPr>
  </w:style>
  <w:style w:type="paragraph" w:styleId="CommentSubject">
    <w:name w:val="annotation subject"/>
    <w:basedOn w:val="CommentText"/>
    <w:next w:val="CommentText"/>
    <w:link w:val="CommentSubjectChar"/>
    <w:uiPriority w:val="99"/>
    <w:semiHidden/>
    <w:rsid w:val="00E41C1E"/>
    <w:rPr>
      <w:b/>
      <w:bCs/>
    </w:rPr>
  </w:style>
  <w:style w:type="character" w:customStyle="1" w:styleId="CommentSubjectChar">
    <w:name w:val="Comment Subject Char"/>
    <w:basedOn w:val="CommentTextChar"/>
    <w:link w:val="CommentSubject"/>
    <w:uiPriority w:val="99"/>
    <w:semiHidden/>
    <w:rsid w:val="00E41C1E"/>
    <w:rPr>
      <w:rFonts w:ascii="Arial" w:hAnsi="Arial"/>
      <w:b/>
      <w:bCs/>
      <w:color w:val="414141"/>
      <w:sz w:val="20"/>
      <w:szCs w:val="20"/>
      <w:lang w:val="en-AU"/>
    </w:rPr>
  </w:style>
  <w:style w:type="character" w:customStyle="1" w:styleId="CaptionChar">
    <w:name w:val="Caption Char"/>
    <w:aliases w:val="PAE Char,Item Char,Table Caption Char,Table Caption1 Char,Figure Char,CDM B/Caption Char,TABLE Char"/>
    <w:basedOn w:val="Para0Char"/>
    <w:link w:val="Caption"/>
    <w:uiPriority w:val="35"/>
    <w:rsid w:val="003E388C"/>
    <w:rPr>
      <w:rFonts w:ascii="Arial" w:eastAsiaTheme="minorEastAsia" w:hAnsi="Arial"/>
      <w:b/>
      <w:bCs/>
      <w:color w:val="414141"/>
      <w:sz w:val="24"/>
      <w:szCs w:val="18"/>
      <w:lang w:val="en-AU"/>
    </w:rPr>
  </w:style>
  <w:style w:type="paragraph" w:customStyle="1" w:styleId="Source">
    <w:name w:val="Source"/>
    <w:basedOn w:val="Normal"/>
    <w:link w:val="SourceChar"/>
    <w:uiPriority w:val="99"/>
    <w:qFormat/>
    <w:rsid w:val="003E388C"/>
    <w:pPr>
      <w:spacing w:after="220" w:line="300" w:lineRule="auto"/>
    </w:pPr>
    <w:rPr>
      <w:rFonts w:eastAsia="Times New Roman" w:cs="Times New Roman"/>
      <w:color w:val="000000"/>
      <w:sz w:val="16"/>
      <w:szCs w:val="16"/>
      <w:lang w:val="en-GB"/>
    </w:rPr>
  </w:style>
  <w:style w:type="character" w:customStyle="1" w:styleId="SourceChar">
    <w:name w:val="Source Char"/>
    <w:basedOn w:val="DefaultParagraphFont"/>
    <w:link w:val="Source"/>
    <w:uiPriority w:val="99"/>
    <w:rsid w:val="003E388C"/>
    <w:rPr>
      <w:rFonts w:ascii="Arial" w:eastAsia="Times New Roman" w:hAnsi="Arial" w:cs="Times New Roman"/>
      <w:color w:val="000000"/>
      <w:sz w:val="16"/>
      <w:szCs w:val="16"/>
      <w:lang w:val="en-GB"/>
    </w:rPr>
  </w:style>
  <w:style w:type="table" w:styleId="LightShading">
    <w:name w:val="Light Shading"/>
    <w:basedOn w:val="TableNormal"/>
    <w:uiPriority w:val="60"/>
    <w:locked/>
    <w:rsid w:val="003E388C"/>
    <w:pPr>
      <w:spacing w:after="0" w:line="240" w:lineRule="auto"/>
    </w:pPr>
    <w:rPr>
      <w:rFonts w:ascii="Calibri" w:eastAsia="Calibri" w:hAnsi="Calibri" w:cs="Times New Roman"/>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0">
    <w:name w:val="Table heading"/>
    <w:basedOn w:val="Normal"/>
    <w:qFormat/>
    <w:rsid w:val="003F3416"/>
    <w:pPr>
      <w:keepNext/>
      <w:spacing w:before="100" w:after="100" w:line="240" w:lineRule="atLeast"/>
    </w:pPr>
    <w:rPr>
      <w:rFonts w:ascii="Arial Black" w:eastAsiaTheme="minorEastAsia" w:hAnsi="Arial Black"/>
      <w:color w:val="auto"/>
      <w:sz w:val="16"/>
      <w:szCs w:val="24"/>
      <w:lang w:val="en-GB"/>
    </w:rPr>
  </w:style>
  <w:style w:type="paragraph" w:customStyle="1" w:styleId="Para0bullet">
    <w:name w:val="Para 0 bullet"/>
    <w:basedOn w:val="Para0"/>
    <w:link w:val="Para0bulletChar"/>
    <w:qFormat/>
    <w:rsid w:val="003F3416"/>
    <w:pPr>
      <w:numPr>
        <w:numId w:val="23"/>
      </w:numPr>
      <w:tabs>
        <w:tab w:val="left" w:pos="851"/>
      </w:tabs>
      <w:spacing w:before="0"/>
    </w:pPr>
  </w:style>
  <w:style w:type="paragraph" w:customStyle="1" w:styleId="Para1narrowarrow">
    <w:name w:val="Para 1 narrow arrow"/>
    <w:basedOn w:val="Normal"/>
    <w:unhideWhenUsed/>
    <w:rsid w:val="003F3416"/>
    <w:pPr>
      <w:numPr>
        <w:ilvl w:val="1"/>
        <w:numId w:val="23"/>
      </w:numPr>
      <w:tabs>
        <w:tab w:val="left" w:pos="851"/>
      </w:tabs>
      <w:spacing w:line="240" w:lineRule="atLeast"/>
    </w:pPr>
    <w:rPr>
      <w:rFonts w:eastAsiaTheme="minorEastAsia"/>
      <w:color w:val="auto"/>
      <w:sz w:val="20"/>
      <w:szCs w:val="24"/>
      <w:lang w:val="en-GB"/>
    </w:rPr>
  </w:style>
  <w:style w:type="numbering" w:customStyle="1" w:styleId="SKMBulletList1">
    <w:name w:val="SKM Bullet List 1"/>
    <w:uiPriority w:val="99"/>
    <w:rsid w:val="003F3416"/>
    <w:pPr>
      <w:numPr>
        <w:numId w:val="23"/>
      </w:numPr>
    </w:pPr>
  </w:style>
  <w:style w:type="character" w:customStyle="1" w:styleId="Para0bulletChar">
    <w:name w:val="Para 0 bullet Char"/>
    <w:basedOn w:val="DefaultParagraphFont"/>
    <w:link w:val="Para0bullet"/>
    <w:locked/>
    <w:rsid w:val="003F3416"/>
    <w:rPr>
      <w:rFonts w:ascii="Arial" w:eastAsiaTheme="minorEastAsia" w:hAnsi="Arial"/>
      <w:sz w:val="20"/>
      <w:szCs w:val="24"/>
      <w:lang w:val="en-GB"/>
    </w:rPr>
  </w:style>
  <w:style w:type="paragraph" w:customStyle="1" w:styleId="Default">
    <w:name w:val="Default"/>
    <w:rsid w:val="00B427BC"/>
    <w:pPr>
      <w:autoSpaceDE w:val="0"/>
      <w:autoSpaceDN w:val="0"/>
      <w:adjustRightInd w:val="0"/>
      <w:spacing w:after="0" w:line="240" w:lineRule="auto"/>
    </w:pPr>
    <w:rPr>
      <w:rFonts w:ascii="Arial" w:hAnsi="Arial" w:cs="Arial"/>
      <w:color w:val="000000"/>
      <w:sz w:val="24"/>
      <w:szCs w:val="24"/>
      <w:lang w:val="en-AU"/>
    </w:rPr>
  </w:style>
  <w:style w:type="numbering" w:customStyle="1" w:styleId="Style1">
    <w:name w:val="Style1"/>
    <w:uiPriority w:val="99"/>
    <w:rsid w:val="00C74505"/>
    <w:pPr>
      <w:numPr>
        <w:numId w:val="24"/>
      </w:numPr>
    </w:pPr>
  </w:style>
  <w:style w:type="paragraph" w:customStyle="1" w:styleId="Bulletlist0">
    <w:name w:val="Bullet list"/>
    <w:link w:val="BulletlistChar0"/>
    <w:uiPriority w:val="2"/>
    <w:qFormat/>
    <w:rsid w:val="00C74505"/>
    <w:pPr>
      <w:numPr>
        <w:numId w:val="24"/>
      </w:numPr>
      <w:spacing w:after="120" w:line="240" w:lineRule="auto"/>
    </w:pPr>
    <w:rPr>
      <w:rFonts w:eastAsia="Calibri" w:cs="Times New Roman"/>
      <w:sz w:val="20"/>
      <w:lang w:val="en-AU"/>
    </w:rPr>
  </w:style>
  <w:style w:type="character" w:customStyle="1" w:styleId="BulletlistChar0">
    <w:name w:val="Bullet list Char"/>
    <w:basedOn w:val="DefaultParagraphFont"/>
    <w:link w:val="Bulletlist0"/>
    <w:uiPriority w:val="2"/>
    <w:rsid w:val="00C74505"/>
    <w:rPr>
      <w:rFonts w:eastAsia="Calibri" w:cs="Times New Roman"/>
      <w:sz w:val="20"/>
      <w:lang w:val="en-AU"/>
    </w:rPr>
  </w:style>
  <w:style w:type="paragraph" w:customStyle="1" w:styleId="Projectrole1">
    <w:name w:val="Project role 1"/>
    <w:basedOn w:val="Normal"/>
    <w:uiPriority w:val="99"/>
    <w:semiHidden/>
    <w:rsid w:val="006B7A7E"/>
    <w:pPr>
      <w:spacing w:after="160" w:line="240" w:lineRule="atLeast"/>
      <w:jc w:val="right"/>
    </w:pPr>
    <w:rPr>
      <w:rFonts w:eastAsiaTheme="minorEastAsia"/>
      <w:caps/>
      <w:color w:val="00338D"/>
      <w:sz w:val="20"/>
      <w:szCs w:val="24"/>
      <w:lang w:val="en-GB"/>
    </w:rPr>
  </w:style>
  <w:style w:type="paragraph" w:customStyle="1" w:styleId="CitaviBibliographyEntry">
    <w:name w:val="Citavi Bibliography Entry"/>
    <w:basedOn w:val="Normal"/>
    <w:link w:val="CitaviBibliographyEntryChar"/>
    <w:rsid w:val="0069563A"/>
    <w:pPr>
      <w:tabs>
        <w:tab w:val="left" w:pos="340"/>
      </w:tabs>
      <w:spacing w:after="0"/>
      <w:ind w:left="340" w:hanging="340"/>
    </w:pPr>
  </w:style>
  <w:style w:type="character" w:customStyle="1" w:styleId="CitaviBibliographyEntryChar">
    <w:name w:val="Citavi Bibliography Entry Char"/>
    <w:basedOn w:val="BodyTextChar"/>
    <w:link w:val="CitaviBibliographyEntry"/>
    <w:rsid w:val="0069563A"/>
    <w:rPr>
      <w:rFonts w:ascii="Arial" w:hAnsi="Arial"/>
      <w:color w:val="414141"/>
      <w:sz w:val="21"/>
      <w:lang w:val="en-AU"/>
    </w:rPr>
  </w:style>
  <w:style w:type="paragraph" w:customStyle="1" w:styleId="CitaviBibliographyHeading">
    <w:name w:val="Citavi Bibliography Heading"/>
    <w:basedOn w:val="Heading1"/>
    <w:link w:val="CitaviBibliographyHeadingChar"/>
    <w:rsid w:val="0069563A"/>
  </w:style>
  <w:style w:type="character" w:customStyle="1" w:styleId="CitaviBibliographyHeadingChar">
    <w:name w:val="Citavi Bibliography Heading Char"/>
    <w:basedOn w:val="BodyTextChar"/>
    <w:link w:val="CitaviBibliographyHeading"/>
    <w:rsid w:val="0069563A"/>
    <w:rPr>
      <w:rFonts w:ascii="Arial" w:eastAsia="Times New Roman" w:hAnsi="Arial" w:cs="Arial"/>
      <w:bCs/>
      <w:caps/>
      <w:color w:val="0C9FCD"/>
      <w:sz w:val="40"/>
      <w:szCs w:val="32"/>
      <w:lang w:val="en-GB" w:eastAsia="en-AU"/>
    </w:rPr>
  </w:style>
  <w:style w:type="paragraph" w:styleId="Revision">
    <w:name w:val="Revision"/>
    <w:hidden/>
    <w:uiPriority w:val="99"/>
    <w:semiHidden/>
    <w:rsid w:val="00954A69"/>
    <w:pPr>
      <w:spacing w:after="0" w:line="240" w:lineRule="auto"/>
    </w:pPr>
    <w:rPr>
      <w:rFonts w:ascii="Arial" w:hAnsi="Arial"/>
      <w:color w:val="414141"/>
      <w:sz w:val="21"/>
      <w:lang w:val="en-AU"/>
    </w:rPr>
  </w:style>
  <w:style w:type="paragraph" w:customStyle="1" w:styleId="AttachmentTitle">
    <w:name w:val="Attachment Title"/>
    <w:basedOn w:val="Heading1"/>
    <w:next w:val="BodyText"/>
    <w:qFormat/>
    <w:rsid w:val="003C2DED"/>
    <w:pPr>
      <w:keepLines/>
      <w:numPr>
        <w:numId w:val="25"/>
      </w:numPr>
      <w:suppressLineNumbers/>
      <w:suppressAutoHyphens/>
      <w:spacing w:before="360" w:after="120" w:line="240" w:lineRule="atLeast"/>
      <w:contextualSpacing w:val="0"/>
    </w:pPr>
    <w:rPr>
      <w:rFonts w:asciiTheme="minorHAnsi" w:hAnsiTheme="minorHAnsi" w:cs="Times New Roman"/>
      <w:b/>
      <w:bCs w:val="0"/>
      <w:color w:val="auto"/>
      <w:kern w:val="28"/>
      <w:sz w:val="28"/>
      <w:szCs w:val="20"/>
      <w:u w:color="568A9E"/>
      <w:lang w:eastAsia="en-US"/>
    </w:rPr>
  </w:style>
  <w:style w:type="paragraph" w:customStyle="1" w:styleId="AttachmentHeading1">
    <w:name w:val="Attachment Heading 1"/>
    <w:basedOn w:val="Heading2"/>
    <w:next w:val="Normal"/>
    <w:rsid w:val="003C2DED"/>
    <w:pPr>
      <w:keepLines/>
      <w:numPr>
        <w:numId w:val="25"/>
      </w:numPr>
      <w:suppressLineNumbers/>
      <w:tabs>
        <w:tab w:val="left" w:pos="709"/>
      </w:tabs>
      <w:suppressAutoHyphens/>
      <w:spacing w:before="240" w:line="240" w:lineRule="atLeast"/>
      <w:ind w:left="851" w:hanging="851"/>
      <w:contextualSpacing w:val="0"/>
    </w:pPr>
    <w:rPr>
      <w:rFonts w:asciiTheme="minorHAnsi" w:hAnsiTheme="minorHAnsi" w:cs="Times New Roman"/>
      <w:b/>
      <w:iCs w:val="0"/>
      <w:color w:val="auto"/>
      <w:sz w:val="24"/>
      <w:szCs w:val="20"/>
      <w:lang w:eastAsia="en-US"/>
    </w:rPr>
  </w:style>
  <w:style w:type="character" w:styleId="Strong">
    <w:name w:val="Strong"/>
    <w:basedOn w:val="DefaultParagraphFont"/>
    <w:uiPriority w:val="22"/>
    <w:rsid w:val="003C2DED"/>
    <w:rPr>
      <w:b/>
      <w:bCs/>
    </w:rPr>
  </w:style>
  <w:style w:type="paragraph" w:customStyle="1" w:styleId="AttachmentHeading2">
    <w:name w:val="Attachment Heading 2"/>
    <w:basedOn w:val="AttachmentHeading1"/>
    <w:qFormat/>
    <w:rsid w:val="003C2DED"/>
    <w:pPr>
      <w:numPr>
        <w:ilvl w:val="2"/>
      </w:numPr>
      <w:tabs>
        <w:tab w:val="clear" w:pos="0"/>
        <w:tab w:val="num" w:pos="709"/>
      </w:tabs>
      <w:ind w:left="709"/>
    </w:pPr>
    <w:rPr>
      <w:i/>
      <w:sz w:val="22"/>
      <w:szCs w:val="22"/>
    </w:rPr>
  </w:style>
  <w:style w:type="character" w:customStyle="1" w:styleId="TableTextChar">
    <w:name w:val="Table Text Char"/>
    <w:basedOn w:val="DefaultParagraphFont"/>
    <w:link w:val="TableText"/>
    <w:uiPriority w:val="11"/>
    <w:rsid w:val="003C2DED"/>
    <w:rPr>
      <w:rFonts w:ascii="Arial" w:eastAsia="Times New Roman" w:hAnsi="Arial" w:cs="Times New Roman"/>
      <w:bCs/>
      <w:color w:val="414141"/>
      <w:sz w:val="18"/>
      <w:szCs w:val="24"/>
      <w:lang w:val="en-AU" w:eastAsia="en-GB"/>
    </w:rPr>
  </w:style>
  <w:style w:type="table" w:customStyle="1" w:styleId="TableGrid1">
    <w:name w:val="Table Grid1"/>
    <w:basedOn w:val="TableNormal"/>
    <w:next w:val="TableGrid"/>
    <w:uiPriority w:val="59"/>
    <w:rsid w:val="0073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1">
    <w:name w:val="CCA Table (box)1"/>
    <w:basedOn w:val="TableNormal"/>
    <w:uiPriority w:val="99"/>
    <w:rsid w:val="00733D99"/>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table" w:customStyle="1" w:styleId="TableGrid2">
    <w:name w:val="Table Grid2"/>
    <w:basedOn w:val="TableNormal"/>
    <w:next w:val="TableGrid"/>
    <w:uiPriority w:val="59"/>
    <w:rsid w:val="0073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2">
    <w:name w:val="CCA Table (box)2"/>
    <w:basedOn w:val="TableNormal"/>
    <w:uiPriority w:val="99"/>
    <w:rsid w:val="00733D99"/>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styleId="NormalWeb">
    <w:name w:val="Normal (Web)"/>
    <w:basedOn w:val="Normal"/>
    <w:uiPriority w:val="99"/>
    <w:semiHidden/>
    <w:unhideWhenUsed/>
    <w:rsid w:val="00F61668"/>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styleId="BookTitle">
    <w:name w:val="Book Title"/>
    <w:basedOn w:val="DefaultParagraphFont"/>
    <w:uiPriority w:val="33"/>
    <w:semiHidden/>
    <w:qFormat/>
    <w:rsid w:val="0041169C"/>
    <w:rPr>
      <w:b/>
      <w:bCs/>
      <w:smallCaps/>
      <w:spacing w:val="5"/>
    </w:rPr>
  </w:style>
  <w:style w:type="character" w:styleId="IntenseReference">
    <w:name w:val="Intense Reference"/>
    <w:basedOn w:val="DefaultParagraphFont"/>
    <w:uiPriority w:val="32"/>
    <w:semiHidden/>
    <w:qFormat/>
    <w:rsid w:val="0041169C"/>
    <w:rPr>
      <w:b/>
      <w:bCs/>
      <w:smallCaps/>
      <w:color w:val="F96A1B" w:themeColor="accent2"/>
      <w:spacing w:val="5"/>
      <w:u w:val="single"/>
    </w:rPr>
  </w:style>
  <w:style w:type="character" w:styleId="SubtleReference">
    <w:name w:val="Subtle Reference"/>
    <w:basedOn w:val="DefaultParagraphFont"/>
    <w:uiPriority w:val="31"/>
    <w:semiHidden/>
    <w:qFormat/>
    <w:rsid w:val="0041169C"/>
    <w:rPr>
      <w:smallCaps/>
      <w:color w:val="F96A1B" w:themeColor="accent2"/>
      <w:u w:val="single"/>
    </w:rPr>
  </w:style>
  <w:style w:type="character" w:styleId="IntenseEmphasis">
    <w:name w:val="Intense Emphasis"/>
    <w:basedOn w:val="DefaultParagraphFont"/>
    <w:uiPriority w:val="21"/>
    <w:semiHidden/>
    <w:qFormat/>
    <w:rsid w:val="0041169C"/>
    <w:rPr>
      <w:b/>
      <w:bCs/>
      <w:i/>
      <w:iCs/>
      <w:color w:val="797B7E" w:themeColor="accent1"/>
    </w:rPr>
  </w:style>
  <w:style w:type="character" w:styleId="SubtleEmphasis">
    <w:name w:val="Subtle Emphasis"/>
    <w:basedOn w:val="DefaultParagraphFont"/>
    <w:uiPriority w:val="19"/>
    <w:semiHidden/>
    <w:qFormat/>
    <w:rsid w:val="0041169C"/>
    <w:rPr>
      <w:i/>
      <w:iCs/>
      <w:color w:val="808080" w:themeColor="text1" w:themeTint="7F"/>
    </w:rPr>
  </w:style>
  <w:style w:type="paragraph" w:styleId="IntenseQuote">
    <w:name w:val="Intense Quote"/>
    <w:basedOn w:val="Normal"/>
    <w:next w:val="Normal"/>
    <w:link w:val="IntenseQuoteChar"/>
    <w:uiPriority w:val="30"/>
    <w:semiHidden/>
    <w:qFormat/>
    <w:rsid w:val="0041169C"/>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semiHidden/>
    <w:rsid w:val="0041169C"/>
    <w:rPr>
      <w:rFonts w:ascii="Arial" w:hAnsi="Arial"/>
      <w:b/>
      <w:bCs/>
      <w:i/>
      <w:iCs/>
      <w:color w:val="797B7E" w:themeColor="accent1"/>
      <w:sz w:val="21"/>
      <w:lang w:val="en-AU"/>
    </w:rPr>
  </w:style>
  <w:style w:type="table" w:styleId="MediumList1-Accent1">
    <w:name w:val="Medium List 1 Accent 1"/>
    <w:basedOn w:val="TableNormal"/>
    <w:uiPriority w:val="65"/>
    <w:locked/>
    <w:rsid w:val="0041169C"/>
    <w:pPr>
      <w:spacing w:after="0" w:line="240" w:lineRule="auto"/>
    </w:pPr>
    <w:rPr>
      <w:color w:val="000000" w:themeColor="text1"/>
    </w:rPr>
    <w:tblPr>
      <w:tblStyleRowBandSize w:val="1"/>
      <w:tblStyleColBandSize w:val="1"/>
      <w:tblBorders>
        <w:top w:val="single" w:sz="8" w:space="0" w:color="797B7E" w:themeColor="accent1"/>
        <w:bottom w:val="single" w:sz="8" w:space="0" w:color="797B7E" w:themeColor="accent1"/>
      </w:tblBorders>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table" w:styleId="MediumShading2-Accent1">
    <w:name w:val="Medium Shading 2 Accent 1"/>
    <w:basedOn w:val="TableNormal"/>
    <w:uiPriority w:val="64"/>
    <w:locked/>
    <w:rsid w:val="004116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B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B7E" w:themeFill="accent1"/>
      </w:tcPr>
    </w:tblStylePr>
    <w:tblStylePr w:type="lastCol">
      <w:rPr>
        <w:b/>
        <w:bCs/>
        <w:color w:val="FFFFFF" w:themeColor="background1"/>
      </w:rPr>
      <w:tblPr/>
      <w:tcPr>
        <w:tcBorders>
          <w:left w:val="nil"/>
          <w:right w:val="nil"/>
          <w:insideH w:val="nil"/>
          <w:insideV w:val="nil"/>
        </w:tcBorders>
        <w:shd w:val="clear" w:color="auto" w:fill="797B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41169C"/>
    <w:pPr>
      <w:spacing w:after="0" w:line="240" w:lineRule="auto"/>
    </w:pPr>
    <w:tblPr>
      <w:tblStyleRowBandSize w:val="1"/>
      <w:tblStyleColBandSize w:val="1"/>
      <w:tbl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single" w:sz="8" w:space="0" w:color="9A9C9E" w:themeColor="accent1" w:themeTint="BF"/>
      </w:tblBorders>
    </w:tblPr>
    <w:tblStylePr w:type="firstRow">
      <w:pPr>
        <w:spacing w:before="0" w:after="0" w:line="240" w:lineRule="auto"/>
      </w:pPr>
      <w:rPr>
        <w:b/>
        <w:bCs/>
        <w:color w:val="FFFFFF" w:themeColor="background1"/>
      </w:rPr>
      <w:tblPr/>
      <w:tcPr>
        <w:tc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il"/>
          <w:insideV w:val="nil"/>
        </w:tcBorders>
        <w:shd w:val="clear" w:color="auto" w:fill="797B7E" w:themeFill="accent1"/>
      </w:tcPr>
    </w:tblStylePr>
    <w:tblStylePr w:type="lastRow">
      <w:pPr>
        <w:spacing w:before="0" w:after="0" w:line="240" w:lineRule="auto"/>
      </w:pPr>
      <w:rPr>
        <w:b/>
        <w:bCs/>
      </w:rPr>
      <w:tblPr/>
      <w:tcPr>
        <w:tcBorders>
          <w:top w:val="double" w:sz="6"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DEDF" w:themeFill="accent1" w:themeFillTint="3F"/>
      </w:tcPr>
    </w:tblStylePr>
    <w:tblStylePr w:type="band1Horz">
      <w:tblPr/>
      <w:tcPr>
        <w:tcBorders>
          <w:insideH w:val="nil"/>
          <w:insideV w:val="nil"/>
        </w:tcBorders>
        <w:shd w:val="clear" w:color="auto" w:fill="DDDEDF"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41169C"/>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insideH w:val="single" w:sz="8" w:space="0" w:color="797B7E" w:themeColor="accent1"/>
        <w:insideV w:val="single" w:sz="8" w:space="0" w:color="797B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18" w:space="0" w:color="797B7E" w:themeColor="accent1"/>
          <w:right w:val="single" w:sz="8" w:space="0" w:color="797B7E" w:themeColor="accent1"/>
          <w:insideH w:val="nil"/>
          <w:insideV w:val="single" w:sz="8" w:space="0" w:color="797B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insideH w:val="nil"/>
          <w:insideV w:val="single" w:sz="8" w:space="0" w:color="797B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shd w:val="clear" w:color="auto" w:fill="DDDEDF" w:themeFill="accent1" w:themeFillTint="3F"/>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shd w:val="clear" w:color="auto" w:fill="DDDEDF" w:themeFill="accent1" w:themeFillTint="3F"/>
      </w:tcPr>
    </w:tblStylePr>
    <w:tblStylePr w:type="band2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tcPr>
    </w:tblStylePr>
  </w:style>
  <w:style w:type="table" w:styleId="LightList-Accent1">
    <w:name w:val="Light List Accent 1"/>
    <w:basedOn w:val="TableNormal"/>
    <w:uiPriority w:val="61"/>
    <w:locked/>
    <w:rsid w:val="0041169C"/>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 w:type="table" w:styleId="LightShading-Accent1">
    <w:name w:val="Light Shading Accent 1"/>
    <w:basedOn w:val="TableNormal"/>
    <w:uiPriority w:val="60"/>
    <w:locked/>
    <w:rsid w:val="0041169C"/>
    <w:pPr>
      <w:spacing w:after="0" w:line="240" w:lineRule="auto"/>
    </w:pPr>
    <w:rPr>
      <w:color w:val="5A5C5E" w:themeColor="accent1" w:themeShade="BF"/>
    </w:rPr>
    <w:tblPr>
      <w:tblStyleRowBandSize w:val="1"/>
      <w:tblStyleColBandSize w:val="1"/>
      <w:tblBorders>
        <w:top w:val="single" w:sz="8" w:space="0" w:color="797B7E" w:themeColor="accent1"/>
        <w:bottom w:val="single" w:sz="8" w:space="0" w:color="797B7E" w:themeColor="accent1"/>
      </w:tblBorders>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table" w:styleId="ColorfulGrid">
    <w:name w:val="Colorful Grid"/>
    <w:basedOn w:val="TableNormal"/>
    <w:uiPriority w:val="73"/>
    <w:locked/>
    <w:rsid w:val="004116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locked/>
    <w:rsid w:val="004116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locked/>
    <w:rsid w:val="0041169C"/>
    <w:pPr>
      <w:spacing w:after="0" w:line="240" w:lineRule="auto"/>
    </w:pPr>
    <w:rPr>
      <w:color w:val="000000" w:themeColor="text1"/>
    </w:rPr>
    <w:tblPr>
      <w:tblStyleRowBandSize w:val="1"/>
      <w:tblStyleColBandSize w:val="1"/>
      <w:tblBorders>
        <w:top w:val="single" w:sz="24" w:space="0" w:color="F96A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6A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4116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locked/>
    <w:rsid w:val="004116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locked/>
    <w:rsid w:val="004116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4116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locked/>
    <w:rsid w:val="004116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4116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locked/>
    <w:rsid w:val="004116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4116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4116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locked/>
    <w:rsid w:val="004116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Variable">
    <w:name w:val="HTML Variable"/>
    <w:basedOn w:val="DefaultParagraphFont"/>
    <w:uiPriority w:val="99"/>
    <w:semiHidden/>
    <w:rsid w:val="0041169C"/>
    <w:rPr>
      <w:i/>
      <w:iCs/>
    </w:rPr>
  </w:style>
  <w:style w:type="character" w:styleId="HTMLTypewriter">
    <w:name w:val="HTML Typewriter"/>
    <w:basedOn w:val="DefaultParagraphFont"/>
    <w:uiPriority w:val="99"/>
    <w:semiHidden/>
    <w:rsid w:val="0041169C"/>
    <w:rPr>
      <w:rFonts w:ascii="Consolas" w:hAnsi="Consolas" w:cs="Consolas"/>
      <w:sz w:val="20"/>
      <w:szCs w:val="20"/>
    </w:rPr>
  </w:style>
  <w:style w:type="character" w:styleId="HTMLSample">
    <w:name w:val="HTML Sample"/>
    <w:basedOn w:val="DefaultParagraphFont"/>
    <w:uiPriority w:val="99"/>
    <w:semiHidden/>
    <w:rsid w:val="0041169C"/>
    <w:rPr>
      <w:rFonts w:ascii="Consolas" w:hAnsi="Consolas" w:cs="Consolas"/>
      <w:sz w:val="24"/>
      <w:szCs w:val="24"/>
    </w:rPr>
  </w:style>
  <w:style w:type="paragraph" w:styleId="HTMLPreformatted">
    <w:name w:val="HTML Preformatted"/>
    <w:basedOn w:val="Normal"/>
    <w:link w:val="HTMLPreformattedChar"/>
    <w:uiPriority w:val="99"/>
    <w:semiHidden/>
    <w:rsid w:val="0041169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169C"/>
    <w:rPr>
      <w:rFonts w:ascii="Consolas" w:hAnsi="Consolas" w:cs="Consolas"/>
      <w:color w:val="414141"/>
      <w:sz w:val="20"/>
      <w:szCs w:val="20"/>
      <w:lang w:val="en-AU"/>
    </w:rPr>
  </w:style>
  <w:style w:type="character" w:styleId="HTMLKeyboard">
    <w:name w:val="HTML Keyboard"/>
    <w:basedOn w:val="DefaultParagraphFont"/>
    <w:uiPriority w:val="99"/>
    <w:semiHidden/>
    <w:rsid w:val="0041169C"/>
    <w:rPr>
      <w:rFonts w:ascii="Consolas" w:hAnsi="Consolas" w:cs="Consolas"/>
      <w:sz w:val="20"/>
      <w:szCs w:val="20"/>
    </w:rPr>
  </w:style>
  <w:style w:type="character" w:styleId="HTMLDefinition">
    <w:name w:val="HTML Definition"/>
    <w:basedOn w:val="DefaultParagraphFont"/>
    <w:uiPriority w:val="99"/>
    <w:semiHidden/>
    <w:rsid w:val="0041169C"/>
    <w:rPr>
      <w:i/>
      <w:iCs/>
    </w:rPr>
  </w:style>
  <w:style w:type="character" w:styleId="HTMLCode">
    <w:name w:val="HTML Code"/>
    <w:basedOn w:val="DefaultParagraphFont"/>
    <w:uiPriority w:val="99"/>
    <w:semiHidden/>
    <w:rsid w:val="0041169C"/>
    <w:rPr>
      <w:rFonts w:ascii="Consolas" w:hAnsi="Consolas" w:cs="Consolas"/>
      <w:sz w:val="20"/>
      <w:szCs w:val="20"/>
    </w:rPr>
  </w:style>
  <w:style w:type="character" w:styleId="HTMLCite">
    <w:name w:val="HTML Cite"/>
    <w:basedOn w:val="DefaultParagraphFont"/>
    <w:uiPriority w:val="99"/>
    <w:semiHidden/>
    <w:rsid w:val="0041169C"/>
    <w:rPr>
      <w:i/>
      <w:iCs/>
    </w:rPr>
  </w:style>
  <w:style w:type="paragraph" w:styleId="HTMLAddress">
    <w:name w:val="HTML Address"/>
    <w:basedOn w:val="Normal"/>
    <w:link w:val="HTMLAddressChar"/>
    <w:uiPriority w:val="99"/>
    <w:semiHidden/>
    <w:rsid w:val="0041169C"/>
    <w:pPr>
      <w:spacing w:after="0" w:line="240" w:lineRule="auto"/>
    </w:pPr>
    <w:rPr>
      <w:i/>
      <w:iCs/>
    </w:rPr>
  </w:style>
  <w:style w:type="character" w:customStyle="1" w:styleId="HTMLAddressChar">
    <w:name w:val="HTML Address Char"/>
    <w:basedOn w:val="DefaultParagraphFont"/>
    <w:link w:val="HTMLAddress"/>
    <w:uiPriority w:val="99"/>
    <w:semiHidden/>
    <w:rsid w:val="0041169C"/>
    <w:rPr>
      <w:rFonts w:ascii="Arial" w:hAnsi="Arial"/>
      <w:i/>
      <w:iCs/>
      <w:color w:val="414141"/>
      <w:sz w:val="21"/>
      <w:lang w:val="en-AU"/>
    </w:rPr>
  </w:style>
  <w:style w:type="character" w:styleId="HTMLAcronym">
    <w:name w:val="HTML Acronym"/>
    <w:basedOn w:val="DefaultParagraphFont"/>
    <w:uiPriority w:val="99"/>
    <w:semiHidden/>
    <w:rsid w:val="0041169C"/>
  </w:style>
  <w:style w:type="paragraph" w:styleId="PlainText">
    <w:name w:val="Plain Text"/>
    <w:basedOn w:val="Normal"/>
    <w:link w:val="PlainTextChar"/>
    <w:uiPriority w:val="99"/>
    <w:semiHidden/>
    <w:rsid w:val="0041169C"/>
    <w:pPr>
      <w:spacing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41169C"/>
    <w:rPr>
      <w:rFonts w:ascii="Consolas" w:hAnsi="Consolas" w:cs="Consolas"/>
      <w:color w:val="414141"/>
      <w:sz w:val="21"/>
      <w:szCs w:val="21"/>
      <w:lang w:val="en-AU"/>
    </w:rPr>
  </w:style>
  <w:style w:type="paragraph" w:styleId="DocumentMap">
    <w:name w:val="Document Map"/>
    <w:basedOn w:val="Normal"/>
    <w:link w:val="DocumentMapChar"/>
    <w:uiPriority w:val="99"/>
    <w:semiHidden/>
    <w:rsid w:val="004116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1169C"/>
    <w:rPr>
      <w:rFonts w:ascii="Tahoma" w:hAnsi="Tahoma" w:cs="Tahoma"/>
      <w:color w:val="414141"/>
      <w:sz w:val="16"/>
      <w:szCs w:val="16"/>
      <w:lang w:val="en-AU"/>
    </w:rPr>
  </w:style>
  <w:style w:type="character" w:styleId="Emphasis">
    <w:name w:val="Emphasis"/>
    <w:basedOn w:val="DefaultParagraphFont"/>
    <w:uiPriority w:val="20"/>
    <w:semiHidden/>
    <w:qFormat/>
    <w:rsid w:val="0041169C"/>
    <w:rPr>
      <w:i/>
      <w:iCs/>
    </w:rPr>
  </w:style>
  <w:style w:type="character" w:styleId="FollowedHyperlink">
    <w:name w:val="FollowedHyperlink"/>
    <w:basedOn w:val="DefaultParagraphFont"/>
    <w:uiPriority w:val="99"/>
    <w:semiHidden/>
    <w:rsid w:val="0041169C"/>
    <w:rPr>
      <w:color w:val="969696" w:themeColor="followedHyperlink"/>
      <w:u w:val="single"/>
    </w:rPr>
  </w:style>
  <w:style w:type="paragraph" w:styleId="BlockText">
    <w:name w:val="Block Text"/>
    <w:basedOn w:val="Normal"/>
    <w:uiPriority w:val="99"/>
    <w:semiHidden/>
    <w:rsid w:val="0041169C"/>
    <w:pPr>
      <w:pBdr>
        <w:top w:val="single" w:sz="2" w:space="10" w:color="797B7E" w:themeColor="accent1"/>
        <w:left w:val="single" w:sz="2" w:space="10" w:color="797B7E" w:themeColor="accent1"/>
        <w:bottom w:val="single" w:sz="2" w:space="10" w:color="797B7E" w:themeColor="accent1"/>
        <w:right w:val="single" w:sz="2" w:space="10" w:color="797B7E" w:themeColor="accent1"/>
      </w:pBdr>
      <w:ind w:left="1152" w:right="1152"/>
    </w:pPr>
    <w:rPr>
      <w:rFonts w:asciiTheme="minorHAnsi" w:eastAsiaTheme="minorEastAsia" w:hAnsiTheme="minorHAnsi"/>
      <w:i/>
      <w:iCs/>
      <w:color w:val="797B7E" w:themeColor="accent1"/>
    </w:rPr>
  </w:style>
  <w:style w:type="paragraph" w:styleId="BodyTextIndent3">
    <w:name w:val="Body Text Indent 3"/>
    <w:basedOn w:val="Normal"/>
    <w:link w:val="BodyTextIndent3Char"/>
    <w:uiPriority w:val="99"/>
    <w:semiHidden/>
    <w:rsid w:val="0041169C"/>
    <w:pPr>
      <w:ind w:left="283"/>
    </w:pPr>
    <w:rPr>
      <w:sz w:val="16"/>
      <w:szCs w:val="16"/>
    </w:rPr>
  </w:style>
  <w:style w:type="character" w:customStyle="1" w:styleId="BodyTextIndent3Char">
    <w:name w:val="Body Text Indent 3 Char"/>
    <w:basedOn w:val="DefaultParagraphFont"/>
    <w:link w:val="BodyTextIndent3"/>
    <w:uiPriority w:val="99"/>
    <w:semiHidden/>
    <w:rsid w:val="0041169C"/>
    <w:rPr>
      <w:rFonts w:ascii="Arial" w:hAnsi="Arial"/>
      <w:color w:val="414141"/>
      <w:sz w:val="16"/>
      <w:szCs w:val="16"/>
      <w:lang w:val="en-AU"/>
    </w:rPr>
  </w:style>
  <w:style w:type="paragraph" w:styleId="BodyTextIndent2">
    <w:name w:val="Body Text Indent 2"/>
    <w:basedOn w:val="Normal"/>
    <w:link w:val="BodyTextIndent2Char"/>
    <w:uiPriority w:val="99"/>
    <w:semiHidden/>
    <w:rsid w:val="0041169C"/>
    <w:pPr>
      <w:spacing w:line="480" w:lineRule="auto"/>
      <w:ind w:left="283"/>
    </w:pPr>
  </w:style>
  <w:style w:type="character" w:customStyle="1" w:styleId="BodyTextIndent2Char">
    <w:name w:val="Body Text Indent 2 Char"/>
    <w:basedOn w:val="DefaultParagraphFont"/>
    <w:link w:val="BodyTextIndent2"/>
    <w:uiPriority w:val="99"/>
    <w:semiHidden/>
    <w:rsid w:val="0041169C"/>
    <w:rPr>
      <w:rFonts w:ascii="Arial" w:hAnsi="Arial"/>
      <w:color w:val="414141"/>
      <w:sz w:val="21"/>
      <w:lang w:val="en-AU"/>
    </w:rPr>
  </w:style>
  <w:style w:type="paragraph" w:styleId="BodyText3">
    <w:name w:val="Body Text 3"/>
    <w:basedOn w:val="Normal"/>
    <w:link w:val="BodyText3Char"/>
    <w:uiPriority w:val="99"/>
    <w:semiHidden/>
    <w:rsid w:val="0041169C"/>
    <w:rPr>
      <w:sz w:val="16"/>
      <w:szCs w:val="16"/>
    </w:rPr>
  </w:style>
  <w:style w:type="character" w:customStyle="1" w:styleId="BodyText3Char">
    <w:name w:val="Body Text 3 Char"/>
    <w:basedOn w:val="DefaultParagraphFont"/>
    <w:link w:val="BodyText3"/>
    <w:uiPriority w:val="99"/>
    <w:semiHidden/>
    <w:rsid w:val="0041169C"/>
    <w:rPr>
      <w:rFonts w:ascii="Arial" w:hAnsi="Arial"/>
      <w:color w:val="414141"/>
      <w:sz w:val="16"/>
      <w:szCs w:val="16"/>
      <w:lang w:val="en-AU"/>
    </w:rPr>
  </w:style>
  <w:style w:type="paragraph" w:styleId="BodyText2">
    <w:name w:val="Body Text 2"/>
    <w:basedOn w:val="Normal"/>
    <w:link w:val="BodyText2Char"/>
    <w:uiPriority w:val="99"/>
    <w:semiHidden/>
    <w:rsid w:val="0041169C"/>
    <w:pPr>
      <w:spacing w:line="480" w:lineRule="auto"/>
    </w:pPr>
  </w:style>
  <w:style w:type="character" w:customStyle="1" w:styleId="BodyText2Char">
    <w:name w:val="Body Text 2 Char"/>
    <w:basedOn w:val="DefaultParagraphFont"/>
    <w:link w:val="BodyText2"/>
    <w:uiPriority w:val="99"/>
    <w:semiHidden/>
    <w:rsid w:val="0041169C"/>
    <w:rPr>
      <w:rFonts w:ascii="Arial" w:hAnsi="Arial"/>
      <w:color w:val="414141"/>
      <w:sz w:val="21"/>
      <w:lang w:val="en-AU"/>
    </w:rPr>
  </w:style>
  <w:style w:type="paragraph" w:styleId="NoteHeading">
    <w:name w:val="Note Heading"/>
    <w:basedOn w:val="Normal"/>
    <w:next w:val="Normal"/>
    <w:link w:val="NoteHeadingChar"/>
    <w:uiPriority w:val="99"/>
    <w:semiHidden/>
    <w:unhideWhenUsed/>
    <w:rsid w:val="0041169C"/>
    <w:pPr>
      <w:spacing w:after="0" w:line="240" w:lineRule="auto"/>
    </w:pPr>
  </w:style>
  <w:style w:type="character" w:customStyle="1" w:styleId="NoteHeadingChar">
    <w:name w:val="Note Heading Char"/>
    <w:basedOn w:val="DefaultParagraphFont"/>
    <w:link w:val="NoteHeading"/>
    <w:uiPriority w:val="99"/>
    <w:semiHidden/>
    <w:rsid w:val="0041169C"/>
    <w:rPr>
      <w:rFonts w:ascii="Arial" w:hAnsi="Arial"/>
      <w:color w:val="414141"/>
      <w:sz w:val="21"/>
      <w:lang w:val="en-AU"/>
    </w:rPr>
  </w:style>
  <w:style w:type="paragraph" w:styleId="BodyTextIndent">
    <w:name w:val="Body Text Indent"/>
    <w:basedOn w:val="Normal"/>
    <w:link w:val="BodyTextIndentChar"/>
    <w:uiPriority w:val="99"/>
    <w:semiHidden/>
    <w:rsid w:val="0041169C"/>
    <w:pPr>
      <w:ind w:left="283"/>
    </w:pPr>
  </w:style>
  <w:style w:type="character" w:customStyle="1" w:styleId="BodyTextIndentChar">
    <w:name w:val="Body Text Indent Char"/>
    <w:basedOn w:val="DefaultParagraphFont"/>
    <w:link w:val="BodyTextIndent"/>
    <w:uiPriority w:val="99"/>
    <w:semiHidden/>
    <w:rsid w:val="0041169C"/>
    <w:rPr>
      <w:rFonts w:ascii="Arial" w:hAnsi="Arial"/>
      <w:color w:val="414141"/>
      <w:sz w:val="21"/>
      <w:lang w:val="en-AU"/>
    </w:rPr>
  </w:style>
  <w:style w:type="paragraph" w:styleId="BodyTextFirstIndent2">
    <w:name w:val="Body Text First Indent 2"/>
    <w:basedOn w:val="BodyTextIndent"/>
    <w:link w:val="BodyTextFirstIndent2Char"/>
    <w:uiPriority w:val="99"/>
    <w:semiHidden/>
    <w:rsid w:val="0041169C"/>
    <w:pPr>
      <w:ind w:left="360" w:firstLine="360"/>
    </w:pPr>
  </w:style>
  <w:style w:type="character" w:customStyle="1" w:styleId="BodyTextFirstIndent2Char">
    <w:name w:val="Body Text First Indent 2 Char"/>
    <w:basedOn w:val="BodyTextIndentChar"/>
    <w:link w:val="BodyTextFirstIndent2"/>
    <w:uiPriority w:val="99"/>
    <w:semiHidden/>
    <w:rsid w:val="0041169C"/>
    <w:rPr>
      <w:rFonts w:ascii="Arial" w:hAnsi="Arial"/>
      <w:color w:val="414141"/>
      <w:sz w:val="21"/>
      <w:lang w:val="en-AU"/>
    </w:rPr>
  </w:style>
  <w:style w:type="paragraph" w:styleId="BodyTextFirstIndent">
    <w:name w:val="Body Text First Indent"/>
    <w:basedOn w:val="BodyText"/>
    <w:link w:val="BodyTextFirstIndentChar"/>
    <w:uiPriority w:val="99"/>
    <w:semiHidden/>
    <w:rsid w:val="0041169C"/>
    <w:pPr>
      <w:ind w:firstLine="360"/>
    </w:pPr>
  </w:style>
  <w:style w:type="character" w:customStyle="1" w:styleId="BodyTextFirstIndentChar">
    <w:name w:val="Body Text First Indent Char"/>
    <w:basedOn w:val="BodyTextChar"/>
    <w:link w:val="BodyTextFirstIndent"/>
    <w:uiPriority w:val="99"/>
    <w:semiHidden/>
    <w:rsid w:val="0041169C"/>
    <w:rPr>
      <w:rFonts w:ascii="Arial" w:hAnsi="Arial"/>
      <w:color w:val="414141"/>
      <w:sz w:val="21"/>
      <w:lang w:val="en-AU"/>
    </w:rPr>
  </w:style>
  <w:style w:type="paragraph" w:styleId="Salutation">
    <w:name w:val="Salutation"/>
    <w:basedOn w:val="Normal"/>
    <w:next w:val="Normal"/>
    <w:link w:val="SalutationChar"/>
    <w:uiPriority w:val="99"/>
    <w:semiHidden/>
    <w:rsid w:val="0041169C"/>
  </w:style>
  <w:style w:type="character" w:customStyle="1" w:styleId="SalutationChar">
    <w:name w:val="Salutation Char"/>
    <w:basedOn w:val="DefaultParagraphFont"/>
    <w:link w:val="Salutation"/>
    <w:uiPriority w:val="99"/>
    <w:semiHidden/>
    <w:rsid w:val="0041169C"/>
    <w:rPr>
      <w:rFonts w:ascii="Arial" w:hAnsi="Arial"/>
      <w:color w:val="414141"/>
      <w:sz w:val="21"/>
      <w:lang w:val="en-AU"/>
    </w:rPr>
  </w:style>
  <w:style w:type="paragraph" w:styleId="MessageHeader">
    <w:name w:val="Message Header"/>
    <w:basedOn w:val="Normal"/>
    <w:link w:val="MessageHeaderChar"/>
    <w:uiPriority w:val="99"/>
    <w:semiHidden/>
    <w:unhideWhenUsed/>
    <w:rsid w:val="004116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169C"/>
    <w:rPr>
      <w:rFonts w:asciiTheme="majorHAnsi" w:eastAsiaTheme="majorEastAsia" w:hAnsiTheme="majorHAnsi" w:cstheme="majorBidi"/>
      <w:color w:val="414141"/>
      <w:sz w:val="24"/>
      <w:szCs w:val="24"/>
      <w:shd w:val="pct20" w:color="auto" w:fill="auto"/>
      <w:lang w:val="en-AU"/>
    </w:rPr>
  </w:style>
  <w:style w:type="paragraph" w:styleId="ListContinue5">
    <w:name w:val="List Continue 5"/>
    <w:basedOn w:val="Normal"/>
    <w:uiPriority w:val="99"/>
    <w:semiHidden/>
    <w:unhideWhenUsed/>
    <w:rsid w:val="0041169C"/>
    <w:pPr>
      <w:ind w:left="1415"/>
      <w:contextualSpacing/>
    </w:pPr>
  </w:style>
  <w:style w:type="paragraph" w:styleId="ListContinue4">
    <w:name w:val="List Continue 4"/>
    <w:basedOn w:val="Normal"/>
    <w:uiPriority w:val="99"/>
    <w:semiHidden/>
    <w:unhideWhenUsed/>
    <w:rsid w:val="0041169C"/>
    <w:pPr>
      <w:ind w:left="1132"/>
      <w:contextualSpacing/>
    </w:pPr>
  </w:style>
  <w:style w:type="paragraph" w:styleId="ListContinue3">
    <w:name w:val="List Continue 3"/>
    <w:basedOn w:val="Normal"/>
    <w:uiPriority w:val="99"/>
    <w:semiHidden/>
    <w:unhideWhenUsed/>
    <w:rsid w:val="0041169C"/>
    <w:pPr>
      <w:ind w:left="849"/>
      <w:contextualSpacing/>
    </w:pPr>
  </w:style>
  <w:style w:type="paragraph" w:styleId="ListContinue2">
    <w:name w:val="List Continue 2"/>
    <w:basedOn w:val="Normal"/>
    <w:uiPriority w:val="99"/>
    <w:semiHidden/>
    <w:unhideWhenUsed/>
    <w:rsid w:val="0041169C"/>
    <w:pPr>
      <w:ind w:left="566"/>
      <w:contextualSpacing/>
    </w:pPr>
  </w:style>
  <w:style w:type="paragraph" w:styleId="ListContinue">
    <w:name w:val="List Continue"/>
    <w:basedOn w:val="Normal"/>
    <w:uiPriority w:val="99"/>
    <w:semiHidden/>
    <w:unhideWhenUsed/>
    <w:rsid w:val="0041169C"/>
    <w:pPr>
      <w:ind w:left="283"/>
      <w:contextualSpacing/>
    </w:pPr>
  </w:style>
  <w:style w:type="paragraph" w:styleId="Signature">
    <w:name w:val="Signature"/>
    <w:basedOn w:val="Normal"/>
    <w:link w:val="SignatureChar"/>
    <w:uiPriority w:val="99"/>
    <w:semiHidden/>
    <w:rsid w:val="0041169C"/>
    <w:pPr>
      <w:spacing w:after="0" w:line="240" w:lineRule="auto"/>
      <w:ind w:left="4252"/>
    </w:pPr>
  </w:style>
  <w:style w:type="character" w:customStyle="1" w:styleId="SignatureChar">
    <w:name w:val="Signature Char"/>
    <w:basedOn w:val="DefaultParagraphFont"/>
    <w:link w:val="Signature"/>
    <w:uiPriority w:val="99"/>
    <w:semiHidden/>
    <w:rsid w:val="0041169C"/>
    <w:rPr>
      <w:rFonts w:ascii="Arial" w:hAnsi="Arial"/>
      <w:color w:val="414141"/>
      <w:sz w:val="21"/>
      <w:lang w:val="en-AU"/>
    </w:rPr>
  </w:style>
  <w:style w:type="paragraph" w:styleId="Closing">
    <w:name w:val="Closing"/>
    <w:basedOn w:val="Normal"/>
    <w:link w:val="ClosingChar"/>
    <w:uiPriority w:val="99"/>
    <w:semiHidden/>
    <w:rsid w:val="0041169C"/>
    <w:pPr>
      <w:spacing w:after="0" w:line="240" w:lineRule="auto"/>
      <w:ind w:left="4252"/>
    </w:pPr>
  </w:style>
  <w:style w:type="character" w:customStyle="1" w:styleId="ClosingChar">
    <w:name w:val="Closing Char"/>
    <w:basedOn w:val="DefaultParagraphFont"/>
    <w:link w:val="Closing"/>
    <w:uiPriority w:val="99"/>
    <w:semiHidden/>
    <w:rsid w:val="0041169C"/>
    <w:rPr>
      <w:rFonts w:ascii="Arial" w:hAnsi="Arial"/>
      <w:color w:val="414141"/>
      <w:sz w:val="21"/>
      <w:lang w:val="en-AU"/>
    </w:rPr>
  </w:style>
  <w:style w:type="paragraph" w:styleId="ListNumber5">
    <w:name w:val="List Number 5"/>
    <w:basedOn w:val="Normal"/>
    <w:uiPriority w:val="99"/>
    <w:semiHidden/>
    <w:unhideWhenUsed/>
    <w:rsid w:val="0041169C"/>
    <w:pPr>
      <w:numPr>
        <w:numId w:val="28"/>
      </w:numPr>
      <w:contextualSpacing/>
    </w:pPr>
  </w:style>
  <w:style w:type="paragraph" w:styleId="ListNumber4">
    <w:name w:val="List Number 4"/>
    <w:basedOn w:val="Normal"/>
    <w:uiPriority w:val="99"/>
    <w:semiHidden/>
    <w:unhideWhenUsed/>
    <w:rsid w:val="0041169C"/>
    <w:pPr>
      <w:numPr>
        <w:numId w:val="29"/>
      </w:numPr>
      <w:contextualSpacing/>
    </w:pPr>
  </w:style>
  <w:style w:type="paragraph" w:styleId="ListBullet5">
    <w:name w:val="List Bullet 5"/>
    <w:basedOn w:val="Normal"/>
    <w:uiPriority w:val="99"/>
    <w:semiHidden/>
    <w:unhideWhenUsed/>
    <w:rsid w:val="0041169C"/>
    <w:pPr>
      <w:numPr>
        <w:numId w:val="30"/>
      </w:numPr>
      <w:contextualSpacing/>
    </w:pPr>
  </w:style>
  <w:style w:type="paragraph" w:styleId="ListBullet4">
    <w:name w:val="List Bullet 4"/>
    <w:basedOn w:val="Normal"/>
    <w:uiPriority w:val="99"/>
    <w:semiHidden/>
    <w:unhideWhenUsed/>
    <w:rsid w:val="0041169C"/>
    <w:pPr>
      <w:numPr>
        <w:numId w:val="31"/>
      </w:numPr>
      <w:contextualSpacing/>
    </w:pPr>
  </w:style>
  <w:style w:type="paragraph" w:styleId="List5">
    <w:name w:val="List 5"/>
    <w:basedOn w:val="Normal"/>
    <w:uiPriority w:val="99"/>
    <w:semiHidden/>
    <w:unhideWhenUsed/>
    <w:rsid w:val="0041169C"/>
    <w:pPr>
      <w:ind w:left="1415" w:hanging="283"/>
      <w:contextualSpacing/>
    </w:pPr>
  </w:style>
  <w:style w:type="paragraph" w:styleId="List4">
    <w:name w:val="List 4"/>
    <w:basedOn w:val="Normal"/>
    <w:uiPriority w:val="99"/>
    <w:semiHidden/>
    <w:unhideWhenUsed/>
    <w:rsid w:val="0041169C"/>
    <w:pPr>
      <w:ind w:left="1132" w:hanging="283"/>
      <w:contextualSpacing/>
    </w:pPr>
  </w:style>
  <w:style w:type="paragraph" w:styleId="List3">
    <w:name w:val="List 3"/>
    <w:basedOn w:val="Normal"/>
    <w:uiPriority w:val="99"/>
    <w:semiHidden/>
    <w:unhideWhenUsed/>
    <w:rsid w:val="0041169C"/>
    <w:pPr>
      <w:ind w:left="849" w:hanging="283"/>
      <w:contextualSpacing/>
    </w:pPr>
  </w:style>
  <w:style w:type="paragraph" w:styleId="List2">
    <w:name w:val="List 2"/>
    <w:basedOn w:val="Normal"/>
    <w:uiPriority w:val="99"/>
    <w:semiHidden/>
    <w:unhideWhenUsed/>
    <w:rsid w:val="0041169C"/>
    <w:pPr>
      <w:ind w:left="566" w:hanging="283"/>
      <w:contextualSpacing/>
    </w:pPr>
  </w:style>
  <w:style w:type="paragraph" w:styleId="List">
    <w:name w:val="List"/>
    <w:basedOn w:val="Normal"/>
    <w:uiPriority w:val="99"/>
    <w:semiHidden/>
    <w:unhideWhenUsed/>
    <w:rsid w:val="0041169C"/>
    <w:pPr>
      <w:ind w:left="283" w:hanging="283"/>
      <w:contextualSpacing/>
    </w:pPr>
  </w:style>
  <w:style w:type="paragraph" w:styleId="TOAHeading">
    <w:name w:val="toa heading"/>
    <w:basedOn w:val="Normal"/>
    <w:next w:val="Normal"/>
    <w:uiPriority w:val="99"/>
    <w:semiHidden/>
    <w:rsid w:val="0041169C"/>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41169C"/>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41169C"/>
    <w:rPr>
      <w:rFonts w:ascii="Consolas" w:hAnsi="Consolas" w:cs="Consolas"/>
      <w:color w:val="414141"/>
      <w:sz w:val="20"/>
      <w:szCs w:val="20"/>
      <w:lang w:val="en-AU"/>
    </w:rPr>
  </w:style>
  <w:style w:type="paragraph" w:styleId="TableofAuthorities">
    <w:name w:val="table of authorities"/>
    <w:basedOn w:val="Normal"/>
    <w:next w:val="Normal"/>
    <w:uiPriority w:val="99"/>
    <w:semiHidden/>
    <w:unhideWhenUsed/>
    <w:locked/>
    <w:rsid w:val="0041169C"/>
    <w:pPr>
      <w:spacing w:after="0"/>
      <w:ind w:left="210" w:hanging="210"/>
    </w:pPr>
  </w:style>
  <w:style w:type="character" w:styleId="LineNumber">
    <w:name w:val="line number"/>
    <w:basedOn w:val="DefaultParagraphFont"/>
    <w:uiPriority w:val="99"/>
    <w:semiHidden/>
    <w:unhideWhenUsed/>
    <w:rsid w:val="0041169C"/>
  </w:style>
  <w:style w:type="paragraph" w:styleId="EnvelopeReturn">
    <w:name w:val="envelope return"/>
    <w:basedOn w:val="Normal"/>
    <w:uiPriority w:val="99"/>
    <w:semiHidden/>
    <w:rsid w:val="0041169C"/>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rsid w:val="004116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ex1">
    <w:name w:val="index 1"/>
    <w:basedOn w:val="Normal"/>
    <w:next w:val="Normal"/>
    <w:autoRedefine/>
    <w:uiPriority w:val="99"/>
    <w:semiHidden/>
    <w:unhideWhenUsed/>
    <w:rsid w:val="0041169C"/>
    <w:pPr>
      <w:spacing w:after="0" w:line="240" w:lineRule="auto"/>
      <w:ind w:left="210" w:hanging="210"/>
    </w:pPr>
  </w:style>
  <w:style w:type="paragraph" w:styleId="IndexHeading">
    <w:name w:val="index heading"/>
    <w:basedOn w:val="Normal"/>
    <w:next w:val="Index1"/>
    <w:uiPriority w:val="99"/>
    <w:semiHidden/>
    <w:unhideWhenUsed/>
    <w:rsid w:val="0041169C"/>
    <w:rPr>
      <w:rFonts w:asciiTheme="majorHAnsi" w:eastAsiaTheme="majorEastAsia" w:hAnsiTheme="majorHAnsi" w:cstheme="majorBidi"/>
      <w:b/>
      <w:bCs/>
    </w:rPr>
  </w:style>
  <w:style w:type="paragraph" w:styleId="NormalIndent">
    <w:name w:val="Normal Indent"/>
    <w:basedOn w:val="Normal"/>
    <w:uiPriority w:val="99"/>
    <w:semiHidden/>
    <w:unhideWhenUsed/>
    <w:rsid w:val="0041169C"/>
    <w:pPr>
      <w:ind w:left="720"/>
    </w:pPr>
  </w:style>
  <w:style w:type="paragraph" w:styleId="TOC9">
    <w:name w:val="toc 9"/>
    <w:basedOn w:val="Normal"/>
    <w:next w:val="Normal"/>
    <w:autoRedefine/>
    <w:uiPriority w:val="21"/>
    <w:semiHidden/>
    <w:rsid w:val="0041169C"/>
    <w:pPr>
      <w:spacing w:after="100"/>
      <w:ind w:left="1680"/>
    </w:pPr>
  </w:style>
  <w:style w:type="paragraph" w:styleId="TOC8">
    <w:name w:val="toc 8"/>
    <w:basedOn w:val="Normal"/>
    <w:next w:val="Normal"/>
    <w:autoRedefine/>
    <w:uiPriority w:val="21"/>
    <w:semiHidden/>
    <w:rsid w:val="0041169C"/>
    <w:pPr>
      <w:spacing w:after="100"/>
      <w:ind w:left="1470"/>
    </w:pPr>
  </w:style>
  <w:style w:type="paragraph" w:styleId="TOC7">
    <w:name w:val="toc 7"/>
    <w:basedOn w:val="Normal"/>
    <w:next w:val="Normal"/>
    <w:autoRedefine/>
    <w:uiPriority w:val="21"/>
    <w:semiHidden/>
    <w:rsid w:val="0041169C"/>
    <w:pPr>
      <w:spacing w:after="100"/>
      <w:ind w:left="1260"/>
    </w:pPr>
  </w:style>
  <w:style w:type="paragraph" w:styleId="TOC6">
    <w:name w:val="toc 6"/>
    <w:basedOn w:val="Normal"/>
    <w:next w:val="Normal"/>
    <w:autoRedefine/>
    <w:uiPriority w:val="21"/>
    <w:semiHidden/>
    <w:rsid w:val="0041169C"/>
    <w:pPr>
      <w:spacing w:after="100"/>
      <w:ind w:left="1050"/>
    </w:pPr>
  </w:style>
  <w:style w:type="paragraph" w:styleId="Index9">
    <w:name w:val="index 9"/>
    <w:basedOn w:val="Normal"/>
    <w:next w:val="Normal"/>
    <w:autoRedefine/>
    <w:uiPriority w:val="99"/>
    <w:semiHidden/>
    <w:unhideWhenUsed/>
    <w:rsid w:val="0041169C"/>
    <w:pPr>
      <w:spacing w:after="0" w:line="240" w:lineRule="auto"/>
      <w:ind w:left="1890" w:hanging="210"/>
    </w:pPr>
  </w:style>
  <w:style w:type="paragraph" w:styleId="Index8">
    <w:name w:val="index 8"/>
    <w:basedOn w:val="Normal"/>
    <w:next w:val="Normal"/>
    <w:autoRedefine/>
    <w:uiPriority w:val="99"/>
    <w:semiHidden/>
    <w:unhideWhenUsed/>
    <w:rsid w:val="0041169C"/>
    <w:pPr>
      <w:spacing w:after="0" w:line="240" w:lineRule="auto"/>
      <w:ind w:left="1680" w:hanging="210"/>
    </w:pPr>
  </w:style>
  <w:style w:type="paragraph" w:styleId="Index7">
    <w:name w:val="index 7"/>
    <w:basedOn w:val="Normal"/>
    <w:next w:val="Normal"/>
    <w:autoRedefine/>
    <w:uiPriority w:val="99"/>
    <w:semiHidden/>
    <w:unhideWhenUsed/>
    <w:rsid w:val="0041169C"/>
    <w:pPr>
      <w:spacing w:after="0" w:line="240" w:lineRule="auto"/>
      <w:ind w:left="1470" w:hanging="210"/>
    </w:pPr>
  </w:style>
  <w:style w:type="paragraph" w:styleId="Index6">
    <w:name w:val="index 6"/>
    <w:basedOn w:val="Normal"/>
    <w:next w:val="Normal"/>
    <w:autoRedefine/>
    <w:uiPriority w:val="99"/>
    <w:semiHidden/>
    <w:unhideWhenUsed/>
    <w:rsid w:val="0041169C"/>
    <w:pPr>
      <w:spacing w:after="0" w:line="240" w:lineRule="auto"/>
      <w:ind w:left="1260" w:hanging="210"/>
    </w:pPr>
  </w:style>
  <w:style w:type="paragraph" w:styleId="Index5">
    <w:name w:val="index 5"/>
    <w:basedOn w:val="Normal"/>
    <w:next w:val="Normal"/>
    <w:autoRedefine/>
    <w:uiPriority w:val="99"/>
    <w:semiHidden/>
    <w:unhideWhenUsed/>
    <w:rsid w:val="0041169C"/>
    <w:pPr>
      <w:spacing w:after="0" w:line="240" w:lineRule="auto"/>
      <w:ind w:left="1050" w:hanging="210"/>
    </w:pPr>
  </w:style>
  <w:style w:type="paragraph" w:styleId="Index4">
    <w:name w:val="index 4"/>
    <w:basedOn w:val="Normal"/>
    <w:next w:val="Normal"/>
    <w:autoRedefine/>
    <w:uiPriority w:val="99"/>
    <w:semiHidden/>
    <w:unhideWhenUsed/>
    <w:rsid w:val="0041169C"/>
    <w:pPr>
      <w:spacing w:after="0" w:line="240" w:lineRule="auto"/>
      <w:ind w:left="840" w:hanging="210"/>
    </w:pPr>
  </w:style>
  <w:style w:type="paragraph" w:styleId="Index3">
    <w:name w:val="index 3"/>
    <w:basedOn w:val="Normal"/>
    <w:next w:val="Normal"/>
    <w:autoRedefine/>
    <w:uiPriority w:val="99"/>
    <w:semiHidden/>
    <w:unhideWhenUsed/>
    <w:rsid w:val="0041169C"/>
    <w:pPr>
      <w:spacing w:after="0" w:line="240" w:lineRule="auto"/>
      <w:ind w:left="630" w:hanging="210"/>
    </w:pPr>
  </w:style>
  <w:style w:type="paragraph" w:styleId="Index2">
    <w:name w:val="index 2"/>
    <w:basedOn w:val="Normal"/>
    <w:next w:val="Normal"/>
    <w:autoRedefine/>
    <w:uiPriority w:val="99"/>
    <w:semiHidden/>
    <w:unhideWhenUsed/>
    <w:rsid w:val="0041169C"/>
    <w:pPr>
      <w:spacing w:after="0" w:line="240" w:lineRule="auto"/>
      <w:ind w:left="420" w:hanging="210"/>
    </w:pPr>
  </w:style>
  <w:style w:type="character" w:customStyle="1" w:styleId="Heading9Char">
    <w:name w:val="Heading 9 Char"/>
    <w:basedOn w:val="DefaultParagraphFont"/>
    <w:link w:val="Heading9"/>
    <w:uiPriority w:val="4"/>
    <w:semiHidden/>
    <w:rsid w:val="0041169C"/>
    <w:rPr>
      <w:rFonts w:asciiTheme="majorHAnsi" w:eastAsiaTheme="majorEastAsia" w:hAnsiTheme="majorHAnsi" w:cstheme="majorBidi"/>
      <w:i/>
      <w:iCs/>
      <w:color w:val="404040" w:themeColor="text1" w:themeTint="BF"/>
      <w:sz w:val="20"/>
      <w:szCs w:val="20"/>
      <w:lang w:val="en-AU"/>
    </w:rPr>
  </w:style>
  <w:style w:type="character" w:customStyle="1" w:styleId="Heading8Char">
    <w:name w:val="Heading 8 Char"/>
    <w:basedOn w:val="DefaultParagraphFont"/>
    <w:link w:val="Heading8"/>
    <w:uiPriority w:val="4"/>
    <w:semiHidden/>
    <w:rsid w:val="0041169C"/>
    <w:rPr>
      <w:rFonts w:asciiTheme="majorHAnsi" w:eastAsiaTheme="majorEastAsia" w:hAnsiTheme="majorHAnsi" w:cstheme="majorBidi"/>
      <w:color w:val="404040" w:themeColor="text1" w:themeTint="BF"/>
      <w:sz w:val="20"/>
      <w:szCs w:val="20"/>
      <w:lang w:val="en-AU"/>
    </w:rPr>
  </w:style>
  <w:style w:type="character" w:customStyle="1" w:styleId="Heading7Char">
    <w:name w:val="Heading 7 Char"/>
    <w:basedOn w:val="DefaultParagraphFont"/>
    <w:link w:val="Heading7"/>
    <w:uiPriority w:val="4"/>
    <w:semiHidden/>
    <w:rsid w:val="0041169C"/>
    <w:rPr>
      <w:rFonts w:asciiTheme="majorHAnsi" w:eastAsiaTheme="majorEastAsia" w:hAnsiTheme="majorHAnsi" w:cstheme="majorBidi"/>
      <w:i/>
      <w:iCs/>
      <w:color w:val="404040" w:themeColor="text1" w:themeTint="BF"/>
      <w:sz w:val="21"/>
      <w:lang w:val="en-AU"/>
    </w:rPr>
  </w:style>
  <w:style w:type="character" w:customStyle="1" w:styleId="Heading6Char">
    <w:name w:val="Heading 6 Char"/>
    <w:basedOn w:val="DefaultParagraphFont"/>
    <w:link w:val="Heading6"/>
    <w:uiPriority w:val="4"/>
    <w:semiHidden/>
    <w:rsid w:val="0041169C"/>
    <w:rPr>
      <w:rFonts w:asciiTheme="majorHAnsi" w:eastAsiaTheme="majorEastAsia" w:hAnsiTheme="majorHAnsi" w:cstheme="majorBidi"/>
      <w:i/>
      <w:iCs/>
      <w:color w:val="3C3D3E" w:themeColor="accent1" w:themeShade="7F"/>
      <w:sz w:val="21"/>
      <w:lang w:val="en-AU"/>
    </w:rPr>
  </w:style>
  <w:style w:type="table" w:styleId="LightShading-Accent2">
    <w:name w:val="Light Shading Accent 2"/>
    <w:basedOn w:val="TableNormal"/>
    <w:uiPriority w:val="60"/>
    <w:locked/>
    <w:rsid w:val="00AE0BDB"/>
    <w:pPr>
      <w:spacing w:after="0" w:line="240" w:lineRule="auto"/>
    </w:pPr>
    <w:rPr>
      <w:color w:val="C94A05" w:themeColor="accent2" w:themeShade="BF"/>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LightList-Accent2">
    <w:name w:val="Light List Accent 2"/>
    <w:basedOn w:val="TableNormal"/>
    <w:uiPriority w:val="61"/>
    <w:locked/>
    <w:rsid w:val="00AE0BDB"/>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customStyle="1" w:styleId="CCATablebox3">
    <w:name w:val="CCA Table (box)3"/>
    <w:basedOn w:val="TableNormal"/>
    <w:uiPriority w:val="99"/>
    <w:rsid w:val="005865FD"/>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qFormat="1"/>
    <w:lsdException w:name="annotation text" w:locked="0"/>
    <w:lsdException w:name="header" w:locked="0" w:semiHidden="0"/>
    <w:lsdException w:name="footer" w:locked="0" w:semiHidden="0"/>
    <w:lsdException w:name="index heading" w:locked="0"/>
    <w:lsdException w:name="caption" w:locked="0" w:semiHidden="0" w:uiPriority="35" w:qFormat="1"/>
    <w:lsdException w:name="envelope address" w:locked="0"/>
    <w:lsdException w:name="envelope return" w:locked="0"/>
    <w:lsdException w:name="footnote reference" w:locked="0" w:uiPriority="24"/>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5"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39" w:unhideWhenUsed="0" w:qFormat="1"/>
  </w:latentStyles>
  <w:style w:type="paragraph" w:default="1" w:styleId="Normal">
    <w:name w:val="Normal"/>
    <w:qFormat/>
    <w:rsid w:val="00334C25"/>
    <w:pPr>
      <w:spacing w:after="120" w:line="312" w:lineRule="auto"/>
    </w:pPr>
    <w:rPr>
      <w:rFonts w:ascii="Arial" w:hAnsi="Arial"/>
      <w:color w:val="414141"/>
      <w:sz w:val="21"/>
      <w:lang w:val="en-AU"/>
    </w:rPr>
  </w:style>
  <w:style w:type="paragraph" w:styleId="Heading1">
    <w:name w:val="heading 1"/>
    <w:basedOn w:val="BodyText"/>
    <w:next w:val="BodyText"/>
    <w:link w:val="Heading1Char"/>
    <w:uiPriority w:val="4"/>
    <w:semiHidden/>
    <w:qFormat/>
    <w:rsid w:val="007C3D3A"/>
    <w:pPr>
      <w:keepNext/>
      <w:pageBreakBefore/>
      <w:numPr>
        <w:numId w:val="18"/>
      </w:numPr>
      <w:spacing w:before="800" w:after="800" w:line="240" w:lineRule="auto"/>
      <w:contextualSpacing/>
      <w:outlineLvl w:val="0"/>
    </w:pPr>
    <w:rPr>
      <w:rFonts w:eastAsia="Times New Roman" w:cs="Arial"/>
      <w:bCs/>
      <w:caps/>
      <w:color w:val="0C9FCD"/>
      <w:sz w:val="40"/>
      <w:szCs w:val="32"/>
      <w:lang w:val="en-GB" w:eastAsia="en-AU"/>
    </w:rPr>
  </w:style>
  <w:style w:type="paragraph" w:styleId="Heading2">
    <w:name w:val="heading 2"/>
    <w:basedOn w:val="Heading1"/>
    <w:next w:val="BodyText"/>
    <w:link w:val="Heading2Char"/>
    <w:uiPriority w:val="4"/>
    <w:semiHidden/>
    <w:qFormat/>
    <w:rsid w:val="007C3D3A"/>
    <w:pPr>
      <w:pageBreakBefore w:val="0"/>
      <w:numPr>
        <w:ilvl w:val="1"/>
      </w:numPr>
      <w:spacing w:before="200" w:after="120"/>
      <w:outlineLvl w:val="1"/>
    </w:pPr>
    <w:rPr>
      <w:bCs w:val="0"/>
      <w:iCs/>
      <w:caps w:val="0"/>
      <w:sz w:val="28"/>
      <w:szCs w:val="28"/>
    </w:rPr>
  </w:style>
  <w:style w:type="paragraph" w:styleId="Heading3">
    <w:name w:val="heading 3"/>
    <w:basedOn w:val="Heading1"/>
    <w:next w:val="BodyText"/>
    <w:link w:val="Heading3Char"/>
    <w:uiPriority w:val="4"/>
    <w:semiHidden/>
    <w:qFormat/>
    <w:rsid w:val="007C3D3A"/>
    <w:pPr>
      <w:pageBreakBefore w:val="0"/>
      <w:numPr>
        <w:ilvl w:val="2"/>
      </w:numPr>
      <w:spacing w:before="200" w:after="120" w:line="312" w:lineRule="auto"/>
      <w:outlineLvl w:val="2"/>
    </w:pPr>
    <w:rPr>
      <w:bCs w:val="0"/>
      <w:caps w:val="0"/>
      <w:spacing w:val="-10"/>
      <w:sz w:val="26"/>
      <w:szCs w:val="26"/>
    </w:rPr>
  </w:style>
  <w:style w:type="paragraph" w:styleId="Heading4">
    <w:name w:val="heading 4"/>
    <w:basedOn w:val="Heading1"/>
    <w:next w:val="BodyText"/>
    <w:link w:val="Heading4Char"/>
    <w:uiPriority w:val="4"/>
    <w:semiHidden/>
    <w:qFormat/>
    <w:rsid w:val="007C3D3A"/>
    <w:pPr>
      <w:pageBreakBefore w:val="0"/>
      <w:numPr>
        <w:numId w:val="0"/>
      </w:numPr>
      <w:spacing w:before="120" w:after="120" w:line="312" w:lineRule="auto"/>
      <w:outlineLvl w:val="3"/>
    </w:pPr>
    <w:rPr>
      <w:bCs w:val="0"/>
      <w:caps w:val="0"/>
      <w:spacing w:val="-5"/>
      <w:sz w:val="22"/>
      <w:szCs w:val="21"/>
    </w:rPr>
  </w:style>
  <w:style w:type="paragraph" w:styleId="Heading5">
    <w:name w:val="heading 5"/>
    <w:basedOn w:val="Normal"/>
    <w:next w:val="Normal"/>
    <w:link w:val="Heading5Char"/>
    <w:uiPriority w:val="4"/>
    <w:semiHidden/>
    <w:qFormat/>
    <w:rsid w:val="007C3D3A"/>
    <w:pPr>
      <w:numPr>
        <w:ilvl w:val="4"/>
        <w:numId w:val="17"/>
      </w:numPr>
      <w:spacing w:after="60"/>
      <w:outlineLvl w:val="4"/>
    </w:pPr>
    <w:rPr>
      <w:rFonts w:eastAsia="Times New Roman" w:cs="Times New Roman"/>
      <w:b/>
      <w:bCs/>
      <w:iCs/>
      <w:sz w:val="20"/>
      <w:szCs w:val="20"/>
      <w:lang w:val="en-GB" w:eastAsia="en-AU"/>
    </w:rPr>
  </w:style>
  <w:style w:type="paragraph" w:styleId="Heading6">
    <w:name w:val="heading 6"/>
    <w:basedOn w:val="Normal"/>
    <w:next w:val="Normal"/>
    <w:link w:val="Heading6Char"/>
    <w:uiPriority w:val="4"/>
    <w:semiHidden/>
    <w:qFormat/>
    <w:rsid w:val="0041169C"/>
    <w:pPr>
      <w:keepNext/>
      <w:keepLines/>
      <w:spacing w:before="200" w:after="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4"/>
    <w:semiHidden/>
    <w:qFormat/>
    <w:rsid w:val="004116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4"/>
    <w:semiHidden/>
    <w:qFormat/>
    <w:rsid w:val="004116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4"/>
    <w:semiHidden/>
    <w:qFormat/>
    <w:rsid w:val="004116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252784"/>
    <w:pPr>
      <w:numPr>
        <w:numId w:val="1"/>
      </w:numPr>
      <w:spacing w:after="80"/>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rsid w:val="00252784"/>
    <w:pPr>
      <w:numPr>
        <w:ilvl w:val="1"/>
        <w:numId w:val="1"/>
      </w:numPr>
      <w:spacing w:after="80"/>
    </w:pPr>
    <w:rPr>
      <w:rFonts w:eastAsia="Times New Roman" w:cs="Times New Roman"/>
      <w:sz w:val="20"/>
      <w:szCs w:val="24"/>
      <w:lang w:eastAsia="en-GB"/>
    </w:rPr>
  </w:style>
  <w:style w:type="paragraph" w:styleId="ListBullet3">
    <w:name w:val="List Bullet 3"/>
    <w:basedOn w:val="Normal"/>
    <w:uiPriority w:val="8"/>
    <w:rsid w:val="00252784"/>
    <w:pPr>
      <w:numPr>
        <w:ilvl w:val="2"/>
        <w:numId w:val="1"/>
      </w:numPr>
      <w:spacing w:before="80" w:after="160" w:line="288" w:lineRule="auto"/>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1B60CF"/>
    <w:pPr>
      <w:numPr>
        <w:ilvl w:val="1"/>
        <w:numId w:val="8"/>
      </w:numPr>
      <w:spacing w:after="80"/>
      <w:ind w:left="714" w:hanging="357"/>
    </w:pPr>
    <w:rPr>
      <w:rFonts w:eastAsia="Times New Roman" w:cs="Times New Roman"/>
      <w:sz w:val="20"/>
      <w:szCs w:val="24"/>
      <w:lang w:eastAsia="en-GB"/>
    </w:rPr>
  </w:style>
  <w:style w:type="paragraph" w:styleId="ListNumber3">
    <w:name w:val="List Number 3"/>
    <w:basedOn w:val="Normal"/>
    <w:uiPriority w:val="8"/>
    <w:semiHidden/>
    <w:rsid w:val="001B60CF"/>
    <w:pPr>
      <w:numPr>
        <w:ilvl w:val="2"/>
        <w:numId w:val="8"/>
      </w:numPr>
      <w:spacing w:before="80" w:after="160" w:line="288" w:lineRule="auto"/>
      <w:contextualSpacing/>
    </w:pPr>
    <w:rPr>
      <w:rFonts w:eastAsia="Times New Roman" w:cs="Times New Roman"/>
      <w:sz w:val="20"/>
      <w:szCs w:val="24"/>
      <w:lang w:eastAsia="en-GB"/>
    </w:rPr>
  </w:style>
  <w:style w:type="paragraph" w:styleId="ListNumber">
    <w:name w:val="List Number"/>
    <w:basedOn w:val="Normal"/>
    <w:uiPriority w:val="8"/>
    <w:rsid w:val="001B60CF"/>
    <w:pPr>
      <w:numPr>
        <w:numId w:val="8"/>
      </w:numPr>
      <w:spacing w:after="80"/>
      <w:ind w:left="357" w:hanging="357"/>
    </w:pPr>
    <w:rPr>
      <w:rFonts w:eastAsia="Times New Roman" w:cs="Times New Roman"/>
      <w:sz w:val="20"/>
      <w:szCs w:val="24"/>
      <w:lang w:eastAsia="en-GB"/>
    </w:rPr>
  </w:style>
  <w:style w:type="paragraph" w:styleId="NoSpacing">
    <w:name w:val="No Spacing"/>
    <w:uiPriority w:val="15"/>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8C4F21"/>
    <w:pPr>
      <w:keepNext/>
      <w:spacing w:before="80" w:after="40" w:line="240" w:lineRule="auto"/>
    </w:pPr>
    <w:rPr>
      <w:rFonts w:eastAsia="Times New Roman" w:cs="Times New Roman"/>
      <w:b/>
      <w:bCs/>
      <w:color w:val="FFFFFF"/>
      <w:spacing w:val="6"/>
      <w:sz w:val="19"/>
      <w:szCs w:val="24"/>
      <w:lang w:eastAsia="en-GB"/>
    </w:rPr>
  </w:style>
  <w:style w:type="paragraph" w:customStyle="1" w:styleId="TableListBullet">
    <w:name w:val="Table List Bullet"/>
    <w:basedOn w:val="Normal"/>
    <w:uiPriority w:val="12"/>
    <w:qFormat/>
    <w:rsid w:val="00E211BD"/>
    <w:pPr>
      <w:numPr>
        <w:numId w:val="9"/>
      </w:numPr>
      <w:spacing w:before="40" w:after="80" w:line="240" w:lineRule="auto"/>
    </w:pPr>
    <w:rPr>
      <w:rFonts w:eastAsia="Times New Roman" w:cs="Times New Roman"/>
      <w:bCs/>
      <w:sz w:val="18"/>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6722C0"/>
    <w:pPr>
      <w:numPr>
        <w:ilvl w:val="1"/>
      </w:numPr>
    </w:pPr>
  </w:style>
  <w:style w:type="paragraph" w:customStyle="1" w:styleId="TableListNumber">
    <w:name w:val="Table List Number"/>
    <w:basedOn w:val="Normal"/>
    <w:uiPriority w:val="12"/>
    <w:qFormat/>
    <w:rsid w:val="00394961"/>
    <w:pPr>
      <w:numPr>
        <w:numId w:val="10"/>
      </w:numPr>
      <w:spacing w:before="40" w:after="80" w:line="240" w:lineRule="auto"/>
    </w:pPr>
    <w:rPr>
      <w:rFonts w:eastAsia="Times New Roman" w:cs="Times New Roman"/>
      <w:bCs/>
      <w:sz w:val="18"/>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722C0"/>
    <w:pPr>
      <w:numPr>
        <w:ilvl w:val="1"/>
      </w:numPr>
    </w:pPr>
  </w:style>
  <w:style w:type="paragraph" w:customStyle="1" w:styleId="TableText">
    <w:name w:val="Table Text"/>
    <w:basedOn w:val="Normal"/>
    <w:link w:val="TableTextChar"/>
    <w:uiPriority w:val="11"/>
    <w:qFormat/>
    <w:rsid w:val="00364AEC"/>
    <w:pPr>
      <w:spacing w:before="40" w:after="80" w:line="240" w:lineRule="auto"/>
    </w:pPr>
    <w:rPr>
      <w:rFonts w:eastAsia="Times New Roman" w:cs="Times New Roman"/>
      <w:bCs/>
      <w:sz w:val="18"/>
      <w:szCs w:val="24"/>
      <w:lang w:eastAsia="en-GB"/>
    </w:rPr>
  </w:style>
  <w:style w:type="paragraph" w:customStyle="1" w:styleId="TableTextsmall">
    <w:name w:val="Table Text (small)"/>
    <w:basedOn w:val="TableText"/>
    <w:uiPriority w:val="13"/>
    <w:qFormat/>
    <w:rsid w:val="006722C0"/>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qFormat/>
    <w:rsid w:val="00E950EA"/>
  </w:style>
  <w:style w:type="character" w:customStyle="1" w:styleId="BodyTextChar">
    <w:name w:val="Body Text Char"/>
    <w:basedOn w:val="DefaultParagraphFont"/>
    <w:link w:val="BodyText"/>
    <w:uiPriority w:val="1"/>
    <w:rsid w:val="00E950EA"/>
    <w:rPr>
      <w:rFonts w:ascii="Arial" w:hAnsi="Arial"/>
      <w:color w:val="414141"/>
      <w:sz w:val="21"/>
      <w:lang w:val="en-AU"/>
    </w:rPr>
  </w:style>
  <w:style w:type="paragraph" w:styleId="Caption">
    <w:name w:val="caption"/>
    <w:aliases w:val="PAE,Item,Table Caption,Table Caption1,Figure,CDM B/Caption,TABLE"/>
    <w:basedOn w:val="Normal"/>
    <w:next w:val="Normal"/>
    <w:link w:val="CaptionChar"/>
    <w:uiPriority w:val="35"/>
    <w:qFormat/>
    <w:rsid w:val="00B53AF5"/>
    <w:pPr>
      <w:keepNext/>
      <w:tabs>
        <w:tab w:val="left" w:pos="1418"/>
      </w:tabs>
      <w:spacing w:line="240" w:lineRule="auto"/>
      <w:ind w:left="1418" w:hanging="1418"/>
    </w:pPr>
    <w:rPr>
      <w:b/>
      <w:bCs/>
      <w:sz w:val="24"/>
      <w:szCs w:val="18"/>
    </w:rPr>
  </w:style>
  <w:style w:type="paragraph" w:customStyle="1" w:styleId="Image">
    <w:name w:val="Image"/>
    <w:basedOn w:val="Normal"/>
    <w:uiPriority w:val="15"/>
    <w:qFormat/>
    <w:rsid w:val="00262FCE"/>
    <w:pPr>
      <w:spacing w:before="60" w:after="60" w:line="240" w:lineRule="auto"/>
    </w:pPr>
    <w:rPr>
      <w:rFonts w:eastAsia="Times New Roman" w:cs="Times New Roman"/>
      <w:sz w:val="20"/>
      <w:szCs w:val="24"/>
      <w:lang w:val="en-GB" w:eastAsia="en-AU"/>
    </w:rPr>
  </w:style>
  <w:style w:type="character" w:customStyle="1" w:styleId="Heading1Char">
    <w:name w:val="Heading 1 Char"/>
    <w:basedOn w:val="DefaultParagraphFont"/>
    <w:link w:val="Heading1"/>
    <w:uiPriority w:val="4"/>
    <w:semiHidden/>
    <w:rsid w:val="00E52DD4"/>
    <w:rPr>
      <w:rFonts w:ascii="Arial" w:eastAsia="Times New Roman" w:hAnsi="Arial" w:cs="Arial"/>
      <w:bCs/>
      <w:caps/>
      <w:color w:val="0C9FCD"/>
      <w:sz w:val="40"/>
      <w:szCs w:val="32"/>
      <w:lang w:val="en-GB" w:eastAsia="en-AU"/>
    </w:rPr>
  </w:style>
  <w:style w:type="paragraph" w:styleId="Header">
    <w:name w:val="header"/>
    <w:aliases w:val="HeaderPAE"/>
    <w:basedOn w:val="Normal"/>
    <w:link w:val="HeaderChar"/>
    <w:uiPriority w:val="9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aliases w:val="HeaderPAE Char"/>
    <w:basedOn w:val="DefaultParagraphFont"/>
    <w:link w:val="Header"/>
    <w:uiPriority w:val="99"/>
    <w:rsid w:val="00600B6F"/>
    <w:rPr>
      <w:rFonts w:ascii="Times New Roman" w:hAnsi="Times New Roman" w:cs="Times New Roman"/>
      <w:color w:val="414141"/>
      <w:sz w:val="32"/>
      <w:szCs w:val="32"/>
      <w:lang w:val="en-AU"/>
    </w:rPr>
  </w:style>
  <w:style w:type="paragraph" w:styleId="Footer">
    <w:name w:val="footer"/>
    <w:basedOn w:val="Normal"/>
    <w:link w:val="FooterChar"/>
    <w:uiPriority w:val="99"/>
    <w:rsid w:val="002F1862"/>
    <w:pPr>
      <w:tabs>
        <w:tab w:val="left" w:pos="397"/>
      </w:tabs>
      <w:spacing w:after="0" w:line="240" w:lineRule="auto"/>
    </w:pPr>
    <w:rPr>
      <w:sz w:val="16"/>
    </w:rPr>
  </w:style>
  <w:style w:type="character" w:customStyle="1" w:styleId="FooterChar">
    <w:name w:val="Footer Char"/>
    <w:basedOn w:val="DefaultParagraphFont"/>
    <w:link w:val="Footer"/>
    <w:uiPriority w:val="99"/>
    <w:rsid w:val="002F1862"/>
    <w:rPr>
      <w:rFonts w:ascii="Arial" w:hAnsi="Arial"/>
      <w:color w:val="414141"/>
      <w:sz w:val="16"/>
      <w:lang w:val="en-AU"/>
    </w:rPr>
  </w:style>
  <w:style w:type="paragraph" w:styleId="TOC1">
    <w:name w:val="toc 1"/>
    <w:basedOn w:val="Normal"/>
    <w:next w:val="Normal"/>
    <w:autoRedefine/>
    <w:uiPriority w:val="39"/>
    <w:qFormat/>
    <w:rsid w:val="00487433"/>
    <w:pPr>
      <w:keepNext/>
      <w:tabs>
        <w:tab w:val="left" w:pos="440"/>
        <w:tab w:val="left" w:pos="1540"/>
        <w:tab w:val="decimal" w:leader="dot" w:pos="9629"/>
      </w:tabs>
      <w:spacing w:before="60" w:after="60"/>
      <w:ind w:left="1542" w:right="567" w:hanging="1542"/>
    </w:pPr>
    <w:rPr>
      <w:b/>
      <w:noProof/>
    </w:rPr>
  </w:style>
  <w:style w:type="paragraph" w:styleId="Subtitle">
    <w:name w:val="Subtitle"/>
    <w:basedOn w:val="Normal"/>
    <w:next w:val="Normal"/>
    <w:link w:val="SubtitleChar"/>
    <w:uiPriority w:val="19"/>
    <w:qFormat/>
    <w:rsid w:val="00094EFE"/>
    <w:pPr>
      <w:jc w:val="right"/>
    </w:pPr>
    <w:rPr>
      <w:rFonts w:cs="Arial"/>
      <w:color w:val="FFFFFF" w:themeColor="background1"/>
      <w:sz w:val="32"/>
      <w:szCs w:val="28"/>
    </w:rPr>
  </w:style>
  <w:style w:type="character" w:customStyle="1" w:styleId="SubtitleChar">
    <w:name w:val="Subtitle Char"/>
    <w:basedOn w:val="DefaultParagraphFont"/>
    <w:link w:val="Subtitle"/>
    <w:uiPriority w:val="19"/>
    <w:rsid w:val="009B389F"/>
    <w:rPr>
      <w:rFonts w:ascii="Arial" w:hAnsi="Arial" w:cs="Arial"/>
      <w:color w:val="FFFFFF" w:themeColor="background1"/>
      <w:sz w:val="32"/>
      <w:szCs w:val="28"/>
      <w:lang w:val="en-AU"/>
    </w:rPr>
  </w:style>
  <w:style w:type="paragraph" w:styleId="Date">
    <w:name w:val="Date"/>
    <w:basedOn w:val="Subtitle"/>
    <w:next w:val="Normal"/>
    <w:link w:val="DateChar"/>
    <w:uiPriority w:val="19"/>
    <w:rsid w:val="001B333E"/>
    <w:rPr>
      <w:caps/>
      <w:color w:val="414141"/>
      <w:sz w:val="28"/>
    </w:rPr>
  </w:style>
  <w:style w:type="character" w:customStyle="1" w:styleId="DateChar">
    <w:name w:val="Date Char"/>
    <w:basedOn w:val="DefaultParagraphFont"/>
    <w:link w:val="Date"/>
    <w:uiPriority w:val="19"/>
    <w:rsid w:val="009B389F"/>
    <w:rPr>
      <w:rFonts w:ascii="Arial" w:hAnsi="Arial" w:cs="Arial"/>
      <w:caps/>
      <w:color w:val="414141"/>
      <w:sz w:val="28"/>
      <w:szCs w:val="28"/>
      <w:lang w:val="en-AU"/>
    </w:rPr>
  </w:style>
  <w:style w:type="paragraph" w:styleId="Title">
    <w:name w:val="Title"/>
    <w:basedOn w:val="Normal"/>
    <w:link w:val="TitleChar"/>
    <w:uiPriority w:val="19"/>
    <w:qFormat/>
    <w:rsid w:val="001B333E"/>
    <w:pPr>
      <w:spacing w:after="0" w:line="240" w:lineRule="auto"/>
      <w:jc w:val="right"/>
    </w:pPr>
    <w:rPr>
      <w:caps/>
      <w:sz w:val="40"/>
    </w:rPr>
  </w:style>
  <w:style w:type="character" w:customStyle="1" w:styleId="TitleChar">
    <w:name w:val="Title Char"/>
    <w:basedOn w:val="DefaultParagraphFont"/>
    <w:link w:val="Title"/>
    <w:uiPriority w:val="19"/>
    <w:rsid w:val="009B389F"/>
    <w:rPr>
      <w:rFonts w:ascii="Arial" w:hAnsi="Arial"/>
      <w:caps/>
      <w:color w:val="414141"/>
      <w:sz w:val="40"/>
      <w:lang w:val="en-AU"/>
    </w:rPr>
  </w:style>
  <w:style w:type="paragraph" w:customStyle="1" w:styleId="AppendixHeading1">
    <w:name w:val="Appendix Heading 1"/>
    <w:basedOn w:val="Heading1"/>
    <w:next w:val="BodyText"/>
    <w:uiPriority w:val="6"/>
    <w:rsid w:val="00453041"/>
    <w:pPr>
      <w:keepNext w:val="0"/>
      <w:numPr>
        <w:numId w:val="39"/>
      </w:numPr>
      <w:tabs>
        <w:tab w:val="left" w:pos="2835"/>
      </w:tabs>
      <w:suppressAutoHyphens/>
    </w:pPr>
    <w:rPr>
      <w:rFonts w:cs="Times New Roman"/>
      <w:szCs w:val="30"/>
    </w:rPr>
  </w:style>
  <w:style w:type="paragraph" w:customStyle="1" w:styleId="AppendixHeading2">
    <w:name w:val="Appendix Heading 2"/>
    <w:basedOn w:val="AppendixHeading1"/>
    <w:next w:val="BodyText"/>
    <w:uiPriority w:val="6"/>
    <w:rsid w:val="00E950EA"/>
    <w:pPr>
      <w:keepNext/>
      <w:pageBreakBefore w:val="0"/>
      <w:numPr>
        <w:ilvl w:val="1"/>
      </w:numPr>
      <w:spacing w:before="200" w:after="120"/>
    </w:pPr>
    <w:rPr>
      <w:caps w:val="0"/>
      <w:sz w:val="28"/>
    </w:rPr>
  </w:style>
  <w:style w:type="character" w:customStyle="1" w:styleId="Heading2Char">
    <w:name w:val="Heading 2 Char"/>
    <w:basedOn w:val="DefaultParagraphFont"/>
    <w:link w:val="Heading2"/>
    <w:uiPriority w:val="4"/>
    <w:semiHidden/>
    <w:rsid w:val="00E52DD4"/>
    <w:rPr>
      <w:rFonts w:ascii="Arial" w:eastAsia="Times New Roman" w:hAnsi="Arial" w:cs="Arial"/>
      <w:iCs/>
      <w:color w:val="0C9FCD"/>
      <w:sz w:val="28"/>
      <w:szCs w:val="28"/>
      <w:lang w:val="en-GB" w:eastAsia="en-AU"/>
    </w:rPr>
  </w:style>
  <w:style w:type="character" w:customStyle="1" w:styleId="Heading3Char">
    <w:name w:val="Heading 3 Char"/>
    <w:basedOn w:val="DefaultParagraphFont"/>
    <w:link w:val="Heading3"/>
    <w:uiPriority w:val="4"/>
    <w:semiHidden/>
    <w:rsid w:val="00E52DD4"/>
    <w:rPr>
      <w:rFonts w:ascii="Arial" w:eastAsia="Times New Roman" w:hAnsi="Arial" w:cs="Arial"/>
      <w:color w:val="0C9FCD"/>
      <w:spacing w:val="-10"/>
      <w:sz w:val="26"/>
      <w:szCs w:val="26"/>
      <w:lang w:val="en-GB" w:eastAsia="en-AU"/>
    </w:rPr>
  </w:style>
  <w:style w:type="character" w:customStyle="1" w:styleId="Heading4Char">
    <w:name w:val="Heading 4 Char"/>
    <w:basedOn w:val="DefaultParagraphFont"/>
    <w:link w:val="Heading4"/>
    <w:uiPriority w:val="4"/>
    <w:semiHidden/>
    <w:rsid w:val="00E52DD4"/>
    <w:rPr>
      <w:rFonts w:ascii="Arial" w:eastAsia="Times New Roman" w:hAnsi="Arial" w:cs="Arial"/>
      <w:color w:val="0C9FCD"/>
      <w:spacing w:val="-5"/>
      <w:szCs w:val="21"/>
      <w:lang w:val="en-GB" w:eastAsia="en-AU"/>
    </w:rPr>
  </w:style>
  <w:style w:type="character" w:customStyle="1" w:styleId="Heading5Char">
    <w:name w:val="Heading 5 Char"/>
    <w:basedOn w:val="DefaultParagraphFont"/>
    <w:link w:val="Heading5"/>
    <w:uiPriority w:val="4"/>
    <w:semiHidden/>
    <w:rsid w:val="007C3D3A"/>
    <w:rPr>
      <w:rFonts w:ascii="Arial" w:eastAsia="Times New Roman" w:hAnsi="Arial" w:cs="Times New Roman"/>
      <w:b/>
      <w:bCs/>
      <w:iCs/>
      <w:color w:val="414141"/>
      <w:sz w:val="20"/>
      <w:szCs w:val="20"/>
      <w:lang w:val="en-GB" w:eastAsia="en-AU"/>
    </w:rPr>
  </w:style>
  <w:style w:type="paragraph" w:customStyle="1" w:styleId="Headingnon-numbered">
    <w:name w:val="Heading (non-numbered)"/>
    <w:basedOn w:val="Heading1"/>
    <w:next w:val="BodyText"/>
    <w:uiPriority w:val="5"/>
    <w:qFormat/>
    <w:rsid w:val="007C3D3A"/>
    <w:pPr>
      <w:numPr>
        <w:numId w:val="0"/>
      </w:numPr>
    </w:pPr>
  </w:style>
  <w:style w:type="paragraph" w:customStyle="1" w:styleId="AppendixHeading3">
    <w:name w:val="Appendix Heading 3"/>
    <w:basedOn w:val="Heading1"/>
    <w:next w:val="BodyText"/>
    <w:uiPriority w:val="6"/>
    <w:rsid w:val="00E950EA"/>
    <w:pPr>
      <w:pageBreakBefore w:val="0"/>
      <w:numPr>
        <w:numId w:val="0"/>
      </w:numPr>
      <w:suppressAutoHyphens/>
      <w:spacing w:before="200" w:after="120" w:line="312" w:lineRule="auto"/>
    </w:pPr>
    <w:rPr>
      <w:rFonts w:cs="Times New Roman"/>
      <w:caps w:val="0"/>
      <w:sz w:val="26"/>
      <w:szCs w:val="30"/>
      <w:lang w:val="en-AU"/>
    </w:rPr>
  </w:style>
  <w:style w:type="paragraph" w:styleId="TOC2">
    <w:name w:val="toc 2"/>
    <w:basedOn w:val="Normal"/>
    <w:next w:val="Normal"/>
    <w:autoRedefine/>
    <w:uiPriority w:val="39"/>
    <w:qFormat/>
    <w:rsid w:val="00E86986"/>
    <w:pPr>
      <w:tabs>
        <w:tab w:val="left" w:pos="880"/>
        <w:tab w:val="left" w:pos="1378"/>
        <w:tab w:val="decimal" w:leader="dot" w:pos="9629"/>
      </w:tabs>
      <w:spacing w:before="60" w:after="60"/>
      <w:ind w:left="879" w:right="567" w:hanging="879"/>
    </w:pPr>
    <w:rPr>
      <w:noProof/>
    </w:rPr>
  </w:style>
  <w:style w:type="paragraph" w:styleId="TOC3">
    <w:name w:val="toc 3"/>
    <w:basedOn w:val="Normal"/>
    <w:next w:val="Normal"/>
    <w:autoRedefine/>
    <w:uiPriority w:val="39"/>
    <w:qFormat/>
    <w:rsid w:val="000C0A57"/>
    <w:pPr>
      <w:tabs>
        <w:tab w:val="left" w:pos="1760"/>
        <w:tab w:val="decimal" w:leader="dot" w:pos="9629"/>
      </w:tabs>
      <w:spacing w:before="60" w:after="60"/>
      <w:ind w:left="1599" w:right="567" w:hanging="720"/>
    </w:pPr>
  </w:style>
  <w:style w:type="character" w:styleId="Hyperlink">
    <w:name w:val="Hyperlink"/>
    <w:basedOn w:val="DefaultParagraphFont"/>
    <w:uiPriority w:val="99"/>
    <w:locked/>
    <w:rsid w:val="00D61F54"/>
    <w:rPr>
      <w:color w:val="5F5F5F" w:themeColor="hyperlink"/>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B94C04"/>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customStyle="1" w:styleId="Headingnumberedbox">
    <w:name w:val="Heading (numbered box)"/>
    <w:basedOn w:val="AppendixHeading1"/>
    <w:next w:val="TableText"/>
    <w:uiPriority w:val="7"/>
    <w:qFormat/>
    <w:rsid w:val="00A520EB"/>
    <w:pPr>
      <w:keepNext/>
      <w:pageBreakBefore w:val="0"/>
      <w:numPr>
        <w:numId w:val="5"/>
      </w:numPr>
      <w:spacing w:before="160" w:after="120"/>
    </w:pPr>
    <w:rPr>
      <w:b/>
      <w:caps w:val="0"/>
      <w:color w:val="414141"/>
      <w:sz w:val="24"/>
    </w:rPr>
  </w:style>
  <w:style w:type="paragraph" w:customStyle="1" w:styleId="Headingrecommendations">
    <w:name w:val="Heading (recommendations)"/>
    <w:basedOn w:val="Headingnumberedbox"/>
    <w:next w:val="ListRecommendations"/>
    <w:uiPriority w:val="7"/>
    <w:qFormat/>
    <w:rsid w:val="00E950EA"/>
    <w:pPr>
      <w:numPr>
        <w:numId w:val="0"/>
      </w:numPr>
    </w:pPr>
  </w:style>
  <w:style w:type="paragraph" w:customStyle="1" w:styleId="Symbol">
    <w:name w:val="Symbol"/>
    <w:basedOn w:val="Normal"/>
    <w:uiPriority w:val="15"/>
    <w:qFormat/>
    <w:rsid w:val="00D323F1"/>
    <w:pPr>
      <w:spacing w:line="240" w:lineRule="auto"/>
    </w:pPr>
    <w:rPr>
      <w:color w:val="0C9FCD"/>
      <w:sz w:val="48"/>
    </w:rPr>
  </w:style>
  <w:style w:type="table" w:customStyle="1" w:styleId="CCATable">
    <w:name w:val="CCA Table"/>
    <w:basedOn w:val="TableNormal"/>
    <w:uiPriority w:val="99"/>
    <w:rsid w:val="007B6E21"/>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TOCHeading">
    <w:name w:val="TOC Heading"/>
    <w:basedOn w:val="Headingnon-numbered"/>
    <w:next w:val="Normal"/>
    <w:uiPriority w:val="39"/>
    <w:qFormat/>
    <w:rsid w:val="001F62EA"/>
    <w:pPr>
      <w:pageBreakBefore w:val="0"/>
      <w:spacing w:before="240" w:after="240"/>
    </w:pPr>
  </w:style>
  <w:style w:type="numbering" w:customStyle="1" w:styleId="AppendixHeadingmaster">
    <w:name w:val="Appendix Heading (master)"/>
    <w:uiPriority w:val="99"/>
    <w:rsid w:val="00CA7950"/>
    <w:pPr>
      <w:numPr>
        <w:numId w:val="6"/>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3C62D4"/>
    <w:pPr>
      <w:tabs>
        <w:tab w:val="left" w:pos="1134"/>
        <w:tab w:val="decimal" w:leader="dot" w:pos="9628"/>
      </w:tabs>
      <w:spacing w:before="60" w:after="60"/>
      <w:ind w:left="1134" w:right="567" w:hanging="1134"/>
    </w:pPr>
  </w:style>
  <w:style w:type="paragraph" w:customStyle="1" w:styleId="InstructionalText">
    <w:name w:val="Instructional Text"/>
    <w:basedOn w:val="Normal"/>
    <w:uiPriority w:val="39"/>
    <w:qFormat/>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704E85"/>
    <w:pPr>
      <w:spacing w:before="120" w:after="240"/>
    </w:pPr>
    <w:rPr>
      <w:color w:val="40443F"/>
    </w:rPr>
  </w:style>
  <w:style w:type="numbering" w:customStyle="1" w:styleId="Headingsmaster">
    <w:name w:val="Headings (master)"/>
    <w:uiPriority w:val="99"/>
    <w:rsid w:val="007C3D3A"/>
    <w:pPr>
      <w:numPr>
        <w:numId w:val="7"/>
      </w:numPr>
    </w:pPr>
  </w:style>
  <w:style w:type="paragraph" w:styleId="TOC4">
    <w:name w:val="toc 4"/>
    <w:basedOn w:val="TOC1"/>
    <w:next w:val="Normal"/>
    <w:autoRedefine/>
    <w:uiPriority w:val="39"/>
    <w:rsid w:val="00A6425D"/>
    <w:pPr>
      <w:tabs>
        <w:tab w:val="clear" w:pos="440"/>
        <w:tab w:val="clear" w:pos="1540"/>
        <w:tab w:val="left" w:pos="1134"/>
      </w:tabs>
      <w:ind w:left="1418" w:hanging="1418"/>
    </w:pPr>
    <w:rPr>
      <w:b w:val="0"/>
      <w:caps/>
    </w:rPr>
  </w:style>
  <w:style w:type="paragraph" w:styleId="EndnoteText">
    <w:name w:val="endnote text"/>
    <w:basedOn w:val="Normal"/>
    <w:link w:val="EndnoteTextChar"/>
    <w:uiPriority w:val="99"/>
    <w:semiHidden/>
    <w:rsid w:val="003B44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44D6"/>
    <w:rPr>
      <w:rFonts w:ascii="Arial" w:hAnsi="Arial"/>
      <w:color w:val="414141"/>
      <w:sz w:val="20"/>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aliases w:val="Char Char,Char Char Char, Char Char, Char Char Char"/>
    <w:basedOn w:val="Normal"/>
    <w:link w:val="FootnoteTextChar"/>
    <w:uiPriority w:val="99"/>
    <w:qFormat/>
    <w:rsid w:val="003B44D6"/>
    <w:pPr>
      <w:spacing w:after="0" w:line="240" w:lineRule="auto"/>
    </w:pPr>
    <w:rPr>
      <w:sz w:val="17"/>
      <w:szCs w:val="20"/>
    </w:rPr>
  </w:style>
  <w:style w:type="character" w:customStyle="1" w:styleId="FootnoteTextChar">
    <w:name w:val="Footnote Text Char"/>
    <w:aliases w:val="Char Char Char1,Char Char Char Char, Char Char Char1, Char Char Char Char"/>
    <w:basedOn w:val="DefaultParagraphFont"/>
    <w:link w:val="FootnoteText"/>
    <w:uiPriority w:val="99"/>
    <w:rsid w:val="005D4127"/>
    <w:rPr>
      <w:rFonts w:ascii="Arial" w:hAnsi="Arial"/>
      <w:color w:val="414141"/>
      <w:sz w:val="17"/>
      <w:szCs w:val="20"/>
      <w:lang w:val="en-AU"/>
    </w:rPr>
  </w:style>
  <w:style w:type="character" w:styleId="FootnoteReference">
    <w:name w:val="footnote reference"/>
    <w:aliases w:val="(NECG) Footnote Reference,SFG_Footnote Reference"/>
    <w:basedOn w:val="DefaultParagraphFont"/>
    <w:uiPriority w:val="24"/>
    <w:rsid w:val="003B44D6"/>
    <w:rPr>
      <w:vertAlign w:val="superscript"/>
    </w:rPr>
  </w:style>
  <w:style w:type="paragraph" w:styleId="Bibliography">
    <w:name w:val="Bibliography"/>
    <w:basedOn w:val="Normal"/>
    <w:next w:val="Normal"/>
    <w:uiPriority w:val="15"/>
    <w:rsid w:val="00AE0F4B"/>
    <w:pPr>
      <w:autoSpaceDE w:val="0"/>
      <w:autoSpaceDN w:val="0"/>
      <w:adjustRightInd w:val="0"/>
      <w:spacing w:before="80" w:line="240" w:lineRule="auto"/>
      <w:ind w:left="454" w:hanging="454"/>
      <w:textAlignment w:val="center"/>
    </w:pPr>
    <w:rPr>
      <w:rFonts w:eastAsia="Cambria" w:cs="MinionPro-Regular"/>
      <w:noProof/>
      <w:sz w:val="19"/>
      <w:szCs w:val="24"/>
      <w:lang w:val="en-GB" w:eastAsia="en-AU"/>
    </w:rPr>
  </w:style>
  <w:style w:type="table" w:customStyle="1" w:styleId="CCATablerecommendations">
    <w:name w:val="CCA Table (recommendations)"/>
    <w:basedOn w:val="CCATablebox"/>
    <w:uiPriority w:val="99"/>
    <w:rsid w:val="00F63CCF"/>
    <w:tblPr/>
    <w:tcPr>
      <w:shd w:val="clear" w:color="auto" w:fill="EAF5D9"/>
    </w:tcPr>
    <w:tblStylePr w:type="firstRow">
      <w:tblPr/>
      <w:trPr>
        <w:tblHeader/>
      </w:trPr>
    </w:tblStylePr>
  </w:style>
  <w:style w:type="paragraph" w:customStyle="1" w:styleId="ListRecommendations">
    <w:name w:val="List Recommendations"/>
    <w:basedOn w:val="ListNumber"/>
    <w:uiPriority w:val="10"/>
    <w:qFormat/>
    <w:rsid w:val="00CC3B3A"/>
    <w:pPr>
      <w:numPr>
        <w:numId w:val="13"/>
      </w:numPr>
    </w:pPr>
    <w:rPr>
      <w:lang w:val="en-GB"/>
    </w:rPr>
  </w:style>
  <w:style w:type="paragraph" w:customStyle="1" w:styleId="IntroParagraph">
    <w:name w:val="Intro Paragraph"/>
    <w:basedOn w:val="BodyText"/>
    <w:uiPriority w:val="3"/>
    <w:qFormat/>
    <w:rsid w:val="00362266"/>
    <w:rPr>
      <w:b/>
      <w:sz w:val="24"/>
      <w:lang w:val="en-GB" w:eastAsia="en-AU"/>
    </w:rPr>
  </w:style>
  <w:style w:type="paragraph" w:styleId="Quote">
    <w:name w:val="Quote"/>
    <w:basedOn w:val="Normal"/>
    <w:link w:val="QuoteChar"/>
    <w:uiPriority w:val="15"/>
    <w:qFormat/>
    <w:rsid w:val="00AE0F4B"/>
    <w:pPr>
      <w:ind w:left="454" w:right="454"/>
    </w:pPr>
    <w:rPr>
      <w:i/>
      <w:iCs/>
    </w:rPr>
  </w:style>
  <w:style w:type="character" w:customStyle="1" w:styleId="QuoteChar">
    <w:name w:val="Quote Char"/>
    <w:basedOn w:val="DefaultParagraphFont"/>
    <w:link w:val="Quote"/>
    <w:uiPriority w:val="15"/>
    <w:rsid w:val="006971DB"/>
    <w:rPr>
      <w:rFonts w:ascii="Arial" w:hAnsi="Arial"/>
      <w:i/>
      <w:iCs/>
      <w:color w:val="414141"/>
      <w:sz w:val="21"/>
      <w:lang w:val="en-AU"/>
    </w:rPr>
  </w:style>
  <w:style w:type="paragraph" w:customStyle="1" w:styleId="TableTextrightalignment">
    <w:name w:val="Table Text (right alignment)"/>
    <w:basedOn w:val="TableText"/>
    <w:uiPriority w:val="13"/>
    <w:qFormat/>
    <w:rsid w:val="00EF76E0"/>
    <w:pPr>
      <w:jc w:val="right"/>
    </w:pPr>
  </w:style>
  <w:style w:type="table" w:customStyle="1" w:styleId="CCATablequestions">
    <w:name w:val="CCA Table (questions)"/>
    <w:basedOn w:val="CCATablerecommendations"/>
    <w:uiPriority w:val="99"/>
    <w:rsid w:val="008D02DF"/>
    <w:tblPr/>
    <w:tcPr>
      <w:shd w:val="clear" w:color="auto" w:fill="EAF5D9"/>
    </w:tcPr>
    <w:tblStylePr w:type="firstRow">
      <w:tblPr/>
      <w:trPr>
        <w:tblHeader/>
      </w:trPr>
    </w:tblStylePr>
  </w:style>
  <w:style w:type="paragraph" w:customStyle="1" w:styleId="Headingquestions">
    <w:name w:val="Heading (questions)"/>
    <w:basedOn w:val="Headingrecommendations"/>
    <w:next w:val="ListQuestions"/>
    <w:uiPriority w:val="7"/>
    <w:qFormat/>
    <w:rsid w:val="00543174"/>
  </w:style>
  <w:style w:type="paragraph" w:customStyle="1" w:styleId="ListQuestions">
    <w:name w:val="List Questions"/>
    <w:basedOn w:val="ListRecommendations"/>
    <w:uiPriority w:val="10"/>
    <w:qFormat/>
    <w:rsid w:val="00BA0785"/>
    <w:pPr>
      <w:numPr>
        <w:numId w:val="14"/>
      </w:numPr>
    </w:pPr>
    <w:rPr>
      <w:lang w:eastAsia="en-AU"/>
    </w:rPr>
  </w:style>
  <w:style w:type="numbering" w:customStyle="1" w:styleId="ListRecommendationsMaster">
    <w:name w:val="List Recommendations Master"/>
    <w:uiPriority w:val="99"/>
    <w:rsid w:val="00CC3B3A"/>
    <w:pPr>
      <w:numPr>
        <w:numId w:val="11"/>
      </w:numPr>
    </w:pPr>
  </w:style>
  <w:style w:type="numbering" w:customStyle="1" w:styleId="ListQuestionsMaster">
    <w:name w:val="List Questions Master"/>
    <w:uiPriority w:val="99"/>
    <w:rsid w:val="00BA0785"/>
    <w:pPr>
      <w:numPr>
        <w:numId w:val="12"/>
      </w:numPr>
    </w:pPr>
  </w:style>
  <w:style w:type="paragraph" w:customStyle="1" w:styleId="Footeroddpage">
    <w:name w:val="Footer (odd page)"/>
    <w:basedOn w:val="Footer"/>
    <w:uiPriority w:val="19"/>
    <w:qFormat/>
    <w:rsid w:val="002F1862"/>
    <w:pPr>
      <w:tabs>
        <w:tab w:val="clear" w:pos="397"/>
        <w:tab w:val="right" w:pos="8505"/>
      </w:tabs>
      <w:jc w:val="right"/>
    </w:pPr>
    <w:rPr>
      <w:noProof/>
    </w:rPr>
  </w:style>
  <w:style w:type="paragraph" w:customStyle="1" w:styleId="Headingreferences">
    <w:name w:val="Heading (references)"/>
    <w:basedOn w:val="Heading2"/>
    <w:next w:val="BodyText"/>
    <w:uiPriority w:val="5"/>
    <w:qFormat/>
    <w:rsid w:val="007B5E36"/>
    <w:pPr>
      <w:numPr>
        <w:ilvl w:val="0"/>
        <w:numId w:val="0"/>
      </w:numPr>
    </w:pPr>
  </w:style>
  <w:style w:type="paragraph" w:styleId="TOC5">
    <w:name w:val="toc 5"/>
    <w:basedOn w:val="Normal"/>
    <w:next w:val="Normal"/>
    <w:autoRedefine/>
    <w:uiPriority w:val="21"/>
    <w:rsid w:val="00CC3B3A"/>
    <w:pPr>
      <w:tabs>
        <w:tab w:val="right" w:leader="dot" w:pos="9629"/>
      </w:tabs>
      <w:spacing w:after="100"/>
    </w:pPr>
    <w:rPr>
      <w:rFonts w:ascii="Arial Bold" w:hAnsi="Arial Bold"/>
      <w:b/>
      <w:caps/>
    </w:rPr>
  </w:style>
  <w:style w:type="paragraph" w:customStyle="1" w:styleId="ChapterHeading2">
    <w:name w:val="Chapter Heading 2"/>
    <w:basedOn w:val="Heading2"/>
    <w:next w:val="BodyText"/>
    <w:uiPriority w:val="5"/>
    <w:qFormat/>
    <w:rsid w:val="007C3D3A"/>
    <w:pPr>
      <w:numPr>
        <w:numId w:val="16"/>
      </w:numPr>
    </w:pPr>
  </w:style>
  <w:style w:type="paragraph" w:customStyle="1" w:styleId="ChapterHeading3">
    <w:name w:val="Chapter Heading 3"/>
    <w:basedOn w:val="Heading3"/>
    <w:next w:val="BodyText"/>
    <w:uiPriority w:val="5"/>
    <w:qFormat/>
    <w:rsid w:val="007C3D3A"/>
    <w:pPr>
      <w:numPr>
        <w:numId w:val="16"/>
      </w:numPr>
    </w:pPr>
  </w:style>
  <w:style w:type="paragraph" w:customStyle="1" w:styleId="ChapterHeading4">
    <w:name w:val="Chapter Heading 4"/>
    <w:basedOn w:val="Heading4"/>
    <w:next w:val="BodyText"/>
    <w:uiPriority w:val="5"/>
    <w:qFormat/>
    <w:rsid w:val="007C3D3A"/>
    <w:pPr>
      <w:numPr>
        <w:ilvl w:val="3"/>
        <w:numId w:val="16"/>
      </w:numPr>
    </w:pPr>
  </w:style>
  <w:style w:type="paragraph" w:customStyle="1" w:styleId="ChapterHeading1">
    <w:name w:val="Chapter Heading 1"/>
    <w:basedOn w:val="Heading1"/>
    <w:next w:val="BodyText"/>
    <w:uiPriority w:val="5"/>
    <w:qFormat/>
    <w:rsid w:val="00EA64DA"/>
    <w:pPr>
      <w:numPr>
        <w:numId w:val="16"/>
      </w:numPr>
    </w:pPr>
  </w:style>
  <w:style w:type="numbering" w:customStyle="1" w:styleId="ChapterHeadingsmaster">
    <w:name w:val="Chapter Headings (master)"/>
    <w:uiPriority w:val="99"/>
    <w:rsid w:val="007C3D3A"/>
    <w:pPr>
      <w:numPr>
        <w:numId w:val="48"/>
      </w:numPr>
    </w:pPr>
  </w:style>
  <w:style w:type="paragraph" w:customStyle="1" w:styleId="Conclusion">
    <w:name w:val="Conclusion"/>
    <w:basedOn w:val="BodyText"/>
    <w:qFormat/>
    <w:rsid w:val="005650EF"/>
    <w:pPr>
      <w:keepNext/>
      <w:keepLines/>
      <w:numPr>
        <w:numId w:val="19"/>
      </w:numPr>
      <w:spacing w:after="80"/>
      <w:ind w:left="714" w:hanging="714"/>
    </w:pPr>
    <w:rPr>
      <w:sz w:val="20"/>
    </w:rPr>
  </w:style>
  <w:style w:type="paragraph" w:styleId="ListParagraph">
    <w:name w:val="List Paragraph"/>
    <w:basedOn w:val="Normal"/>
    <w:uiPriority w:val="34"/>
    <w:qFormat/>
    <w:rsid w:val="00866BCB"/>
    <w:pPr>
      <w:spacing w:line="240" w:lineRule="atLeast"/>
      <w:ind w:left="720"/>
      <w:contextualSpacing/>
    </w:pPr>
    <w:rPr>
      <w:rFonts w:ascii="Calibri" w:eastAsia="Calibri" w:hAnsi="Calibri" w:cs="Times New Roman"/>
      <w:color w:val="auto"/>
      <w:sz w:val="22"/>
    </w:rPr>
  </w:style>
  <w:style w:type="paragraph" w:customStyle="1" w:styleId="Para0">
    <w:name w:val="Para 0"/>
    <w:aliases w:val="Auto,After:  3 pt"/>
    <w:basedOn w:val="Normal"/>
    <w:link w:val="Para0Char"/>
    <w:qFormat/>
    <w:rsid w:val="005F3240"/>
    <w:pPr>
      <w:spacing w:before="240" w:line="240" w:lineRule="atLeast"/>
    </w:pPr>
    <w:rPr>
      <w:rFonts w:eastAsiaTheme="minorEastAsia"/>
      <w:color w:val="auto"/>
      <w:sz w:val="20"/>
      <w:szCs w:val="24"/>
      <w:lang w:val="en-GB"/>
    </w:rPr>
  </w:style>
  <w:style w:type="paragraph" w:customStyle="1" w:styleId="ContentBulletsNumber">
    <w:name w:val="Content Bullets Number"/>
    <w:basedOn w:val="Para0"/>
    <w:uiPriority w:val="99"/>
    <w:semiHidden/>
    <w:qFormat/>
    <w:rsid w:val="005F3240"/>
    <w:pPr>
      <w:numPr>
        <w:numId w:val="20"/>
      </w:numPr>
      <w:ind w:left="360" w:hanging="360"/>
    </w:pPr>
  </w:style>
  <w:style w:type="character" w:customStyle="1" w:styleId="Para0Char">
    <w:name w:val="Para 0 Char"/>
    <w:aliases w:val="Auto Char,After:  3 pt Char Char"/>
    <w:basedOn w:val="DefaultParagraphFont"/>
    <w:link w:val="Para0"/>
    <w:rsid w:val="005F3240"/>
    <w:rPr>
      <w:rFonts w:ascii="Arial" w:eastAsiaTheme="minorEastAsia" w:hAnsi="Arial"/>
      <w:sz w:val="20"/>
      <w:szCs w:val="24"/>
      <w:lang w:val="en-GB"/>
    </w:rPr>
  </w:style>
  <w:style w:type="paragraph" w:customStyle="1" w:styleId="Para0number">
    <w:name w:val="Para 0 number"/>
    <w:basedOn w:val="Para0"/>
    <w:link w:val="Para0numberChar"/>
    <w:qFormat/>
    <w:rsid w:val="000C120B"/>
    <w:pPr>
      <w:numPr>
        <w:numId w:val="21"/>
      </w:numPr>
      <w:tabs>
        <w:tab w:val="left" w:pos="851"/>
      </w:tabs>
      <w:spacing w:before="0"/>
    </w:pPr>
  </w:style>
  <w:style w:type="paragraph" w:customStyle="1" w:styleId="Para2roman">
    <w:name w:val="Para 2 roman"/>
    <w:basedOn w:val="Normal"/>
    <w:rsid w:val="000C120B"/>
    <w:pPr>
      <w:numPr>
        <w:ilvl w:val="2"/>
        <w:numId w:val="21"/>
      </w:numPr>
      <w:tabs>
        <w:tab w:val="left" w:pos="851"/>
      </w:tabs>
      <w:spacing w:line="240" w:lineRule="atLeast"/>
    </w:pPr>
    <w:rPr>
      <w:rFonts w:eastAsiaTheme="minorEastAsia"/>
      <w:color w:val="auto"/>
      <w:sz w:val="20"/>
      <w:szCs w:val="24"/>
      <w:lang w:val="en-GB"/>
    </w:rPr>
  </w:style>
  <w:style w:type="numbering" w:customStyle="1" w:styleId="SKMNumberedList1">
    <w:name w:val="SKM Numbered List 1"/>
    <w:uiPriority w:val="99"/>
    <w:rsid w:val="000C120B"/>
    <w:pPr>
      <w:numPr>
        <w:numId w:val="21"/>
      </w:numPr>
    </w:pPr>
  </w:style>
  <w:style w:type="paragraph" w:customStyle="1" w:styleId="bulletlist">
    <w:name w:val="bullet list"/>
    <w:basedOn w:val="Normal"/>
    <w:link w:val="bulletlistChar"/>
    <w:uiPriority w:val="99"/>
    <w:qFormat/>
    <w:rsid w:val="000C120B"/>
    <w:pPr>
      <w:numPr>
        <w:numId w:val="22"/>
      </w:numPr>
      <w:tabs>
        <w:tab w:val="left" w:pos="709"/>
      </w:tabs>
      <w:spacing w:after="60" w:line="300" w:lineRule="auto"/>
    </w:pPr>
    <w:rPr>
      <w:rFonts w:eastAsia="Times New Roman" w:cs="Times New Roman"/>
      <w:color w:val="000000"/>
      <w:sz w:val="20"/>
      <w:szCs w:val="20"/>
      <w:lang w:val="en-GB"/>
    </w:rPr>
  </w:style>
  <w:style w:type="character" w:customStyle="1" w:styleId="bulletlistChar">
    <w:name w:val="bullet list Char"/>
    <w:basedOn w:val="DefaultParagraphFont"/>
    <w:link w:val="bulletlist"/>
    <w:uiPriority w:val="99"/>
    <w:rsid w:val="000C120B"/>
    <w:rPr>
      <w:rFonts w:ascii="Arial" w:eastAsia="Times New Roman" w:hAnsi="Arial" w:cs="Times New Roman"/>
      <w:color w:val="000000"/>
      <w:sz w:val="20"/>
      <w:szCs w:val="20"/>
      <w:lang w:val="en-GB"/>
    </w:rPr>
  </w:style>
  <w:style w:type="character" w:customStyle="1" w:styleId="Para0numberChar">
    <w:name w:val="Para 0 number Char"/>
    <w:basedOn w:val="DefaultParagraphFont"/>
    <w:link w:val="Para0number"/>
    <w:rsid w:val="000C120B"/>
    <w:rPr>
      <w:rFonts w:ascii="Arial" w:eastAsiaTheme="minorEastAsia" w:hAnsi="Arial"/>
      <w:sz w:val="20"/>
      <w:szCs w:val="24"/>
      <w:lang w:val="en-GB"/>
    </w:rPr>
  </w:style>
  <w:style w:type="character" w:styleId="CommentReference">
    <w:name w:val="annotation reference"/>
    <w:basedOn w:val="DefaultParagraphFont"/>
    <w:uiPriority w:val="99"/>
    <w:rsid w:val="00E41C1E"/>
    <w:rPr>
      <w:sz w:val="16"/>
      <w:szCs w:val="16"/>
    </w:rPr>
  </w:style>
  <w:style w:type="paragraph" w:styleId="CommentText">
    <w:name w:val="annotation text"/>
    <w:basedOn w:val="Normal"/>
    <w:link w:val="CommentTextChar"/>
    <w:uiPriority w:val="99"/>
    <w:rsid w:val="00E41C1E"/>
    <w:pPr>
      <w:spacing w:line="240" w:lineRule="auto"/>
    </w:pPr>
    <w:rPr>
      <w:sz w:val="20"/>
      <w:szCs w:val="20"/>
    </w:rPr>
  </w:style>
  <w:style w:type="character" w:customStyle="1" w:styleId="CommentTextChar">
    <w:name w:val="Comment Text Char"/>
    <w:basedOn w:val="DefaultParagraphFont"/>
    <w:link w:val="CommentText"/>
    <w:uiPriority w:val="99"/>
    <w:rsid w:val="00E41C1E"/>
    <w:rPr>
      <w:rFonts w:ascii="Arial" w:hAnsi="Arial"/>
      <w:color w:val="414141"/>
      <w:sz w:val="20"/>
      <w:szCs w:val="20"/>
      <w:lang w:val="en-AU"/>
    </w:rPr>
  </w:style>
  <w:style w:type="paragraph" w:styleId="CommentSubject">
    <w:name w:val="annotation subject"/>
    <w:basedOn w:val="CommentText"/>
    <w:next w:val="CommentText"/>
    <w:link w:val="CommentSubjectChar"/>
    <w:uiPriority w:val="99"/>
    <w:semiHidden/>
    <w:rsid w:val="00E41C1E"/>
    <w:rPr>
      <w:b/>
      <w:bCs/>
    </w:rPr>
  </w:style>
  <w:style w:type="character" w:customStyle="1" w:styleId="CommentSubjectChar">
    <w:name w:val="Comment Subject Char"/>
    <w:basedOn w:val="CommentTextChar"/>
    <w:link w:val="CommentSubject"/>
    <w:uiPriority w:val="99"/>
    <w:semiHidden/>
    <w:rsid w:val="00E41C1E"/>
    <w:rPr>
      <w:rFonts w:ascii="Arial" w:hAnsi="Arial"/>
      <w:b/>
      <w:bCs/>
      <w:color w:val="414141"/>
      <w:sz w:val="20"/>
      <w:szCs w:val="20"/>
      <w:lang w:val="en-AU"/>
    </w:rPr>
  </w:style>
  <w:style w:type="character" w:customStyle="1" w:styleId="CaptionChar">
    <w:name w:val="Caption Char"/>
    <w:aliases w:val="PAE Char,Item Char,Table Caption Char,Table Caption1 Char,Figure Char,CDM B/Caption Char,TABLE Char"/>
    <w:basedOn w:val="Para0Char"/>
    <w:link w:val="Caption"/>
    <w:uiPriority w:val="35"/>
    <w:rsid w:val="003E388C"/>
    <w:rPr>
      <w:rFonts w:ascii="Arial" w:eastAsiaTheme="minorEastAsia" w:hAnsi="Arial"/>
      <w:b/>
      <w:bCs/>
      <w:color w:val="414141"/>
      <w:sz w:val="24"/>
      <w:szCs w:val="18"/>
      <w:lang w:val="en-AU"/>
    </w:rPr>
  </w:style>
  <w:style w:type="paragraph" w:customStyle="1" w:styleId="Source">
    <w:name w:val="Source"/>
    <w:basedOn w:val="Normal"/>
    <w:link w:val="SourceChar"/>
    <w:uiPriority w:val="99"/>
    <w:qFormat/>
    <w:rsid w:val="003E388C"/>
    <w:pPr>
      <w:spacing w:after="220" w:line="300" w:lineRule="auto"/>
    </w:pPr>
    <w:rPr>
      <w:rFonts w:eastAsia="Times New Roman" w:cs="Times New Roman"/>
      <w:color w:val="000000"/>
      <w:sz w:val="16"/>
      <w:szCs w:val="16"/>
      <w:lang w:val="en-GB"/>
    </w:rPr>
  </w:style>
  <w:style w:type="character" w:customStyle="1" w:styleId="SourceChar">
    <w:name w:val="Source Char"/>
    <w:basedOn w:val="DefaultParagraphFont"/>
    <w:link w:val="Source"/>
    <w:uiPriority w:val="99"/>
    <w:rsid w:val="003E388C"/>
    <w:rPr>
      <w:rFonts w:ascii="Arial" w:eastAsia="Times New Roman" w:hAnsi="Arial" w:cs="Times New Roman"/>
      <w:color w:val="000000"/>
      <w:sz w:val="16"/>
      <w:szCs w:val="16"/>
      <w:lang w:val="en-GB"/>
    </w:rPr>
  </w:style>
  <w:style w:type="table" w:styleId="LightShading">
    <w:name w:val="Light Shading"/>
    <w:basedOn w:val="TableNormal"/>
    <w:uiPriority w:val="60"/>
    <w:locked/>
    <w:rsid w:val="003E388C"/>
    <w:pPr>
      <w:spacing w:after="0" w:line="240" w:lineRule="auto"/>
    </w:pPr>
    <w:rPr>
      <w:rFonts w:ascii="Calibri" w:eastAsia="Calibri" w:hAnsi="Calibri" w:cs="Times New Roman"/>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0">
    <w:name w:val="Table heading"/>
    <w:basedOn w:val="Normal"/>
    <w:qFormat/>
    <w:rsid w:val="003F3416"/>
    <w:pPr>
      <w:keepNext/>
      <w:spacing w:before="100" w:after="100" w:line="240" w:lineRule="atLeast"/>
    </w:pPr>
    <w:rPr>
      <w:rFonts w:ascii="Arial Black" w:eastAsiaTheme="minorEastAsia" w:hAnsi="Arial Black"/>
      <w:color w:val="auto"/>
      <w:sz w:val="16"/>
      <w:szCs w:val="24"/>
      <w:lang w:val="en-GB"/>
    </w:rPr>
  </w:style>
  <w:style w:type="paragraph" w:customStyle="1" w:styleId="Para0bullet">
    <w:name w:val="Para 0 bullet"/>
    <w:basedOn w:val="Para0"/>
    <w:link w:val="Para0bulletChar"/>
    <w:qFormat/>
    <w:rsid w:val="003F3416"/>
    <w:pPr>
      <w:numPr>
        <w:numId w:val="23"/>
      </w:numPr>
      <w:tabs>
        <w:tab w:val="left" w:pos="851"/>
      </w:tabs>
      <w:spacing w:before="0"/>
    </w:pPr>
  </w:style>
  <w:style w:type="paragraph" w:customStyle="1" w:styleId="Para1narrowarrow">
    <w:name w:val="Para 1 narrow arrow"/>
    <w:basedOn w:val="Normal"/>
    <w:unhideWhenUsed/>
    <w:rsid w:val="003F3416"/>
    <w:pPr>
      <w:numPr>
        <w:ilvl w:val="1"/>
        <w:numId w:val="23"/>
      </w:numPr>
      <w:tabs>
        <w:tab w:val="left" w:pos="851"/>
      </w:tabs>
      <w:spacing w:line="240" w:lineRule="atLeast"/>
    </w:pPr>
    <w:rPr>
      <w:rFonts w:eastAsiaTheme="minorEastAsia"/>
      <w:color w:val="auto"/>
      <w:sz w:val="20"/>
      <w:szCs w:val="24"/>
      <w:lang w:val="en-GB"/>
    </w:rPr>
  </w:style>
  <w:style w:type="numbering" w:customStyle="1" w:styleId="SKMBulletList1">
    <w:name w:val="SKM Bullet List 1"/>
    <w:uiPriority w:val="99"/>
    <w:rsid w:val="003F3416"/>
    <w:pPr>
      <w:numPr>
        <w:numId w:val="23"/>
      </w:numPr>
    </w:pPr>
  </w:style>
  <w:style w:type="character" w:customStyle="1" w:styleId="Para0bulletChar">
    <w:name w:val="Para 0 bullet Char"/>
    <w:basedOn w:val="DefaultParagraphFont"/>
    <w:link w:val="Para0bullet"/>
    <w:locked/>
    <w:rsid w:val="003F3416"/>
    <w:rPr>
      <w:rFonts w:ascii="Arial" w:eastAsiaTheme="minorEastAsia" w:hAnsi="Arial"/>
      <w:sz w:val="20"/>
      <w:szCs w:val="24"/>
      <w:lang w:val="en-GB"/>
    </w:rPr>
  </w:style>
  <w:style w:type="paragraph" w:customStyle="1" w:styleId="Default">
    <w:name w:val="Default"/>
    <w:rsid w:val="00B427BC"/>
    <w:pPr>
      <w:autoSpaceDE w:val="0"/>
      <w:autoSpaceDN w:val="0"/>
      <w:adjustRightInd w:val="0"/>
      <w:spacing w:after="0" w:line="240" w:lineRule="auto"/>
    </w:pPr>
    <w:rPr>
      <w:rFonts w:ascii="Arial" w:hAnsi="Arial" w:cs="Arial"/>
      <w:color w:val="000000"/>
      <w:sz w:val="24"/>
      <w:szCs w:val="24"/>
      <w:lang w:val="en-AU"/>
    </w:rPr>
  </w:style>
  <w:style w:type="numbering" w:customStyle="1" w:styleId="Style1">
    <w:name w:val="Style1"/>
    <w:uiPriority w:val="99"/>
    <w:rsid w:val="00C74505"/>
    <w:pPr>
      <w:numPr>
        <w:numId w:val="24"/>
      </w:numPr>
    </w:pPr>
  </w:style>
  <w:style w:type="paragraph" w:customStyle="1" w:styleId="Bulletlist0">
    <w:name w:val="Bullet list"/>
    <w:link w:val="BulletlistChar0"/>
    <w:uiPriority w:val="2"/>
    <w:qFormat/>
    <w:rsid w:val="00C74505"/>
    <w:pPr>
      <w:numPr>
        <w:numId w:val="24"/>
      </w:numPr>
      <w:spacing w:after="120" w:line="240" w:lineRule="auto"/>
    </w:pPr>
    <w:rPr>
      <w:rFonts w:eastAsia="Calibri" w:cs="Times New Roman"/>
      <w:sz w:val="20"/>
      <w:lang w:val="en-AU"/>
    </w:rPr>
  </w:style>
  <w:style w:type="character" w:customStyle="1" w:styleId="BulletlistChar0">
    <w:name w:val="Bullet list Char"/>
    <w:basedOn w:val="DefaultParagraphFont"/>
    <w:link w:val="Bulletlist0"/>
    <w:uiPriority w:val="2"/>
    <w:rsid w:val="00C74505"/>
    <w:rPr>
      <w:rFonts w:eastAsia="Calibri" w:cs="Times New Roman"/>
      <w:sz w:val="20"/>
      <w:lang w:val="en-AU"/>
    </w:rPr>
  </w:style>
  <w:style w:type="paragraph" w:customStyle="1" w:styleId="Projectrole1">
    <w:name w:val="Project role 1"/>
    <w:basedOn w:val="Normal"/>
    <w:uiPriority w:val="99"/>
    <w:semiHidden/>
    <w:rsid w:val="006B7A7E"/>
    <w:pPr>
      <w:spacing w:after="160" w:line="240" w:lineRule="atLeast"/>
      <w:jc w:val="right"/>
    </w:pPr>
    <w:rPr>
      <w:rFonts w:eastAsiaTheme="minorEastAsia"/>
      <w:caps/>
      <w:color w:val="00338D"/>
      <w:sz w:val="20"/>
      <w:szCs w:val="24"/>
      <w:lang w:val="en-GB"/>
    </w:rPr>
  </w:style>
  <w:style w:type="paragraph" w:customStyle="1" w:styleId="CitaviBibliographyEntry">
    <w:name w:val="Citavi Bibliography Entry"/>
    <w:basedOn w:val="Normal"/>
    <w:link w:val="CitaviBibliographyEntryChar"/>
    <w:rsid w:val="0069563A"/>
    <w:pPr>
      <w:tabs>
        <w:tab w:val="left" w:pos="340"/>
      </w:tabs>
      <w:spacing w:after="0"/>
      <w:ind w:left="340" w:hanging="340"/>
    </w:pPr>
  </w:style>
  <w:style w:type="character" w:customStyle="1" w:styleId="CitaviBibliographyEntryChar">
    <w:name w:val="Citavi Bibliography Entry Char"/>
    <w:basedOn w:val="BodyTextChar"/>
    <w:link w:val="CitaviBibliographyEntry"/>
    <w:rsid w:val="0069563A"/>
    <w:rPr>
      <w:rFonts w:ascii="Arial" w:hAnsi="Arial"/>
      <w:color w:val="414141"/>
      <w:sz w:val="21"/>
      <w:lang w:val="en-AU"/>
    </w:rPr>
  </w:style>
  <w:style w:type="paragraph" w:customStyle="1" w:styleId="CitaviBibliographyHeading">
    <w:name w:val="Citavi Bibliography Heading"/>
    <w:basedOn w:val="Heading1"/>
    <w:link w:val="CitaviBibliographyHeadingChar"/>
    <w:rsid w:val="0069563A"/>
  </w:style>
  <w:style w:type="character" w:customStyle="1" w:styleId="CitaviBibliographyHeadingChar">
    <w:name w:val="Citavi Bibliography Heading Char"/>
    <w:basedOn w:val="BodyTextChar"/>
    <w:link w:val="CitaviBibliographyHeading"/>
    <w:rsid w:val="0069563A"/>
    <w:rPr>
      <w:rFonts w:ascii="Arial" w:eastAsia="Times New Roman" w:hAnsi="Arial" w:cs="Arial"/>
      <w:bCs/>
      <w:caps/>
      <w:color w:val="0C9FCD"/>
      <w:sz w:val="40"/>
      <w:szCs w:val="32"/>
      <w:lang w:val="en-GB" w:eastAsia="en-AU"/>
    </w:rPr>
  </w:style>
  <w:style w:type="paragraph" w:styleId="Revision">
    <w:name w:val="Revision"/>
    <w:hidden/>
    <w:uiPriority w:val="99"/>
    <w:semiHidden/>
    <w:rsid w:val="00954A69"/>
    <w:pPr>
      <w:spacing w:after="0" w:line="240" w:lineRule="auto"/>
    </w:pPr>
    <w:rPr>
      <w:rFonts w:ascii="Arial" w:hAnsi="Arial"/>
      <w:color w:val="414141"/>
      <w:sz w:val="21"/>
      <w:lang w:val="en-AU"/>
    </w:rPr>
  </w:style>
  <w:style w:type="paragraph" w:customStyle="1" w:styleId="AttachmentTitle">
    <w:name w:val="Attachment Title"/>
    <w:basedOn w:val="Heading1"/>
    <w:next w:val="BodyText"/>
    <w:qFormat/>
    <w:rsid w:val="003C2DED"/>
    <w:pPr>
      <w:keepLines/>
      <w:numPr>
        <w:numId w:val="25"/>
      </w:numPr>
      <w:suppressLineNumbers/>
      <w:suppressAutoHyphens/>
      <w:spacing w:before="360" w:after="120" w:line="240" w:lineRule="atLeast"/>
      <w:contextualSpacing w:val="0"/>
    </w:pPr>
    <w:rPr>
      <w:rFonts w:asciiTheme="minorHAnsi" w:hAnsiTheme="minorHAnsi" w:cs="Times New Roman"/>
      <w:b/>
      <w:bCs w:val="0"/>
      <w:color w:val="auto"/>
      <w:kern w:val="28"/>
      <w:sz w:val="28"/>
      <w:szCs w:val="20"/>
      <w:u w:color="568A9E"/>
      <w:lang w:eastAsia="en-US"/>
    </w:rPr>
  </w:style>
  <w:style w:type="paragraph" w:customStyle="1" w:styleId="AttachmentHeading1">
    <w:name w:val="Attachment Heading 1"/>
    <w:basedOn w:val="Heading2"/>
    <w:next w:val="Normal"/>
    <w:rsid w:val="003C2DED"/>
    <w:pPr>
      <w:keepLines/>
      <w:numPr>
        <w:numId w:val="25"/>
      </w:numPr>
      <w:suppressLineNumbers/>
      <w:tabs>
        <w:tab w:val="left" w:pos="709"/>
      </w:tabs>
      <w:suppressAutoHyphens/>
      <w:spacing w:before="240" w:line="240" w:lineRule="atLeast"/>
      <w:ind w:left="851" w:hanging="851"/>
      <w:contextualSpacing w:val="0"/>
    </w:pPr>
    <w:rPr>
      <w:rFonts w:asciiTheme="minorHAnsi" w:hAnsiTheme="minorHAnsi" w:cs="Times New Roman"/>
      <w:b/>
      <w:iCs w:val="0"/>
      <w:color w:val="auto"/>
      <w:sz w:val="24"/>
      <w:szCs w:val="20"/>
      <w:lang w:eastAsia="en-US"/>
    </w:rPr>
  </w:style>
  <w:style w:type="character" w:styleId="Strong">
    <w:name w:val="Strong"/>
    <w:basedOn w:val="DefaultParagraphFont"/>
    <w:uiPriority w:val="22"/>
    <w:rsid w:val="003C2DED"/>
    <w:rPr>
      <w:b/>
      <w:bCs/>
    </w:rPr>
  </w:style>
  <w:style w:type="paragraph" w:customStyle="1" w:styleId="AttachmentHeading2">
    <w:name w:val="Attachment Heading 2"/>
    <w:basedOn w:val="AttachmentHeading1"/>
    <w:qFormat/>
    <w:rsid w:val="003C2DED"/>
    <w:pPr>
      <w:numPr>
        <w:ilvl w:val="2"/>
      </w:numPr>
      <w:tabs>
        <w:tab w:val="clear" w:pos="0"/>
        <w:tab w:val="num" w:pos="709"/>
      </w:tabs>
      <w:ind w:left="709"/>
    </w:pPr>
    <w:rPr>
      <w:i/>
      <w:sz w:val="22"/>
      <w:szCs w:val="22"/>
    </w:rPr>
  </w:style>
  <w:style w:type="character" w:customStyle="1" w:styleId="TableTextChar">
    <w:name w:val="Table Text Char"/>
    <w:basedOn w:val="DefaultParagraphFont"/>
    <w:link w:val="TableText"/>
    <w:uiPriority w:val="11"/>
    <w:rsid w:val="003C2DED"/>
    <w:rPr>
      <w:rFonts w:ascii="Arial" w:eastAsia="Times New Roman" w:hAnsi="Arial" w:cs="Times New Roman"/>
      <w:bCs/>
      <w:color w:val="414141"/>
      <w:sz w:val="18"/>
      <w:szCs w:val="24"/>
      <w:lang w:val="en-AU" w:eastAsia="en-GB"/>
    </w:rPr>
  </w:style>
  <w:style w:type="table" w:customStyle="1" w:styleId="TableGrid1">
    <w:name w:val="Table Grid1"/>
    <w:basedOn w:val="TableNormal"/>
    <w:next w:val="TableGrid"/>
    <w:uiPriority w:val="59"/>
    <w:rsid w:val="0073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1">
    <w:name w:val="CCA Table (box)1"/>
    <w:basedOn w:val="TableNormal"/>
    <w:uiPriority w:val="99"/>
    <w:rsid w:val="00733D99"/>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table" w:customStyle="1" w:styleId="TableGrid2">
    <w:name w:val="Table Grid2"/>
    <w:basedOn w:val="TableNormal"/>
    <w:next w:val="TableGrid"/>
    <w:uiPriority w:val="59"/>
    <w:rsid w:val="0073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2">
    <w:name w:val="CCA Table (box)2"/>
    <w:basedOn w:val="TableNormal"/>
    <w:uiPriority w:val="99"/>
    <w:rsid w:val="00733D99"/>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styleId="NormalWeb">
    <w:name w:val="Normal (Web)"/>
    <w:basedOn w:val="Normal"/>
    <w:uiPriority w:val="99"/>
    <w:semiHidden/>
    <w:unhideWhenUsed/>
    <w:rsid w:val="00F61668"/>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styleId="BookTitle">
    <w:name w:val="Book Title"/>
    <w:basedOn w:val="DefaultParagraphFont"/>
    <w:uiPriority w:val="33"/>
    <w:semiHidden/>
    <w:qFormat/>
    <w:rsid w:val="0041169C"/>
    <w:rPr>
      <w:b/>
      <w:bCs/>
      <w:smallCaps/>
      <w:spacing w:val="5"/>
    </w:rPr>
  </w:style>
  <w:style w:type="character" w:styleId="IntenseReference">
    <w:name w:val="Intense Reference"/>
    <w:basedOn w:val="DefaultParagraphFont"/>
    <w:uiPriority w:val="32"/>
    <w:semiHidden/>
    <w:qFormat/>
    <w:rsid w:val="0041169C"/>
    <w:rPr>
      <w:b/>
      <w:bCs/>
      <w:smallCaps/>
      <w:color w:val="F96A1B" w:themeColor="accent2"/>
      <w:spacing w:val="5"/>
      <w:u w:val="single"/>
    </w:rPr>
  </w:style>
  <w:style w:type="character" w:styleId="SubtleReference">
    <w:name w:val="Subtle Reference"/>
    <w:basedOn w:val="DefaultParagraphFont"/>
    <w:uiPriority w:val="31"/>
    <w:semiHidden/>
    <w:qFormat/>
    <w:rsid w:val="0041169C"/>
    <w:rPr>
      <w:smallCaps/>
      <w:color w:val="F96A1B" w:themeColor="accent2"/>
      <w:u w:val="single"/>
    </w:rPr>
  </w:style>
  <w:style w:type="character" w:styleId="IntenseEmphasis">
    <w:name w:val="Intense Emphasis"/>
    <w:basedOn w:val="DefaultParagraphFont"/>
    <w:uiPriority w:val="21"/>
    <w:semiHidden/>
    <w:qFormat/>
    <w:rsid w:val="0041169C"/>
    <w:rPr>
      <w:b/>
      <w:bCs/>
      <w:i/>
      <w:iCs/>
      <w:color w:val="797B7E" w:themeColor="accent1"/>
    </w:rPr>
  </w:style>
  <w:style w:type="character" w:styleId="SubtleEmphasis">
    <w:name w:val="Subtle Emphasis"/>
    <w:basedOn w:val="DefaultParagraphFont"/>
    <w:uiPriority w:val="19"/>
    <w:semiHidden/>
    <w:qFormat/>
    <w:rsid w:val="0041169C"/>
    <w:rPr>
      <w:i/>
      <w:iCs/>
      <w:color w:val="808080" w:themeColor="text1" w:themeTint="7F"/>
    </w:rPr>
  </w:style>
  <w:style w:type="paragraph" w:styleId="IntenseQuote">
    <w:name w:val="Intense Quote"/>
    <w:basedOn w:val="Normal"/>
    <w:next w:val="Normal"/>
    <w:link w:val="IntenseQuoteChar"/>
    <w:uiPriority w:val="30"/>
    <w:semiHidden/>
    <w:qFormat/>
    <w:rsid w:val="0041169C"/>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semiHidden/>
    <w:rsid w:val="0041169C"/>
    <w:rPr>
      <w:rFonts w:ascii="Arial" w:hAnsi="Arial"/>
      <w:b/>
      <w:bCs/>
      <w:i/>
      <w:iCs/>
      <w:color w:val="797B7E" w:themeColor="accent1"/>
      <w:sz w:val="21"/>
      <w:lang w:val="en-AU"/>
    </w:rPr>
  </w:style>
  <w:style w:type="table" w:styleId="MediumList1-Accent1">
    <w:name w:val="Medium List 1 Accent 1"/>
    <w:basedOn w:val="TableNormal"/>
    <w:uiPriority w:val="65"/>
    <w:locked/>
    <w:rsid w:val="0041169C"/>
    <w:pPr>
      <w:spacing w:after="0" w:line="240" w:lineRule="auto"/>
    </w:pPr>
    <w:rPr>
      <w:color w:val="000000" w:themeColor="text1"/>
    </w:rPr>
    <w:tblPr>
      <w:tblStyleRowBandSize w:val="1"/>
      <w:tblStyleColBandSize w:val="1"/>
      <w:tblBorders>
        <w:top w:val="single" w:sz="8" w:space="0" w:color="797B7E" w:themeColor="accent1"/>
        <w:bottom w:val="single" w:sz="8" w:space="0" w:color="797B7E" w:themeColor="accent1"/>
      </w:tblBorders>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table" w:styleId="MediumShading2-Accent1">
    <w:name w:val="Medium Shading 2 Accent 1"/>
    <w:basedOn w:val="TableNormal"/>
    <w:uiPriority w:val="64"/>
    <w:locked/>
    <w:rsid w:val="004116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B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B7E" w:themeFill="accent1"/>
      </w:tcPr>
    </w:tblStylePr>
    <w:tblStylePr w:type="lastCol">
      <w:rPr>
        <w:b/>
        <w:bCs/>
        <w:color w:val="FFFFFF" w:themeColor="background1"/>
      </w:rPr>
      <w:tblPr/>
      <w:tcPr>
        <w:tcBorders>
          <w:left w:val="nil"/>
          <w:right w:val="nil"/>
          <w:insideH w:val="nil"/>
          <w:insideV w:val="nil"/>
        </w:tcBorders>
        <w:shd w:val="clear" w:color="auto" w:fill="797B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41169C"/>
    <w:pPr>
      <w:spacing w:after="0" w:line="240" w:lineRule="auto"/>
    </w:pPr>
    <w:tblPr>
      <w:tblStyleRowBandSize w:val="1"/>
      <w:tblStyleColBandSize w:val="1"/>
      <w:tbl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single" w:sz="8" w:space="0" w:color="9A9C9E" w:themeColor="accent1" w:themeTint="BF"/>
      </w:tblBorders>
    </w:tblPr>
    <w:tblStylePr w:type="firstRow">
      <w:pPr>
        <w:spacing w:before="0" w:after="0" w:line="240" w:lineRule="auto"/>
      </w:pPr>
      <w:rPr>
        <w:b/>
        <w:bCs/>
        <w:color w:val="FFFFFF" w:themeColor="background1"/>
      </w:rPr>
      <w:tblPr/>
      <w:tcPr>
        <w:tc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il"/>
          <w:insideV w:val="nil"/>
        </w:tcBorders>
        <w:shd w:val="clear" w:color="auto" w:fill="797B7E" w:themeFill="accent1"/>
      </w:tcPr>
    </w:tblStylePr>
    <w:tblStylePr w:type="lastRow">
      <w:pPr>
        <w:spacing w:before="0" w:after="0" w:line="240" w:lineRule="auto"/>
      </w:pPr>
      <w:rPr>
        <w:b/>
        <w:bCs/>
      </w:rPr>
      <w:tblPr/>
      <w:tcPr>
        <w:tcBorders>
          <w:top w:val="double" w:sz="6"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DEDF" w:themeFill="accent1" w:themeFillTint="3F"/>
      </w:tcPr>
    </w:tblStylePr>
    <w:tblStylePr w:type="band1Horz">
      <w:tblPr/>
      <w:tcPr>
        <w:tcBorders>
          <w:insideH w:val="nil"/>
          <w:insideV w:val="nil"/>
        </w:tcBorders>
        <w:shd w:val="clear" w:color="auto" w:fill="DDDEDF"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41169C"/>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insideH w:val="single" w:sz="8" w:space="0" w:color="797B7E" w:themeColor="accent1"/>
        <w:insideV w:val="single" w:sz="8" w:space="0" w:color="797B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18" w:space="0" w:color="797B7E" w:themeColor="accent1"/>
          <w:right w:val="single" w:sz="8" w:space="0" w:color="797B7E" w:themeColor="accent1"/>
          <w:insideH w:val="nil"/>
          <w:insideV w:val="single" w:sz="8" w:space="0" w:color="797B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insideH w:val="nil"/>
          <w:insideV w:val="single" w:sz="8" w:space="0" w:color="797B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shd w:val="clear" w:color="auto" w:fill="DDDEDF" w:themeFill="accent1" w:themeFillTint="3F"/>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shd w:val="clear" w:color="auto" w:fill="DDDEDF" w:themeFill="accent1" w:themeFillTint="3F"/>
      </w:tcPr>
    </w:tblStylePr>
    <w:tblStylePr w:type="band2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tcPr>
    </w:tblStylePr>
  </w:style>
  <w:style w:type="table" w:styleId="LightList-Accent1">
    <w:name w:val="Light List Accent 1"/>
    <w:basedOn w:val="TableNormal"/>
    <w:uiPriority w:val="61"/>
    <w:locked/>
    <w:rsid w:val="0041169C"/>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 w:type="table" w:styleId="LightShading-Accent1">
    <w:name w:val="Light Shading Accent 1"/>
    <w:basedOn w:val="TableNormal"/>
    <w:uiPriority w:val="60"/>
    <w:locked/>
    <w:rsid w:val="0041169C"/>
    <w:pPr>
      <w:spacing w:after="0" w:line="240" w:lineRule="auto"/>
    </w:pPr>
    <w:rPr>
      <w:color w:val="5A5C5E" w:themeColor="accent1" w:themeShade="BF"/>
    </w:rPr>
    <w:tblPr>
      <w:tblStyleRowBandSize w:val="1"/>
      <w:tblStyleColBandSize w:val="1"/>
      <w:tblBorders>
        <w:top w:val="single" w:sz="8" w:space="0" w:color="797B7E" w:themeColor="accent1"/>
        <w:bottom w:val="single" w:sz="8" w:space="0" w:color="797B7E" w:themeColor="accent1"/>
      </w:tblBorders>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table" w:styleId="ColorfulGrid">
    <w:name w:val="Colorful Grid"/>
    <w:basedOn w:val="TableNormal"/>
    <w:uiPriority w:val="73"/>
    <w:locked/>
    <w:rsid w:val="0041169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locked/>
    <w:rsid w:val="004116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locked/>
    <w:rsid w:val="0041169C"/>
    <w:pPr>
      <w:spacing w:after="0" w:line="240" w:lineRule="auto"/>
    </w:pPr>
    <w:rPr>
      <w:color w:val="000000" w:themeColor="text1"/>
    </w:rPr>
    <w:tblPr>
      <w:tblStyleRowBandSize w:val="1"/>
      <w:tblStyleColBandSize w:val="1"/>
      <w:tblBorders>
        <w:top w:val="single" w:sz="24" w:space="0" w:color="F96A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6A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41169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locked/>
    <w:rsid w:val="004116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locked/>
    <w:rsid w:val="004116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4116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locked/>
    <w:rsid w:val="004116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41169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locked/>
    <w:rsid w:val="004116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41169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4116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locked/>
    <w:rsid w:val="004116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Variable">
    <w:name w:val="HTML Variable"/>
    <w:basedOn w:val="DefaultParagraphFont"/>
    <w:uiPriority w:val="99"/>
    <w:semiHidden/>
    <w:rsid w:val="0041169C"/>
    <w:rPr>
      <w:i/>
      <w:iCs/>
    </w:rPr>
  </w:style>
  <w:style w:type="character" w:styleId="HTMLTypewriter">
    <w:name w:val="HTML Typewriter"/>
    <w:basedOn w:val="DefaultParagraphFont"/>
    <w:uiPriority w:val="99"/>
    <w:semiHidden/>
    <w:rsid w:val="0041169C"/>
    <w:rPr>
      <w:rFonts w:ascii="Consolas" w:hAnsi="Consolas" w:cs="Consolas"/>
      <w:sz w:val="20"/>
      <w:szCs w:val="20"/>
    </w:rPr>
  </w:style>
  <w:style w:type="character" w:styleId="HTMLSample">
    <w:name w:val="HTML Sample"/>
    <w:basedOn w:val="DefaultParagraphFont"/>
    <w:uiPriority w:val="99"/>
    <w:semiHidden/>
    <w:rsid w:val="0041169C"/>
    <w:rPr>
      <w:rFonts w:ascii="Consolas" w:hAnsi="Consolas" w:cs="Consolas"/>
      <w:sz w:val="24"/>
      <w:szCs w:val="24"/>
    </w:rPr>
  </w:style>
  <w:style w:type="paragraph" w:styleId="HTMLPreformatted">
    <w:name w:val="HTML Preformatted"/>
    <w:basedOn w:val="Normal"/>
    <w:link w:val="HTMLPreformattedChar"/>
    <w:uiPriority w:val="99"/>
    <w:semiHidden/>
    <w:rsid w:val="0041169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169C"/>
    <w:rPr>
      <w:rFonts w:ascii="Consolas" w:hAnsi="Consolas" w:cs="Consolas"/>
      <w:color w:val="414141"/>
      <w:sz w:val="20"/>
      <w:szCs w:val="20"/>
      <w:lang w:val="en-AU"/>
    </w:rPr>
  </w:style>
  <w:style w:type="character" w:styleId="HTMLKeyboard">
    <w:name w:val="HTML Keyboard"/>
    <w:basedOn w:val="DefaultParagraphFont"/>
    <w:uiPriority w:val="99"/>
    <w:semiHidden/>
    <w:rsid w:val="0041169C"/>
    <w:rPr>
      <w:rFonts w:ascii="Consolas" w:hAnsi="Consolas" w:cs="Consolas"/>
      <w:sz w:val="20"/>
      <w:szCs w:val="20"/>
    </w:rPr>
  </w:style>
  <w:style w:type="character" w:styleId="HTMLDefinition">
    <w:name w:val="HTML Definition"/>
    <w:basedOn w:val="DefaultParagraphFont"/>
    <w:uiPriority w:val="99"/>
    <w:semiHidden/>
    <w:rsid w:val="0041169C"/>
    <w:rPr>
      <w:i/>
      <w:iCs/>
    </w:rPr>
  </w:style>
  <w:style w:type="character" w:styleId="HTMLCode">
    <w:name w:val="HTML Code"/>
    <w:basedOn w:val="DefaultParagraphFont"/>
    <w:uiPriority w:val="99"/>
    <w:semiHidden/>
    <w:rsid w:val="0041169C"/>
    <w:rPr>
      <w:rFonts w:ascii="Consolas" w:hAnsi="Consolas" w:cs="Consolas"/>
      <w:sz w:val="20"/>
      <w:szCs w:val="20"/>
    </w:rPr>
  </w:style>
  <w:style w:type="character" w:styleId="HTMLCite">
    <w:name w:val="HTML Cite"/>
    <w:basedOn w:val="DefaultParagraphFont"/>
    <w:uiPriority w:val="99"/>
    <w:semiHidden/>
    <w:rsid w:val="0041169C"/>
    <w:rPr>
      <w:i/>
      <w:iCs/>
    </w:rPr>
  </w:style>
  <w:style w:type="paragraph" w:styleId="HTMLAddress">
    <w:name w:val="HTML Address"/>
    <w:basedOn w:val="Normal"/>
    <w:link w:val="HTMLAddressChar"/>
    <w:uiPriority w:val="99"/>
    <w:semiHidden/>
    <w:rsid w:val="0041169C"/>
    <w:pPr>
      <w:spacing w:after="0" w:line="240" w:lineRule="auto"/>
    </w:pPr>
    <w:rPr>
      <w:i/>
      <w:iCs/>
    </w:rPr>
  </w:style>
  <w:style w:type="character" w:customStyle="1" w:styleId="HTMLAddressChar">
    <w:name w:val="HTML Address Char"/>
    <w:basedOn w:val="DefaultParagraphFont"/>
    <w:link w:val="HTMLAddress"/>
    <w:uiPriority w:val="99"/>
    <w:semiHidden/>
    <w:rsid w:val="0041169C"/>
    <w:rPr>
      <w:rFonts w:ascii="Arial" w:hAnsi="Arial"/>
      <w:i/>
      <w:iCs/>
      <w:color w:val="414141"/>
      <w:sz w:val="21"/>
      <w:lang w:val="en-AU"/>
    </w:rPr>
  </w:style>
  <w:style w:type="character" w:styleId="HTMLAcronym">
    <w:name w:val="HTML Acronym"/>
    <w:basedOn w:val="DefaultParagraphFont"/>
    <w:uiPriority w:val="99"/>
    <w:semiHidden/>
    <w:rsid w:val="0041169C"/>
  </w:style>
  <w:style w:type="paragraph" w:styleId="PlainText">
    <w:name w:val="Plain Text"/>
    <w:basedOn w:val="Normal"/>
    <w:link w:val="PlainTextChar"/>
    <w:uiPriority w:val="99"/>
    <w:semiHidden/>
    <w:rsid w:val="0041169C"/>
    <w:pPr>
      <w:spacing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41169C"/>
    <w:rPr>
      <w:rFonts w:ascii="Consolas" w:hAnsi="Consolas" w:cs="Consolas"/>
      <w:color w:val="414141"/>
      <w:sz w:val="21"/>
      <w:szCs w:val="21"/>
      <w:lang w:val="en-AU"/>
    </w:rPr>
  </w:style>
  <w:style w:type="paragraph" w:styleId="DocumentMap">
    <w:name w:val="Document Map"/>
    <w:basedOn w:val="Normal"/>
    <w:link w:val="DocumentMapChar"/>
    <w:uiPriority w:val="99"/>
    <w:semiHidden/>
    <w:rsid w:val="004116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1169C"/>
    <w:rPr>
      <w:rFonts w:ascii="Tahoma" w:hAnsi="Tahoma" w:cs="Tahoma"/>
      <w:color w:val="414141"/>
      <w:sz w:val="16"/>
      <w:szCs w:val="16"/>
      <w:lang w:val="en-AU"/>
    </w:rPr>
  </w:style>
  <w:style w:type="character" w:styleId="Emphasis">
    <w:name w:val="Emphasis"/>
    <w:basedOn w:val="DefaultParagraphFont"/>
    <w:uiPriority w:val="20"/>
    <w:semiHidden/>
    <w:qFormat/>
    <w:rsid w:val="0041169C"/>
    <w:rPr>
      <w:i/>
      <w:iCs/>
    </w:rPr>
  </w:style>
  <w:style w:type="character" w:styleId="FollowedHyperlink">
    <w:name w:val="FollowedHyperlink"/>
    <w:basedOn w:val="DefaultParagraphFont"/>
    <w:uiPriority w:val="99"/>
    <w:semiHidden/>
    <w:rsid w:val="0041169C"/>
    <w:rPr>
      <w:color w:val="969696" w:themeColor="followedHyperlink"/>
      <w:u w:val="single"/>
    </w:rPr>
  </w:style>
  <w:style w:type="paragraph" w:styleId="BlockText">
    <w:name w:val="Block Text"/>
    <w:basedOn w:val="Normal"/>
    <w:uiPriority w:val="99"/>
    <w:semiHidden/>
    <w:rsid w:val="0041169C"/>
    <w:pPr>
      <w:pBdr>
        <w:top w:val="single" w:sz="2" w:space="10" w:color="797B7E" w:themeColor="accent1"/>
        <w:left w:val="single" w:sz="2" w:space="10" w:color="797B7E" w:themeColor="accent1"/>
        <w:bottom w:val="single" w:sz="2" w:space="10" w:color="797B7E" w:themeColor="accent1"/>
        <w:right w:val="single" w:sz="2" w:space="10" w:color="797B7E" w:themeColor="accent1"/>
      </w:pBdr>
      <w:ind w:left="1152" w:right="1152"/>
    </w:pPr>
    <w:rPr>
      <w:rFonts w:asciiTheme="minorHAnsi" w:eastAsiaTheme="minorEastAsia" w:hAnsiTheme="minorHAnsi"/>
      <w:i/>
      <w:iCs/>
      <w:color w:val="797B7E" w:themeColor="accent1"/>
    </w:rPr>
  </w:style>
  <w:style w:type="paragraph" w:styleId="BodyTextIndent3">
    <w:name w:val="Body Text Indent 3"/>
    <w:basedOn w:val="Normal"/>
    <w:link w:val="BodyTextIndent3Char"/>
    <w:uiPriority w:val="99"/>
    <w:semiHidden/>
    <w:rsid w:val="0041169C"/>
    <w:pPr>
      <w:ind w:left="283"/>
    </w:pPr>
    <w:rPr>
      <w:sz w:val="16"/>
      <w:szCs w:val="16"/>
    </w:rPr>
  </w:style>
  <w:style w:type="character" w:customStyle="1" w:styleId="BodyTextIndent3Char">
    <w:name w:val="Body Text Indent 3 Char"/>
    <w:basedOn w:val="DefaultParagraphFont"/>
    <w:link w:val="BodyTextIndent3"/>
    <w:uiPriority w:val="99"/>
    <w:semiHidden/>
    <w:rsid w:val="0041169C"/>
    <w:rPr>
      <w:rFonts w:ascii="Arial" w:hAnsi="Arial"/>
      <w:color w:val="414141"/>
      <w:sz w:val="16"/>
      <w:szCs w:val="16"/>
      <w:lang w:val="en-AU"/>
    </w:rPr>
  </w:style>
  <w:style w:type="paragraph" w:styleId="BodyTextIndent2">
    <w:name w:val="Body Text Indent 2"/>
    <w:basedOn w:val="Normal"/>
    <w:link w:val="BodyTextIndent2Char"/>
    <w:uiPriority w:val="99"/>
    <w:semiHidden/>
    <w:rsid w:val="0041169C"/>
    <w:pPr>
      <w:spacing w:line="480" w:lineRule="auto"/>
      <w:ind w:left="283"/>
    </w:pPr>
  </w:style>
  <w:style w:type="character" w:customStyle="1" w:styleId="BodyTextIndent2Char">
    <w:name w:val="Body Text Indent 2 Char"/>
    <w:basedOn w:val="DefaultParagraphFont"/>
    <w:link w:val="BodyTextIndent2"/>
    <w:uiPriority w:val="99"/>
    <w:semiHidden/>
    <w:rsid w:val="0041169C"/>
    <w:rPr>
      <w:rFonts w:ascii="Arial" w:hAnsi="Arial"/>
      <w:color w:val="414141"/>
      <w:sz w:val="21"/>
      <w:lang w:val="en-AU"/>
    </w:rPr>
  </w:style>
  <w:style w:type="paragraph" w:styleId="BodyText3">
    <w:name w:val="Body Text 3"/>
    <w:basedOn w:val="Normal"/>
    <w:link w:val="BodyText3Char"/>
    <w:uiPriority w:val="99"/>
    <w:semiHidden/>
    <w:rsid w:val="0041169C"/>
    <w:rPr>
      <w:sz w:val="16"/>
      <w:szCs w:val="16"/>
    </w:rPr>
  </w:style>
  <w:style w:type="character" w:customStyle="1" w:styleId="BodyText3Char">
    <w:name w:val="Body Text 3 Char"/>
    <w:basedOn w:val="DefaultParagraphFont"/>
    <w:link w:val="BodyText3"/>
    <w:uiPriority w:val="99"/>
    <w:semiHidden/>
    <w:rsid w:val="0041169C"/>
    <w:rPr>
      <w:rFonts w:ascii="Arial" w:hAnsi="Arial"/>
      <w:color w:val="414141"/>
      <w:sz w:val="16"/>
      <w:szCs w:val="16"/>
      <w:lang w:val="en-AU"/>
    </w:rPr>
  </w:style>
  <w:style w:type="paragraph" w:styleId="BodyText2">
    <w:name w:val="Body Text 2"/>
    <w:basedOn w:val="Normal"/>
    <w:link w:val="BodyText2Char"/>
    <w:uiPriority w:val="99"/>
    <w:semiHidden/>
    <w:rsid w:val="0041169C"/>
    <w:pPr>
      <w:spacing w:line="480" w:lineRule="auto"/>
    </w:pPr>
  </w:style>
  <w:style w:type="character" w:customStyle="1" w:styleId="BodyText2Char">
    <w:name w:val="Body Text 2 Char"/>
    <w:basedOn w:val="DefaultParagraphFont"/>
    <w:link w:val="BodyText2"/>
    <w:uiPriority w:val="99"/>
    <w:semiHidden/>
    <w:rsid w:val="0041169C"/>
    <w:rPr>
      <w:rFonts w:ascii="Arial" w:hAnsi="Arial"/>
      <w:color w:val="414141"/>
      <w:sz w:val="21"/>
      <w:lang w:val="en-AU"/>
    </w:rPr>
  </w:style>
  <w:style w:type="paragraph" w:styleId="NoteHeading">
    <w:name w:val="Note Heading"/>
    <w:basedOn w:val="Normal"/>
    <w:next w:val="Normal"/>
    <w:link w:val="NoteHeadingChar"/>
    <w:uiPriority w:val="99"/>
    <w:semiHidden/>
    <w:unhideWhenUsed/>
    <w:rsid w:val="0041169C"/>
    <w:pPr>
      <w:spacing w:after="0" w:line="240" w:lineRule="auto"/>
    </w:pPr>
  </w:style>
  <w:style w:type="character" w:customStyle="1" w:styleId="NoteHeadingChar">
    <w:name w:val="Note Heading Char"/>
    <w:basedOn w:val="DefaultParagraphFont"/>
    <w:link w:val="NoteHeading"/>
    <w:uiPriority w:val="99"/>
    <w:semiHidden/>
    <w:rsid w:val="0041169C"/>
    <w:rPr>
      <w:rFonts w:ascii="Arial" w:hAnsi="Arial"/>
      <w:color w:val="414141"/>
      <w:sz w:val="21"/>
      <w:lang w:val="en-AU"/>
    </w:rPr>
  </w:style>
  <w:style w:type="paragraph" w:styleId="BodyTextIndent">
    <w:name w:val="Body Text Indent"/>
    <w:basedOn w:val="Normal"/>
    <w:link w:val="BodyTextIndentChar"/>
    <w:uiPriority w:val="99"/>
    <w:semiHidden/>
    <w:rsid w:val="0041169C"/>
    <w:pPr>
      <w:ind w:left="283"/>
    </w:pPr>
  </w:style>
  <w:style w:type="character" w:customStyle="1" w:styleId="BodyTextIndentChar">
    <w:name w:val="Body Text Indent Char"/>
    <w:basedOn w:val="DefaultParagraphFont"/>
    <w:link w:val="BodyTextIndent"/>
    <w:uiPriority w:val="99"/>
    <w:semiHidden/>
    <w:rsid w:val="0041169C"/>
    <w:rPr>
      <w:rFonts w:ascii="Arial" w:hAnsi="Arial"/>
      <w:color w:val="414141"/>
      <w:sz w:val="21"/>
      <w:lang w:val="en-AU"/>
    </w:rPr>
  </w:style>
  <w:style w:type="paragraph" w:styleId="BodyTextFirstIndent2">
    <w:name w:val="Body Text First Indent 2"/>
    <w:basedOn w:val="BodyTextIndent"/>
    <w:link w:val="BodyTextFirstIndent2Char"/>
    <w:uiPriority w:val="99"/>
    <w:semiHidden/>
    <w:rsid w:val="0041169C"/>
    <w:pPr>
      <w:ind w:left="360" w:firstLine="360"/>
    </w:pPr>
  </w:style>
  <w:style w:type="character" w:customStyle="1" w:styleId="BodyTextFirstIndent2Char">
    <w:name w:val="Body Text First Indent 2 Char"/>
    <w:basedOn w:val="BodyTextIndentChar"/>
    <w:link w:val="BodyTextFirstIndent2"/>
    <w:uiPriority w:val="99"/>
    <w:semiHidden/>
    <w:rsid w:val="0041169C"/>
    <w:rPr>
      <w:rFonts w:ascii="Arial" w:hAnsi="Arial"/>
      <w:color w:val="414141"/>
      <w:sz w:val="21"/>
      <w:lang w:val="en-AU"/>
    </w:rPr>
  </w:style>
  <w:style w:type="paragraph" w:styleId="BodyTextFirstIndent">
    <w:name w:val="Body Text First Indent"/>
    <w:basedOn w:val="BodyText"/>
    <w:link w:val="BodyTextFirstIndentChar"/>
    <w:uiPriority w:val="99"/>
    <w:semiHidden/>
    <w:rsid w:val="0041169C"/>
    <w:pPr>
      <w:ind w:firstLine="360"/>
    </w:pPr>
  </w:style>
  <w:style w:type="character" w:customStyle="1" w:styleId="BodyTextFirstIndentChar">
    <w:name w:val="Body Text First Indent Char"/>
    <w:basedOn w:val="BodyTextChar"/>
    <w:link w:val="BodyTextFirstIndent"/>
    <w:uiPriority w:val="99"/>
    <w:semiHidden/>
    <w:rsid w:val="0041169C"/>
    <w:rPr>
      <w:rFonts w:ascii="Arial" w:hAnsi="Arial"/>
      <w:color w:val="414141"/>
      <w:sz w:val="21"/>
      <w:lang w:val="en-AU"/>
    </w:rPr>
  </w:style>
  <w:style w:type="paragraph" w:styleId="Salutation">
    <w:name w:val="Salutation"/>
    <w:basedOn w:val="Normal"/>
    <w:next w:val="Normal"/>
    <w:link w:val="SalutationChar"/>
    <w:uiPriority w:val="99"/>
    <w:semiHidden/>
    <w:rsid w:val="0041169C"/>
  </w:style>
  <w:style w:type="character" w:customStyle="1" w:styleId="SalutationChar">
    <w:name w:val="Salutation Char"/>
    <w:basedOn w:val="DefaultParagraphFont"/>
    <w:link w:val="Salutation"/>
    <w:uiPriority w:val="99"/>
    <w:semiHidden/>
    <w:rsid w:val="0041169C"/>
    <w:rPr>
      <w:rFonts w:ascii="Arial" w:hAnsi="Arial"/>
      <w:color w:val="414141"/>
      <w:sz w:val="21"/>
      <w:lang w:val="en-AU"/>
    </w:rPr>
  </w:style>
  <w:style w:type="paragraph" w:styleId="MessageHeader">
    <w:name w:val="Message Header"/>
    <w:basedOn w:val="Normal"/>
    <w:link w:val="MessageHeaderChar"/>
    <w:uiPriority w:val="99"/>
    <w:semiHidden/>
    <w:unhideWhenUsed/>
    <w:rsid w:val="004116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169C"/>
    <w:rPr>
      <w:rFonts w:asciiTheme="majorHAnsi" w:eastAsiaTheme="majorEastAsia" w:hAnsiTheme="majorHAnsi" w:cstheme="majorBidi"/>
      <w:color w:val="414141"/>
      <w:sz w:val="24"/>
      <w:szCs w:val="24"/>
      <w:shd w:val="pct20" w:color="auto" w:fill="auto"/>
      <w:lang w:val="en-AU"/>
    </w:rPr>
  </w:style>
  <w:style w:type="paragraph" w:styleId="ListContinue5">
    <w:name w:val="List Continue 5"/>
    <w:basedOn w:val="Normal"/>
    <w:uiPriority w:val="99"/>
    <w:semiHidden/>
    <w:unhideWhenUsed/>
    <w:rsid w:val="0041169C"/>
    <w:pPr>
      <w:ind w:left="1415"/>
      <w:contextualSpacing/>
    </w:pPr>
  </w:style>
  <w:style w:type="paragraph" w:styleId="ListContinue4">
    <w:name w:val="List Continue 4"/>
    <w:basedOn w:val="Normal"/>
    <w:uiPriority w:val="99"/>
    <w:semiHidden/>
    <w:unhideWhenUsed/>
    <w:rsid w:val="0041169C"/>
    <w:pPr>
      <w:ind w:left="1132"/>
      <w:contextualSpacing/>
    </w:pPr>
  </w:style>
  <w:style w:type="paragraph" w:styleId="ListContinue3">
    <w:name w:val="List Continue 3"/>
    <w:basedOn w:val="Normal"/>
    <w:uiPriority w:val="99"/>
    <w:semiHidden/>
    <w:unhideWhenUsed/>
    <w:rsid w:val="0041169C"/>
    <w:pPr>
      <w:ind w:left="849"/>
      <w:contextualSpacing/>
    </w:pPr>
  </w:style>
  <w:style w:type="paragraph" w:styleId="ListContinue2">
    <w:name w:val="List Continue 2"/>
    <w:basedOn w:val="Normal"/>
    <w:uiPriority w:val="99"/>
    <w:semiHidden/>
    <w:unhideWhenUsed/>
    <w:rsid w:val="0041169C"/>
    <w:pPr>
      <w:ind w:left="566"/>
      <w:contextualSpacing/>
    </w:pPr>
  </w:style>
  <w:style w:type="paragraph" w:styleId="ListContinue">
    <w:name w:val="List Continue"/>
    <w:basedOn w:val="Normal"/>
    <w:uiPriority w:val="99"/>
    <w:semiHidden/>
    <w:unhideWhenUsed/>
    <w:rsid w:val="0041169C"/>
    <w:pPr>
      <w:ind w:left="283"/>
      <w:contextualSpacing/>
    </w:pPr>
  </w:style>
  <w:style w:type="paragraph" w:styleId="Signature">
    <w:name w:val="Signature"/>
    <w:basedOn w:val="Normal"/>
    <w:link w:val="SignatureChar"/>
    <w:uiPriority w:val="99"/>
    <w:semiHidden/>
    <w:rsid w:val="0041169C"/>
    <w:pPr>
      <w:spacing w:after="0" w:line="240" w:lineRule="auto"/>
      <w:ind w:left="4252"/>
    </w:pPr>
  </w:style>
  <w:style w:type="character" w:customStyle="1" w:styleId="SignatureChar">
    <w:name w:val="Signature Char"/>
    <w:basedOn w:val="DefaultParagraphFont"/>
    <w:link w:val="Signature"/>
    <w:uiPriority w:val="99"/>
    <w:semiHidden/>
    <w:rsid w:val="0041169C"/>
    <w:rPr>
      <w:rFonts w:ascii="Arial" w:hAnsi="Arial"/>
      <w:color w:val="414141"/>
      <w:sz w:val="21"/>
      <w:lang w:val="en-AU"/>
    </w:rPr>
  </w:style>
  <w:style w:type="paragraph" w:styleId="Closing">
    <w:name w:val="Closing"/>
    <w:basedOn w:val="Normal"/>
    <w:link w:val="ClosingChar"/>
    <w:uiPriority w:val="99"/>
    <w:semiHidden/>
    <w:rsid w:val="0041169C"/>
    <w:pPr>
      <w:spacing w:after="0" w:line="240" w:lineRule="auto"/>
      <w:ind w:left="4252"/>
    </w:pPr>
  </w:style>
  <w:style w:type="character" w:customStyle="1" w:styleId="ClosingChar">
    <w:name w:val="Closing Char"/>
    <w:basedOn w:val="DefaultParagraphFont"/>
    <w:link w:val="Closing"/>
    <w:uiPriority w:val="99"/>
    <w:semiHidden/>
    <w:rsid w:val="0041169C"/>
    <w:rPr>
      <w:rFonts w:ascii="Arial" w:hAnsi="Arial"/>
      <w:color w:val="414141"/>
      <w:sz w:val="21"/>
      <w:lang w:val="en-AU"/>
    </w:rPr>
  </w:style>
  <w:style w:type="paragraph" w:styleId="ListNumber5">
    <w:name w:val="List Number 5"/>
    <w:basedOn w:val="Normal"/>
    <w:uiPriority w:val="99"/>
    <w:semiHidden/>
    <w:unhideWhenUsed/>
    <w:rsid w:val="0041169C"/>
    <w:pPr>
      <w:numPr>
        <w:numId w:val="28"/>
      </w:numPr>
      <w:contextualSpacing/>
    </w:pPr>
  </w:style>
  <w:style w:type="paragraph" w:styleId="ListNumber4">
    <w:name w:val="List Number 4"/>
    <w:basedOn w:val="Normal"/>
    <w:uiPriority w:val="99"/>
    <w:semiHidden/>
    <w:unhideWhenUsed/>
    <w:rsid w:val="0041169C"/>
    <w:pPr>
      <w:numPr>
        <w:numId w:val="29"/>
      </w:numPr>
      <w:contextualSpacing/>
    </w:pPr>
  </w:style>
  <w:style w:type="paragraph" w:styleId="ListBullet5">
    <w:name w:val="List Bullet 5"/>
    <w:basedOn w:val="Normal"/>
    <w:uiPriority w:val="99"/>
    <w:semiHidden/>
    <w:unhideWhenUsed/>
    <w:rsid w:val="0041169C"/>
    <w:pPr>
      <w:numPr>
        <w:numId w:val="30"/>
      </w:numPr>
      <w:contextualSpacing/>
    </w:pPr>
  </w:style>
  <w:style w:type="paragraph" w:styleId="ListBullet4">
    <w:name w:val="List Bullet 4"/>
    <w:basedOn w:val="Normal"/>
    <w:uiPriority w:val="99"/>
    <w:semiHidden/>
    <w:unhideWhenUsed/>
    <w:rsid w:val="0041169C"/>
    <w:pPr>
      <w:numPr>
        <w:numId w:val="31"/>
      </w:numPr>
      <w:contextualSpacing/>
    </w:pPr>
  </w:style>
  <w:style w:type="paragraph" w:styleId="List5">
    <w:name w:val="List 5"/>
    <w:basedOn w:val="Normal"/>
    <w:uiPriority w:val="99"/>
    <w:semiHidden/>
    <w:unhideWhenUsed/>
    <w:rsid w:val="0041169C"/>
    <w:pPr>
      <w:ind w:left="1415" w:hanging="283"/>
      <w:contextualSpacing/>
    </w:pPr>
  </w:style>
  <w:style w:type="paragraph" w:styleId="List4">
    <w:name w:val="List 4"/>
    <w:basedOn w:val="Normal"/>
    <w:uiPriority w:val="99"/>
    <w:semiHidden/>
    <w:unhideWhenUsed/>
    <w:rsid w:val="0041169C"/>
    <w:pPr>
      <w:ind w:left="1132" w:hanging="283"/>
      <w:contextualSpacing/>
    </w:pPr>
  </w:style>
  <w:style w:type="paragraph" w:styleId="List3">
    <w:name w:val="List 3"/>
    <w:basedOn w:val="Normal"/>
    <w:uiPriority w:val="99"/>
    <w:semiHidden/>
    <w:unhideWhenUsed/>
    <w:rsid w:val="0041169C"/>
    <w:pPr>
      <w:ind w:left="849" w:hanging="283"/>
      <w:contextualSpacing/>
    </w:pPr>
  </w:style>
  <w:style w:type="paragraph" w:styleId="List2">
    <w:name w:val="List 2"/>
    <w:basedOn w:val="Normal"/>
    <w:uiPriority w:val="99"/>
    <w:semiHidden/>
    <w:unhideWhenUsed/>
    <w:rsid w:val="0041169C"/>
    <w:pPr>
      <w:ind w:left="566" w:hanging="283"/>
      <w:contextualSpacing/>
    </w:pPr>
  </w:style>
  <w:style w:type="paragraph" w:styleId="List">
    <w:name w:val="List"/>
    <w:basedOn w:val="Normal"/>
    <w:uiPriority w:val="99"/>
    <w:semiHidden/>
    <w:unhideWhenUsed/>
    <w:rsid w:val="0041169C"/>
    <w:pPr>
      <w:ind w:left="283" w:hanging="283"/>
      <w:contextualSpacing/>
    </w:pPr>
  </w:style>
  <w:style w:type="paragraph" w:styleId="TOAHeading">
    <w:name w:val="toa heading"/>
    <w:basedOn w:val="Normal"/>
    <w:next w:val="Normal"/>
    <w:uiPriority w:val="99"/>
    <w:semiHidden/>
    <w:rsid w:val="0041169C"/>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41169C"/>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41169C"/>
    <w:rPr>
      <w:rFonts w:ascii="Consolas" w:hAnsi="Consolas" w:cs="Consolas"/>
      <w:color w:val="414141"/>
      <w:sz w:val="20"/>
      <w:szCs w:val="20"/>
      <w:lang w:val="en-AU"/>
    </w:rPr>
  </w:style>
  <w:style w:type="paragraph" w:styleId="TableofAuthorities">
    <w:name w:val="table of authorities"/>
    <w:basedOn w:val="Normal"/>
    <w:next w:val="Normal"/>
    <w:uiPriority w:val="99"/>
    <w:semiHidden/>
    <w:unhideWhenUsed/>
    <w:locked/>
    <w:rsid w:val="0041169C"/>
    <w:pPr>
      <w:spacing w:after="0"/>
      <w:ind w:left="210" w:hanging="210"/>
    </w:pPr>
  </w:style>
  <w:style w:type="character" w:styleId="LineNumber">
    <w:name w:val="line number"/>
    <w:basedOn w:val="DefaultParagraphFont"/>
    <w:uiPriority w:val="99"/>
    <w:semiHidden/>
    <w:unhideWhenUsed/>
    <w:rsid w:val="0041169C"/>
  </w:style>
  <w:style w:type="paragraph" w:styleId="EnvelopeReturn">
    <w:name w:val="envelope return"/>
    <w:basedOn w:val="Normal"/>
    <w:uiPriority w:val="99"/>
    <w:semiHidden/>
    <w:rsid w:val="0041169C"/>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rsid w:val="004116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ex1">
    <w:name w:val="index 1"/>
    <w:basedOn w:val="Normal"/>
    <w:next w:val="Normal"/>
    <w:autoRedefine/>
    <w:uiPriority w:val="99"/>
    <w:semiHidden/>
    <w:unhideWhenUsed/>
    <w:rsid w:val="0041169C"/>
    <w:pPr>
      <w:spacing w:after="0" w:line="240" w:lineRule="auto"/>
      <w:ind w:left="210" w:hanging="210"/>
    </w:pPr>
  </w:style>
  <w:style w:type="paragraph" w:styleId="IndexHeading">
    <w:name w:val="index heading"/>
    <w:basedOn w:val="Normal"/>
    <w:next w:val="Index1"/>
    <w:uiPriority w:val="99"/>
    <w:semiHidden/>
    <w:unhideWhenUsed/>
    <w:rsid w:val="0041169C"/>
    <w:rPr>
      <w:rFonts w:asciiTheme="majorHAnsi" w:eastAsiaTheme="majorEastAsia" w:hAnsiTheme="majorHAnsi" w:cstheme="majorBidi"/>
      <w:b/>
      <w:bCs/>
    </w:rPr>
  </w:style>
  <w:style w:type="paragraph" w:styleId="NormalIndent">
    <w:name w:val="Normal Indent"/>
    <w:basedOn w:val="Normal"/>
    <w:uiPriority w:val="99"/>
    <w:semiHidden/>
    <w:unhideWhenUsed/>
    <w:rsid w:val="0041169C"/>
    <w:pPr>
      <w:ind w:left="720"/>
    </w:pPr>
  </w:style>
  <w:style w:type="paragraph" w:styleId="TOC9">
    <w:name w:val="toc 9"/>
    <w:basedOn w:val="Normal"/>
    <w:next w:val="Normal"/>
    <w:autoRedefine/>
    <w:uiPriority w:val="21"/>
    <w:semiHidden/>
    <w:rsid w:val="0041169C"/>
    <w:pPr>
      <w:spacing w:after="100"/>
      <w:ind w:left="1680"/>
    </w:pPr>
  </w:style>
  <w:style w:type="paragraph" w:styleId="TOC8">
    <w:name w:val="toc 8"/>
    <w:basedOn w:val="Normal"/>
    <w:next w:val="Normal"/>
    <w:autoRedefine/>
    <w:uiPriority w:val="21"/>
    <w:semiHidden/>
    <w:rsid w:val="0041169C"/>
    <w:pPr>
      <w:spacing w:after="100"/>
      <w:ind w:left="1470"/>
    </w:pPr>
  </w:style>
  <w:style w:type="paragraph" w:styleId="TOC7">
    <w:name w:val="toc 7"/>
    <w:basedOn w:val="Normal"/>
    <w:next w:val="Normal"/>
    <w:autoRedefine/>
    <w:uiPriority w:val="21"/>
    <w:semiHidden/>
    <w:rsid w:val="0041169C"/>
    <w:pPr>
      <w:spacing w:after="100"/>
      <w:ind w:left="1260"/>
    </w:pPr>
  </w:style>
  <w:style w:type="paragraph" w:styleId="TOC6">
    <w:name w:val="toc 6"/>
    <w:basedOn w:val="Normal"/>
    <w:next w:val="Normal"/>
    <w:autoRedefine/>
    <w:uiPriority w:val="21"/>
    <w:semiHidden/>
    <w:rsid w:val="0041169C"/>
    <w:pPr>
      <w:spacing w:after="100"/>
      <w:ind w:left="1050"/>
    </w:pPr>
  </w:style>
  <w:style w:type="paragraph" w:styleId="Index9">
    <w:name w:val="index 9"/>
    <w:basedOn w:val="Normal"/>
    <w:next w:val="Normal"/>
    <w:autoRedefine/>
    <w:uiPriority w:val="99"/>
    <w:semiHidden/>
    <w:unhideWhenUsed/>
    <w:rsid w:val="0041169C"/>
    <w:pPr>
      <w:spacing w:after="0" w:line="240" w:lineRule="auto"/>
      <w:ind w:left="1890" w:hanging="210"/>
    </w:pPr>
  </w:style>
  <w:style w:type="paragraph" w:styleId="Index8">
    <w:name w:val="index 8"/>
    <w:basedOn w:val="Normal"/>
    <w:next w:val="Normal"/>
    <w:autoRedefine/>
    <w:uiPriority w:val="99"/>
    <w:semiHidden/>
    <w:unhideWhenUsed/>
    <w:rsid w:val="0041169C"/>
    <w:pPr>
      <w:spacing w:after="0" w:line="240" w:lineRule="auto"/>
      <w:ind w:left="1680" w:hanging="210"/>
    </w:pPr>
  </w:style>
  <w:style w:type="paragraph" w:styleId="Index7">
    <w:name w:val="index 7"/>
    <w:basedOn w:val="Normal"/>
    <w:next w:val="Normal"/>
    <w:autoRedefine/>
    <w:uiPriority w:val="99"/>
    <w:semiHidden/>
    <w:unhideWhenUsed/>
    <w:rsid w:val="0041169C"/>
    <w:pPr>
      <w:spacing w:after="0" w:line="240" w:lineRule="auto"/>
      <w:ind w:left="1470" w:hanging="210"/>
    </w:pPr>
  </w:style>
  <w:style w:type="paragraph" w:styleId="Index6">
    <w:name w:val="index 6"/>
    <w:basedOn w:val="Normal"/>
    <w:next w:val="Normal"/>
    <w:autoRedefine/>
    <w:uiPriority w:val="99"/>
    <w:semiHidden/>
    <w:unhideWhenUsed/>
    <w:rsid w:val="0041169C"/>
    <w:pPr>
      <w:spacing w:after="0" w:line="240" w:lineRule="auto"/>
      <w:ind w:left="1260" w:hanging="210"/>
    </w:pPr>
  </w:style>
  <w:style w:type="paragraph" w:styleId="Index5">
    <w:name w:val="index 5"/>
    <w:basedOn w:val="Normal"/>
    <w:next w:val="Normal"/>
    <w:autoRedefine/>
    <w:uiPriority w:val="99"/>
    <w:semiHidden/>
    <w:unhideWhenUsed/>
    <w:rsid w:val="0041169C"/>
    <w:pPr>
      <w:spacing w:after="0" w:line="240" w:lineRule="auto"/>
      <w:ind w:left="1050" w:hanging="210"/>
    </w:pPr>
  </w:style>
  <w:style w:type="paragraph" w:styleId="Index4">
    <w:name w:val="index 4"/>
    <w:basedOn w:val="Normal"/>
    <w:next w:val="Normal"/>
    <w:autoRedefine/>
    <w:uiPriority w:val="99"/>
    <w:semiHidden/>
    <w:unhideWhenUsed/>
    <w:rsid w:val="0041169C"/>
    <w:pPr>
      <w:spacing w:after="0" w:line="240" w:lineRule="auto"/>
      <w:ind w:left="840" w:hanging="210"/>
    </w:pPr>
  </w:style>
  <w:style w:type="paragraph" w:styleId="Index3">
    <w:name w:val="index 3"/>
    <w:basedOn w:val="Normal"/>
    <w:next w:val="Normal"/>
    <w:autoRedefine/>
    <w:uiPriority w:val="99"/>
    <w:semiHidden/>
    <w:unhideWhenUsed/>
    <w:rsid w:val="0041169C"/>
    <w:pPr>
      <w:spacing w:after="0" w:line="240" w:lineRule="auto"/>
      <w:ind w:left="630" w:hanging="210"/>
    </w:pPr>
  </w:style>
  <w:style w:type="paragraph" w:styleId="Index2">
    <w:name w:val="index 2"/>
    <w:basedOn w:val="Normal"/>
    <w:next w:val="Normal"/>
    <w:autoRedefine/>
    <w:uiPriority w:val="99"/>
    <w:semiHidden/>
    <w:unhideWhenUsed/>
    <w:rsid w:val="0041169C"/>
    <w:pPr>
      <w:spacing w:after="0" w:line="240" w:lineRule="auto"/>
      <w:ind w:left="420" w:hanging="210"/>
    </w:pPr>
  </w:style>
  <w:style w:type="character" w:customStyle="1" w:styleId="Heading9Char">
    <w:name w:val="Heading 9 Char"/>
    <w:basedOn w:val="DefaultParagraphFont"/>
    <w:link w:val="Heading9"/>
    <w:uiPriority w:val="4"/>
    <w:semiHidden/>
    <w:rsid w:val="0041169C"/>
    <w:rPr>
      <w:rFonts w:asciiTheme="majorHAnsi" w:eastAsiaTheme="majorEastAsia" w:hAnsiTheme="majorHAnsi" w:cstheme="majorBidi"/>
      <w:i/>
      <w:iCs/>
      <w:color w:val="404040" w:themeColor="text1" w:themeTint="BF"/>
      <w:sz w:val="20"/>
      <w:szCs w:val="20"/>
      <w:lang w:val="en-AU"/>
    </w:rPr>
  </w:style>
  <w:style w:type="character" w:customStyle="1" w:styleId="Heading8Char">
    <w:name w:val="Heading 8 Char"/>
    <w:basedOn w:val="DefaultParagraphFont"/>
    <w:link w:val="Heading8"/>
    <w:uiPriority w:val="4"/>
    <w:semiHidden/>
    <w:rsid w:val="0041169C"/>
    <w:rPr>
      <w:rFonts w:asciiTheme="majorHAnsi" w:eastAsiaTheme="majorEastAsia" w:hAnsiTheme="majorHAnsi" w:cstheme="majorBidi"/>
      <w:color w:val="404040" w:themeColor="text1" w:themeTint="BF"/>
      <w:sz w:val="20"/>
      <w:szCs w:val="20"/>
      <w:lang w:val="en-AU"/>
    </w:rPr>
  </w:style>
  <w:style w:type="character" w:customStyle="1" w:styleId="Heading7Char">
    <w:name w:val="Heading 7 Char"/>
    <w:basedOn w:val="DefaultParagraphFont"/>
    <w:link w:val="Heading7"/>
    <w:uiPriority w:val="4"/>
    <w:semiHidden/>
    <w:rsid w:val="0041169C"/>
    <w:rPr>
      <w:rFonts w:asciiTheme="majorHAnsi" w:eastAsiaTheme="majorEastAsia" w:hAnsiTheme="majorHAnsi" w:cstheme="majorBidi"/>
      <w:i/>
      <w:iCs/>
      <w:color w:val="404040" w:themeColor="text1" w:themeTint="BF"/>
      <w:sz w:val="21"/>
      <w:lang w:val="en-AU"/>
    </w:rPr>
  </w:style>
  <w:style w:type="character" w:customStyle="1" w:styleId="Heading6Char">
    <w:name w:val="Heading 6 Char"/>
    <w:basedOn w:val="DefaultParagraphFont"/>
    <w:link w:val="Heading6"/>
    <w:uiPriority w:val="4"/>
    <w:semiHidden/>
    <w:rsid w:val="0041169C"/>
    <w:rPr>
      <w:rFonts w:asciiTheme="majorHAnsi" w:eastAsiaTheme="majorEastAsia" w:hAnsiTheme="majorHAnsi" w:cstheme="majorBidi"/>
      <w:i/>
      <w:iCs/>
      <w:color w:val="3C3D3E" w:themeColor="accent1" w:themeShade="7F"/>
      <w:sz w:val="21"/>
      <w:lang w:val="en-AU"/>
    </w:rPr>
  </w:style>
  <w:style w:type="table" w:styleId="LightShading-Accent2">
    <w:name w:val="Light Shading Accent 2"/>
    <w:basedOn w:val="TableNormal"/>
    <w:uiPriority w:val="60"/>
    <w:locked/>
    <w:rsid w:val="00AE0BDB"/>
    <w:pPr>
      <w:spacing w:after="0" w:line="240" w:lineRule="auto"/>
    </w:pPr>
    <w:rPr>
      <w:color w:val="C94A05" w:themeColor="accent2" w:themeShade="BF"/>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LightList-Accent2">
    <w:name w:val="Light List Accent 2"/>
    <w:basedOn w:val="TableNormal"/>
    <w:uiPriority w:val="61"/>
    <w:locked/>
    <w:rsid w:val="00AE0BDB"/>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customStyle="1" w:styleId="CCATablebox3">
    <w:name w:val="CCA Table (box)3"/>
    <w:basedOn w:val="TableNormal"/>
    <w:uiPriority w:val="99"/>
    <w:rsid w:val="005865FD"/>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0959">
      <w:bodyDiv w:val="1"/>
      <w:marLeft w:val="0"/>
      <w:marRight w:val="0"/>
      <w:marTop w:val="0"/>
      <w:marBottom w:val="0"/>
      <w:divBdr>
        <w:top w:val="none" w:sz="0" w:space="0" w:color="auto"/>
        <w:left w:val="none" w:sz="0" w:space="0" w:color="auto"/>
        <w:bottom w:val="none" w:sz="0" w:space="0" w:color="auto"/>
        <w:right w:val="none" w:sz="0" w:space="0" w:color="auto"/>
      </w:divBdr>
    </w:div>
    <w:div w:id="35085409">
      <w:bodyDiv w:val="1"/>
      <w:marLeft w:val="0"/>
      <w:marRight w:val="0"/>
      <w:marTop w:val="0"/>
      <w:marBottom w:val="0"/>
      <w:divBdr>
        <w:top w:val="none" w:sz="0" w:space="0" w:color="auto"/>
        <w:left w:val="none" w:sz="0" w:space="0" w:color="auto"/>
        <w:bottom w:val="none" w:sz="0" w:space="0" w:color="auto"/>
        <w:right w:val="none" w:sz="0" w:space="0" w:color="auto"/>
      </w:divBdr>
    </w:div>
    <w:div w:id="99644312">
      <w:bodyDiv w:val="1"/>
      <w:marLeft w:val="0"/>
      <w:marRight w:val="0"/>
      <w:marTop w:val="0"/>
      <w:marBottom w:val="0"/>
      <w:divBdr>
        <w:top w:val="none" w:sz="0" w:space="0" w:color="auto"/>
        <w:left w:val="none" w:sz="0" w:space="0" w:color="auto"/>
        <w:bottom w:val="none" w:sz="0" w:space="0" w:color="auto"/>
        <w:right w:val="none" w:sz="0" w:space="0" w:color="auto"/>
      </w:divBdr>
    </w:div>
    <w:div w:id="250357923">
      <w:bodyDiv w:val="1"/>
      <w:marLeft w:val="0"/>
      <w:marRight w:val="0"/>
      <w:marTop w:val="0"/>
      <w:marBottom w:val="0"/>
      <w:divBdr>
        <w:top w:val="none" w:sz="0" w:space="0" w:color="auto"/>
        <w:left w:val="none" w:sz="0" w:space="0" w:color="auto"/>
        <w:bottom w:val="none" w:sz="0" w:space="0" w:color="auto"/>
        <w:right w:val="none" w:sz="0" w:space="0" w:color="auto"/>
      </w:divBdr>
    </w:div>
    <w:div w:id="359013253">
      <w:bodyDiv w:val="1"/>
      <w:marLeft w:val="0"/>
      <w:marRight w:val="0"/>
      <w:marTop w:val="0"/>
      <w:marBottom w:val="0"/>
      <w:divBdr>
        <w:top w:val="none" w:sz="0" w:space="0" w:color="auto"/>
        <w:left w:val="none" w:sz="0" w:space="0" w:color="auto"/>
        <w:bottom w:val="none" w:sz="0" w:space="0" w:color="auto"/>
        <w:right w:val="none" w:sz="0" w:space="0" w:color="auto"/>
      </w:divBdr>
    </w:div>
    <w:div w:id="440954140">
      <w:bodyDiv w:val="1"/>
      <w:marLeft w:val="0"/>
      <w:marRight w:val="0"/>
      <w:marTop w:val="0"/>
      <w:marBottom w:val="0"/>
      <w:divBdr>
        <w:top w:val="none" w:sz="0" w:space="0" w:color="auto"/>
        <w:left w:val="none" w:sz="0" w:space="0" w:color="auto"/>
        <w:bottom w:val="none" w:sz="0" w:space="0" w:color="auto"/>
        <w:right w:val="none" w:sz="0" w:space="0" w:color="auto"/>
      </w:divBdr>
    </w:div>
    <w:div w:id="1278369084">
      <w:bodyDiv w:val="1"/>
      <w:marLeft w:val="0"/>
      <w:marRight w:val="0"/>
      <w:marTop w:val="0"/>
      <w:marBottom w:val="0"/>
      <w:divBdr>
        <w:top w:val="none" w:sz="0" w:space="0" w:color="auto"/>
        <w:left w:val="none" w:sz="0" w:space="0" w:color="auto"/>
        <w:bottom w:val="none" w:sz="0" w:space="0" w:color="auto"/>
        <w:right w:val="none" w:sz="0" w:space="0" w:color="auto"/>
      </w:divBdr>
    </w:div>
    <w:div w:id="1468009719">
      <w:bodyDiv w:val="1"/>
      <w:marLeft w:val="0"/>
      <w:marRight w:val="0"/>
      <w:marTop w:val="0"/>
      <w:marBottom w:val="0"/>
      <w:divBdr>
        <w:top w:val="none" w:sz="0" w:space="0" w:color="auto"/>
        <w:left w:val="none" w:sz="0" w:space="0" w:color="auto"/>
        <w:bottom w:val="none" w:sz="0" w:space="0" w:color="auto"/>
        <w:right w:val="none" w:sz="0" w:space="0" w:color="auto"/>
      </w:divBdr>
    </w:div>
    <w:div w:id="213177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37.emf"/><Relationship Id="rId68" Type="http://schemas.openxmlformats.org/officeDocument/2006/relationships/image" Target="media/image42.emf"/><Relationship Id="rId89" Type="http://schemas.microsoft.com/office/2011/relationships/people" Target="people.xml"/><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gif"/><Relationship Id="rId45" Type="http://schemas.openxmlformats.org/officeDocument/2006/relationships/image" Target="media/image26.emf"/><Relationship Id="rId53" Type="http://schemas.openxmlformats.org/officeDocument/2006/relationships/footer" Target="footer10.xml"/><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image" Target="media/image35.emf"/><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footer" Target="footer8.xm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eader" Target="header5.xml"/><Relationship Id="rId41" Type="http://schemas.openxmlformats.org/officeDocument/2006/relationships/image" Target="media/image22.emf"/><Relationship Id="rId54" Type="http://schemas.openxmlformats.org/officeDocument/2006/relationships/footer" Target="footer11.xml"/><Relationship Id="rId62" Type="http://schemas.openxmlformats.org/officeDocument/2006/relationships/image" Target="media/image36.png"/><Relationship Id="rId70" Type="http://schemas.openxmlformats.org/officeDocument/2006/relationships/image" Target="media/image44.emf"/><Relationship Id="rId75" Type="http://schemas.openxmlformats.org/officeDocument/2006/relationships/fontTable" Target="fontTable.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footer" Target="footer9.xml"/><Relationship Id="rId57" Type="http://schemas.openxmlformats.org/officeDocument/2006/relationships/image" Target="media/image31.emf"/><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5.emf"/><Relationship Id="rId52" Type="http://schemas.openxmlformats.org/officeDocument/2006/relationships/header" Target="header8.xml"/><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0.gif"/><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header" Target="header9.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A14D0-0B54-4C35-BC19-12E2B26B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110</Pages>
  <Words>43561</Words>
  <Characters>248301</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291280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Myrtle</dc:creator>
  <cp:lastModifiedBy>Jonathan Myrtle</cp:lastModifiedBy>
  <cp:revision>5</cp:revision>
  <cp:lastPrinted>2016-08-25T02:13:00Z</cp:lastPrinted>
  <dcterms:created xsi:type="dcterms:W3CDTF">2016-08-30T02:01:00Z</dcterms:created>
  <dcterms:modified xsi:type="dcterms:W3CDTF">2016-08-30T07:29:00Z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Electricity modelling</vt:lpwstr>
  </property>
  <property fmtid="{D5CDD505-2E9C-101B-9397-08002B2CF9AE}" pid="3" name="CitaviDocumentProperty_0">
    <vt:lpwstr>53e46fdb-1f82-4e54-a3c2-d277afb96100</vt:lpwstr>
  </property>
  <property fmtid="{D5CDD505-2E9C-101B-9397-08002B2CF9AE}" pid="4" name="CitaviDocumentProperty_1">
    <vt:lpwstr>4.4.0.28</vt:lpwstr>
  </property>
  <property fmtid="{D5CDD505-2E9C-101B-9397-08002B2CF9AE}" pid="5" name="CitaviDocumentProperty_6">
    <vt:lpwstr>True</vt:lpwstr>
  </property>
  <property fmtid="{D5CDD505-2E9C-101B-9397-08002B2CF9AE}" pid="6" name="CitaviDocumentProperty_8">
    <vt:lpwstr>G:\Reviews\ETS Review\1. Teams\Electricity\1. Project management\References\Electricity modelling\Electricity modelling.ctt4</vt:lpwstr>
  </property>
</Properties>
</file>